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75"/>
        <w:ind w:left="0" w:right="239"/>
        <w:jc w:val="center"/>
      </w:pPr>
      <w:r>
        <w:rPr/>
        <w:t>CHAPTER</w:t>
      </w:r>
      <w:r>
        <w:rPr>
          <w:spacing w:val="-1"/>
        </w:rPr>
        <w:t> </w:t>
      </w:r>
      <w:r>
        <w:rPr>
          <w:spacing w:val="-5"/>
        </w:rPr>
        <w:t>ONE</w:t>
      </w:r>
    </w:p>
    <w:p>
      <w:pPr>
        <w:pStyle w:val="BodyText"/>
        <w:rPr>
          <w:b/>
        </w:rPr>
      </w:pPr>
    </w:p>
    <w:p>
      <w:pPr>
        <w:pStyle w:val="BodyText"/>
        <w:spacing w:before="46"/>
        <w:rPr>
          <w:b/>
        </w:rPr>
      </w:pPr>
    </w:p>
    <w:p>
      <w:pPr>
        <w:pStyle w:val="ListParagraph"/>
        <w:numPr>
          <w:ilvl w:val="1"/>
          <w:numId w:val="1"/>
        </w:numPr>
        <w:tabs>
          <w:tab w:pos="1280" w:val="left" w:leader="none"/>
        </w:tabs>
        <w:spacing w:line="240" w:lineRule="auto" w:before="0" w:after="0"/>
        <w:ind w:left="1280" w:right="0" w:hanging="720"/>
        <w:jc w:val="left"/>
        <w:rPr>
          <w:b/>
          <w:sz w:val="24"/>
        </w:rPr>
      </w:pPr>
      <w:r>
        <w:rPr>
          <w:b/>
          <w:spacing w:val="-2"/>
          <w:sz w:val="24"/>
        </w:rPr>
        <w:t>INTRODUCTION</w:t>
      </w:r>
    </w:p>
    <w:p>
      <w:pPr>
        <w:pStyle w:val="BodyText"/>
        <w:spacing w:line="480" w:lineRule="auto" w:before="271"/>
        <w:ind w:left="560" w:right="796"/>
        <w:jc w:val="both"/>
      </w:pPr>
      <w:r>
        <w:rPr/>
        <w:t>The term pregnancy refers to a state in which fertilized ovum implants into the maternal uterus and develops into a foetus.The period of development and growth of the foetus is known as gestation. During gestation, normal physiological processes such as changes in the cytokine profile, increased erythropoiesis and thrombocytopenia take place in the maternal subjects. Often, most of these processes become pathological and may</w:t>
      </w:r>
      <w:r>
        <w:rPr>
          <w:spacing w:val="-1"/>
        </w:rPr>
        <w:t> </w:t>
      </w:r>
      <w:r>
        <w:rPr/>
        <w:t>complicate or threaten the well-being and survival of the mother, the foetus or both. These conditions include cytokine dysregulation, inflammation and anaemia. Other abnormal conditions may include thrombosis and disseminated intravascular coagulation (DIC) (Hoffbrand and Moss, 2011).It appears to me that of all the haematologic and immunologic conditions, anaemia appears to</w:t>
      </w:r>
      <w:r>
        <w:rPr>
          <w:spacing w:val="40"/>
        </w:rPr>
        <w:t> </w:t>
      </w:r>
      <w:r>
        <w:rPr/>
        <w:t>be the most frequently discussed.</w:t>
      </w:r>
    </w:p>
    <w:p>
      <w:pPr>
        <w:pStyle w:val="BodyText"/>
        <w:spacing w:before="1"/>
      </w:pPr>
    </w:p>
    <w:p>
      <w:pPr>
        <w:pStyle w:val="BodyText"/>
        <w:spacing w:line="480" w:lineRule="auto" w:before="1"/>
        <w:ind w:left="560" w:right="790"/>
        <w:jc w:val="both"/>
      </w:pPr>
      <w:r>
        <w:rPr/>
        <w:t>Several factors are</w:t>
      </w:r>
      <w:r>
        <w:rPr>
          <w:spacing w:val="-2"/>
        </w:rPr>
        <w:t> </w:t>
      </w:r>
      <w:r>
        <w:rPr/>
        <w:t>known to cause</w:t>
      </w:r>
      <w:r>
        <w:rPr>
          <w:spacing w:val="-1"/>
        </w:rPr>
        <w:t> </w:t>
      </w:r>
      <w:r>
        <w:rPr/>
        <w:t>anaemia</w:t>
      </w:r>
      <w:r>
        <w:rPr>
          <w:spacing w:val="-1"/>
        </w:rPr>
        <w:t> </w:t>
      </w:r>
      <w:r>
        <w:rPr/>
        <w:t>in pregnancy</w:t>
      </w:r>
      <w:r>
        <w:rPr>
          <w:spacing w:val="-5"/>
        </w:rPr>
        <w:t> </w:t>
      </w:r>
      <w:r>
        <w:rPr/>
        <w:t>especially</w:t>
      </w:r>
      <w:r>
        <w:rPr>
          <w:spacing w:val="-5"/>
        </w:rPr>
        <w:t> </w:t>
      </w:r>
      <w:r>
        <w:rPr/>
        <w:t>in sub-Saharan Africa. In this region, most factorsinteract to play significant roles in determining the severity of anaemia (Buseri </w:t>
      </w:r>
      <w:r>
        <w:rPr>
          <w:i/>
        </w:rPr>
        <w:t>et al.,</w:t>
      </w:r>
      <w:r>
        <w:rPr/>
        <w:t>2008</w:t>
      </w:r>
      <w:r>
        <w:rPr>
          <w:i/>
        </w:rPr>
        <w:t>).</w:t>
      </w:r>
      <w:r>
        <w:rPr/>
        <w:t>The incriminating factors are microbial infections, nutritional deficiencies and inherited or acquired conditions that affect the red blood cell production or destruction (WHO, 2007; Buseri </w:t>
      </w:r>
      <w:r>
        <w:rPr>
          <w:i/>
        </w:rPr>
        <w:t>et al.,</w:t>
      </w:r>
      <w:r>
        <w:rPr/>
        <w:t>2008). Infections include malaria, human immuno- deficiency virus, tuberculosis and hookworm while nutritional deficiencies include iron, folate, copper, zinc, vitamin B</w:t>
      </w:r>
      <w:r>
        <w:rPr>
          <w:vertAlign w:val="subscript"/>
        </w:rPr>
        <w:t>12</w:t>
      </w:r>
      <w:r>
        <w:rPr>
          <w:vertAlign w:val="baseline"/>
        </w:rPr>
        <w:t> possibly riboflavin and other micronutrient deficiencies (Guyatt and Snow, 2001).</w:t>
      </w:r>
    </w:p>
    <w:p>
      <w:pPr>
        <w:pStyle w:val="BodyText"/>
      </w:pPr>
    </w:p>
    <w:p>
      <w:pPr>
        <w:pStyle w:val="BodyText"/>
        <w:spacing w:line="480" w:lineRule="auto" w:before="1"/>
        <w:ind w:left="560" w:right="798"/>
        <w:jc w:val="both"/>
      </w:pPr>
      <w:r>
        <w:rPr/>
        <w:t>Malaria and Iron deficiency are the predominant causes of severe anaemia in sub- Saharan Africa and have their respective deleterious impacts on women of reproductive age, the neonates, infants and children(Nyakeriga </w:t>
      </w:r>
      <w:r>
        <w:rPr>
          <w:i/>
        </w:rPr>
        <w:t>et al.,</w:t>
      </w:r>
      <w:r>
        <w:rPr/>
        <w:t>2005</w:t>
      </w:r>
      <w:r>
        <w:rPr>
          <w:i/>
        </w:rPr>
        <w:t>)</w:t>
      </w:r>
      <w:r>
        <w:rPr/>
        <w:t>. The vulnerability of children and pregnant</w:t>
      </w:r>
      <w:r>
        <w:rPr>
          <w:spacing w:val="3"/>
        </w:rPr>
        <w:t> </w:t>
      </w:r>
      <w:r>
        <w:rPr/>
        <w:t>women</w:t>
      </w:r>
      <w:r>
        <w:rPr>
          <w:spacing w:val="3"/>
        </w:rPr>
        <w:t> </w:t>
      </w:r>
      <w:r>
        <w:rPr/>
        <w:t>to</w:t>
      </w:r>
      <w:r>
        <w:rPr>
          <w:spacing w:val="4"/>
        </w:rPr>
        <w:t> </w:t>
      </w:r>
      <w:r>
        <w:rPr/>
        <w:t>malaria</w:t>
      </w:r>
      <w:r>
        <w:rPr>
          <w:spacing w:val="2"/>
        </w:rPr>
        <w:t> </w:t>
      </w:r>
      <w:r>
        <w:rPr/>
        <w:t>is</w:t>
      </w:r>
      <w:r>
        <w:rPr>
          <w:spacing w:val="4"/>
        </w:rPr>
        <w:t> </w:t>
      </w:r>
      <w:r>
        <w:rPr/>
        <w:t>because</w:t>
      </w:r>
      <w:r>
        <w:rPr>
          <w:spacing w:val="2"/>
        </w:rPr>
        <w:t> </w:t>
      </w:r>
      <w:r>
        <w:rPr/>
        <w:t>children</w:t>
      </w:r>
      <w:r>
        <w:rPr>
          <w:spacing w:val="3"/>
        </w:rPr>
        <w:t> </w:t>
      </w:r>
      <w:r>
        <w:rPr/>
        <w:t>have</w:t>
      </w:r>
      <w:r>
        <w:rPr>
          <w:spacing w:val="2"/>
        </w:rPr>
        <w:t> </w:t>
      </w:r>
      <w:r>
        <w:rPr/>
        <w:t>naive</w:t>
      </w:r>
      <w:r>
        <w:rPr>
          <w:spacing w:val="3"/>
        </w:rPr>
        <w:t> </w:t>
      </w:r>
      <w:r>
        <w:rPr/>
        <w:t>immune</w:t>
      </w:r>
      <w:r>
        <w:rPr>
          <w:spacing w:val="3"/>
        </w:rPr>
        <w:t> </w:t>
      </w:r>
      <w:r>
        <w:rPr/>
        <w:t>system</w:t>
      </w:r>
      <w:r>
        <w:rPr>
          <w:spacing w:val="3"/>
        </w:rPr>
        <w:t> </w:t>
      </w:r>
      <w:r>
        <w:rPr/>
        <w:t>while</w:t>
      </w:r>
      <w:r>
        <w:rPr>
          <w:spacing w:val="3"/>
        </w:rPr>
        <w:t> </w:t>
      </w:r>
      <w:r>
        <w:rPr/>
        <w:t>the</w:t>
      </w:r>
      <w:r>
        <w:rPr>
          <w:spacing w:val="3"/>
        </w:rPr>
        <w:t> </w:t>
      </w:r>
      <w:r>
        <w:rPr>
          <w:spacing w:val="-2"/>
        </w:rPr>
        <w:t>immune</w:t>
      </w:r>
    </w:p>
    <w:p>
      <w:pPr>
        <w:spacing w:after="0" w:line="480" w:lineRule="auto"/>
        <w:jc w:val="both"/>
        <w:sectPr>
          <w:footerReference w:type="default" r:id="rId5"/>
          <w:type w:val="continuous"/>
          <w:pgSz w:w="11910" w:h="16840"/>
          <w:pgMar w:header="0" w:footer="1067" w:top="1060" w:bottom="1260" w:left="880" w:right="640"/>
          <w:pgNumType w:start="1"/>
        </w:sectPr>
      </w:pPr>
    </w:p>
    <w:p>
      <w:pPr>
        <w:pStyle w:val="BodyText"/>
        <w:spacing w:line="480" w:lineRule="auto" w:before="70"/>
        <w:ind w:left="560" w:right="799"/>
        <w:jc w:val="both"/>
      </w:pPr>
      <w:r>
        <w:rPr/>
        <w:t>systems of pregnant women are potentially compromised. Consequently, the two groups are considered to be the highest risk population for malaria-related death (WHO. 2000; Laishram </w:t>
      </w:r>
      <w:r>
        <w:rPr>
          <w:i/>
        </w:rPr>
        <w:t>et al.,</w:t>
      </w:r>
      <w:r>
        <w:rPr/>
        <w:t>2012).</w:t>
      </w:r>
    </w:p>
    <w:p>
      <w:pPr>
        <w:pStyle w:val="BodyText"/>
      </w:pPr>
    </w:p>
    <w:p>
      <w:pPr>
        <w:pStyle w:val="BodyText"/>
        <w:spacing w:line="480" w:lineRule="auto" w:before="1"/>
        <w:ind w:left="560" w:right="794"/>
        <w:jc w:val="both"/>
      </w:pPr>
      <w:r>
        <w:rPr/>
        <w:t>Malaria isa known protozoandisease, transmitted to humans by infected female anopheles mosquito (Inigo and Manual, 2002).</w:t>
      </w:r>
      <w:r>
        <w:rPr>
          <w:spacing w:val="80"/>
        </w:rPr>
        <w:t> </w:t>
      </w:r>
      <w:r>
        <w:rPr/>
        <w:t>Four species of plasmodium have been emphazied as</w:t>
      </w:r>
      <w:r>
        <w:rPr>
          <w:spacing w:val="40"/>
        </w:rPr>
        <w:t> </w:t>
      </w:r>
      <w:r>
        <w:rPr/>
        <w:t>the causative agentsof malaria.However, the fifth specie known as </w:t>
      </w:r>
      <w:r>
        <w:rPr>
          <w:i/>
        </w:rPr>
        <w:t>P. knowlesi </w:t>
      </w:r>
      <w:r>
        <w:rPr/>
        <w:t>has been reported(Autino </w:t>
      </w:r>
      <w:r>
        <w:rPr>
          <w:i/>
        </w:rPr>
        <w:t>et al.,</w:t>
      </w:r>
      <w:r>
        <w:rPr/>
        <w:t>2012).Each year, about 250 million people worldwide suffer from malaria with an estimated death of about 1 million and this occurs mostly in the tropical and sub-tropical areas especially</w:t>
      </w:r>
      <w:r>
        <w:rPr>
          <w:spacing w:val="-1"/>
        </w:rPr>
        <w:t> </w:t>
      </w:r>
      <w:r>
        <w:rPr/>
        <w:t>in Africa, Asia, Central and South America (Warren, 2010). It is also reported that malaria affects more than 3 million pregnant women every year in the developing countries (Abrams </w:t>
      </w:r>
      <w:r>
        <w:rPr>
          <w:i/>
        </w:rPr>
        <w:t>et al.,</w:t>
      </w:r>
      <w:r>
        <w:rPr/>
        <w:t>2005).Malaria parasite induces the activationof the cellsof the innate and adaptiveimmune response (Warren, 2010). In the maternal blood,malaria parasites elicit immune response by stimulating the immune cells such as the monocytes or macrophages,natural killer cells andhelper T-cells. These cells in the process secrete cytokine molecules (Elgert</w:t>
      </w:r>
      <w:r>
        <w:rPr>
          <w:i/>
        </w:rPr>
        <w:t>,</w:t>
      </w:r>
      <w:r>
        <w:rPr/>
        <w:t>2009). Different cytokines induce various transcription factors which in turn determine the fate of cells; either for proliferation, differentiation and survival or death (Quesenberry, 1995)</w:t>
      </w:r>
    </w:p>
    <w:p>
      <w:pPr>
        <w:pStyle w:val="BodyText"/>
        <w:spacing w:before="2"/>
      </w:pPr>
    </w:p>
    <w:p>
      <w:pPr>
        <w:pStyle w:val="BodyText"/>
        <w:spacing w:line="480" w:lineRule="auto"/>
        <w:ind w:left="560" w:right="794"/>
        <w:jc w:val="both"/>
      </w:pPr>
      <w:r>
        <w:rPr/>
        <w:t>Ironis absorbed in the gastrointestinal tract and is essential for erythropoesis. In most cases, the amount of iron absorbed is not always enough for sustainance of pregnacy</w:t>
      </w:r>
      <w:r>
        <w:rPr>
          <w:spacing w:val="-3"/>
        </w:rPr>
        <w:t> </w:t>
      </w:r>
      <w:r>
        <w:rPr/>
        <w:t>and may result in iron deficiency. The major reason for iron deficiency during pregnancy is that pregnancy places tremendous increase in the body‟s need for iron in other to match with the increase in plasma volume of the pregnant woman and the foetal needs for proper development (Bothwell, 2000).The need culminates in depleted iron stores. The progressive depletion of iron stores will eventually result in Iron Deficiency Anaemia (IDA) (Dreyfuss </w:t>
      </w:r>
      <w:r>
        <w:rPr>
          <w:i/>
        </w:rPr>
        <w:t>et al.,</w:t>
      </w:r>
      <w:r>
        <w:rPr/>
        <w:t>2000).</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Body iron status is usually assessed by consideringHaemoglobin, red cell indicies and serum ferritin concentrations along with evidence of inflammation, infection and liver disease (Worwood and May, 2012). The assessment emphasizes onthe combination of parameters fromthe storage, transport and functional Iron compartments. The best combination would be estimations of haemoglobin or haematocrit, serum transferrin receptor and serum ferritin. Such a combination would reflect functional impairment, tissue avidity for iron and iron storage (WHO, 2001).Interestingly, cytokine and iron modulate the activities of each other.The mechanism whereby some cytokines for instance Interferon gamma (IFN</w:t>
      </w:r>
      <w:r>
        <w:rPr>
          <w:rFonts w:ascii="Symbol" w:hAnsi="Symbol"/>
        </w:rPr>
        <w:t></w:t>
      </w:r>
      <w:r>
        <w:rPr/>
        <w:t>), Interleukin - 6(IL-6), Tumor Necrois Factor alpha (TNFα), Interleukin 12(IL-12), and Interleukin 13(IL-13) regulate iron homeostasis is by affecting the expression of proteins involved in thestorage and release of iron (Ludwiczek </w:t>
      </w:r>
      <w:r>
        <w:rPr>
          <w:i/>
        </w:rPr>
        <w:t>et al.,</w:t>
      </w:r>
      <w:r>
        <w:rPr/>
        <w:t>2003).Furthermore, cytokines released during infection/ inflammation such as malaria parasitaemia induces impairmentin the normal physiological mechanism for transporting iron to target tissues and this appears to be mediated by Hepcidin (WHO, 2004)</w:t>
      </w:r>
    </w:p>
    <w:p>
      <w:pPr>
        <w:pStyle w:val="BodyText"/>
        <w:spacing w:before="2"/>
      </w:pPr>
    </w:p>
    <w:p>
      <w:pPr>
        <w:pStyle w:val="BodyText"/>
        <w:spacing w:line="480" w:lineRule="auto"/>
        <w:ind w:left="560" w:right="794"/>
        <w:jc w:val="both"/>
      </w:pPr>
      <w:r>
        <w:rPr/>
        <w:t>This study tends to evaluate the levels of some cytokines and iron and their activitiesin pregnant and post-partum womenwith malaria parasitaemia in Aba, Abia State.</w:t>
      </w:r>
    </w:p>
    <w:p>
      <w:pPr>
        <w:pStyle w:val="BodyText"/>
      </w:pPr>
    </w:p>
    <w:p>
      <w:pPr>
        <w:pStyle w:val="BodyText"/>
        <w:spacing w:before="5"/>
      </w:pPr>
    </w:p>
    <w:p>
      <w:pPr>
        <w:pStyle w:val="Heading2"/>
        <w:numPr>
          <w:ilvl w:val="1"/>
          <w:numId w:val="1"/>
        </w:numPr>
        <w:tabs>
          <w:tab w:pos="1280" w:val="left" w:leader="none"/>
        </w:tabs>
        <w:spacing w:line="240" w:lineRule="auto" w:before="1" w:after="0"/>
        <w:ind w:left="1280" w:right="0" w:hanging="720"/>
        <w:jc w:val="left"/>
      </w:pPr>
      <w:r>
        <w:rPr/>
        <w:t>STATEMENT</w:t>
      </w:r>
      <w:r>
        <w:rPr>
          <w:spacing w:val="-1"/>
        </w:rPr>
        <w:t> </w:t>
      </w:r>
      <w:r>
        <w:rPr/>
        <w:t>OF </w:t>
      </w:r>
      <w:r>
        <w:rPr>
          <w:spacing w:val="-2"/>
        </w:rPr>
        <w:t>PROBLEM</w:t>
      </w:r>
    </w:p>
    <w:p>
      <w:pPr>
        <w:pStyle w:val="BodyText"/>
        <w:spacing w:line="480" w:lineRule="auto" w:before="271"/>
        <w:ind w:left="560" w:right="799"/>
        <w:jc w:val="both"/>
      </w:pPr>
      <w:r>
        <w:rPr/>
        <w:t>The essence of this study was to contribute to solving the perennial problem of maternal/foetal morbidity and mortality frequently encountered in malaria endemic areas</w:t>
      </w:r>
      <w:r>
        <w:rPr>
          <w:spacing w:val="40"/>
        </w:rPr>
        <w:t> </w:t>
      </w:r>
      <w:r>
        <w:rPr/>
        <w:t>such as Nigeria.</w:t>
      </w:r>
    </w:p>
    <w:p>
      <w:pPr>
        <w:pStyle w:val="BodyText"/>
      </w:pPr>
    </w:p>
    <w:p>
      <w:pPr>
        <w:pStyle w:val="BodyText"/>
        <w:spacing w:line="480" w:lineRule="auto"/>
        <w:ind w:left="560" w:right="793"/>
        <w:jc w:val="both"/>
      </w:pPr>
      <w:r>
        <w:rPr/>
        <w:t>There are cases where anaemia in pregnancy and in post-partum haspersisted inspite of necessary interventions (Guyatt and Snow, 2001). Other adverse conditions which sprouted, such</w:t>
      </w:r>
      <w:r>
        <w:rPr>
          <w:spacing w:val="70"/>
          <w:w w:val="150"/>
        </w:rPr>
        <w:t> </w:t>
      </w:r>
      <w:r>
        <w:rPr/>
        <w:t>as</w:t>
      </w:r>
      <w:r>
        <w:rPr>
          <w:spacing w:val="74"/>
          <w:w w:val="150"/>
        </w:rPr>
        <w:t> </w:t>
      </w:r>
      <w:r>
        <w:rPr/>
        <w:t>spontaneous</w:t>
      </w:r>
      <w:r>
        <w:rPr>
          <w:spacing w:val="73"/>
          <w:w w:val="150"/>
        </w:rPr>
        <w:t> </w:t>
      </w:r>
      <w:r>
        <w:rPr/>
        <w:t>abortion,</w:t>
      </w:r>
      <w:r>
        <w:rPr>
          <w:spacing w:val="74"/>
          <w:w w:val="150"/>
        </w:rPr>
        <w:t> </w:t>
      </w:r>
      <w:r>
        <w:rPr/>
        <w:t>intrauterine</w:t>
      </w:r>
      <w:r>
        <w:rPr>
          <w:spacing w:val="72"/>
          <w:w w:val="150"/>
        </w:rPr>
        <w:t> </w:t>
      </w:r>
      <w:r>
        <w:rPr/>
        <w:t>growth</w:t>
      </w:r>
      <w:r>
        <w:rPr>
          <w:spacing w:val="73"/>
          <w:w w:val="150"/>
        </w:rPr>
        <w:t> </w:t>
      </w:r>
      <w:r>
        <w:rPr/>
        <w:t>retardation,</w:t>
      </w:r>
      <w:r>
        <w:rPr>
          <w:spacing w:val="73"/>
          <w:w w:val="150"/>
        </w:rPr>
        <w:t> </w:t>
      </w:r>
      <w:r>
        <w:rPr/>
        <w:t>preterm</w:t>
      </w:r>
      <w:r>
        <w:rPr>
          <w:spacing w:val="74"/>
          <w:w w:val="150"/>
        </w:rPr>
        <w:t> </w:t>
      </w:r>
      <w:r>
        <w:rPr>
          <w:spacing w:val="-2"/>
        </w:rPr>
        <w:t>delivery,foetal</w:t>
      </w:r>
    </w:p>
    <w:p>
      <w:pPr>
        <w:spacing w:after="0" w:line="480" w:lineRule="auto"/>
        <w:jc w:val="both"/>
        <w:sectPr>
          <w:pgSz w:w="11910" w:h="16840"/>
          <w:pgMar w:header="0" w:footer="1067" w:top="1060" w:bottom="1260" w:left="880" w:right="640"/>
        </w:sectPr>
      </w:pPr>
    </w:p>
    <w:p>
      <w:pPr>
        <w:pStyle w:val="BodyText"/>
        <w:spacing w:line="480" w:lineRule="auto" w:before="70"/>
        <w:ind w:left="560" w:right="798"/>
        <w:jc w:val="both"/>
      </w:pPr>
      <w:r>
        <w:rPr/>
        <w:t>distress, foetal death, stillbirth, Low Birth Weight, malaise and perinatal mortalitywere attributed to anaemia (Menedez </w:t>
      </w:r>
      <w:r>
        <w:rPr>
          <w:i/>
        </w:rPr>
        <w:t>et </w:t>
      </w:r>
      <w:r>
        <w:rPr/>
        <w:t>al., 2000; Uneke</w:t>
      </w:r>
      <w:r>
        <w:rPr>
          <w:i/>
        </w:rPr>
        <w:t>et al</w:t>
      </w:r>
      <w:r>
        <w:rPr/>
        <w:t>., 2007).</w:t>
      </w:r>
    </w:p>
    <w:p>
      <w:pPr>
        <w:pStyle w:val="BodyText"/>
      </w:pPr>
    </w:p>
    <w:p>
      <w:pPr>
        <w:pStyle w:val="BodyText"/>
        <w:spacing w:line="480" w:lineRule="auto" w:before="1"/>
        <w:ind w:left="560" w:right="799"/>
        <w:jc w:val="both"/>
      </w:pPr>
      <w:r>
        <w:rPr/>
        <w:t>Conversely, adverse pregnancy and post partum conditions do occur without anaemia. Thorough investigation that would define the causes and suggest measures to prevent similar occurrences ought to be carried out before resting such cases.</w:t>
      </w:r>
    </w:p>
    <w:p>
      <w:pPr>
        <w:pStyle w:val="BodyText"/>
      </w:pPr>
    </w:p>
    <w:p>
      <w:pPr>
        <w:pStyle w:val="BodyText"/>
        <w:spacing w:line="480" w:lineRule="auto"/>
        <w:ind w:left="560" w:right="793"/>
        <w:jc w:val="both"/>
      </w:pPr>
      <w:r>
        <w:rPr/>
        <w:t>It is ideal that a good clinical practice should aim at reaching specific and diagnostic conclusion and should be supported by current scientific knowledge. The result of this study of the associations of cytokines, iron and parasitaemia in the malaria vulnerable women in</w:t>
      </w:r>
      <w:r>
        <w:rPr>
          <w:spacing w:val="80"/>
        </w:rPr>
        <w:t> </w:t>
      </w:r>
      <w:r>
        <w:rPr/>
        <w:t>my environment may profer solutions to these problems.</w:t>
      </w:r>
    </w:p>
    <w:p>
      <w:pPr>
        <w:pStyle w:val="BodyText"/>
      </w:pPr>
    </w:p>
    <w:p>
      <w:pPr>
        <w:pStyle w:val="ListParagraph"/>
        <w:numPr>
          <w:ilvl w:val="1"/>
          <w:numId w:val="1"/>
        </w:numPr>
        <w:tabs>
          <w:tab w:pos="1280" w:val="left" w:leader="none"/>
        </w:tabs>
        <w:spacing w:line="480" w:lineRule="auto" w:before="1" w:after="0"/>
        <w:ind w:left="560" w:right="793" w:firstLine="0"/>
        <w:jc w:val="left"/>
        <w:rPr>
          <w:sz w:val="24"/>
        </w:rPr>
      </w:pPr>
      <w:r>
        <w:rPr>
          <w:b/>
          <w:sz w:val="24"/>
        </w:rPr>
        <w:t>AIM OF STUDY: </w:t>
      </w:r>
      <w:r>
        <w:rPr>
          <w:sz w:val="24"/>
        </w:rPr>
        <w:t>To determine the relationship between the levels ofcytokines, iron and malaria parasitaemia among pregnant women infected with malaria</w:t>
      </w:r>
    </w:p>
    <w:p>
      <w:pPr>
        <w:pStyle w:val="BodyText"/>
      </w:pPr>
    </w:p>
    <w:p>
      <w:pPr>
        <w:pStyle w:val="ListParagraph"/>
        <w:numPr>
          <w:ilvl w:val="1"/>
          <w:numId w:val="1"/>
        </w:numPr>
        <w:tabs>
          <w:tab w:pos="1280" w:val="left" w:leader="none"/>
        </w:tabs>
        <w:spacing w:line="240" w:lineRule="auto" w:before="0" w:after="0"/>
        <w:ind w:left="1280" w:right="0" w:hanging="720"/>
        <w:jc w:val="left"/>
        <w:rPr>
          <w:sz w:val="24"/>
        </w:rPr>
      </w:pPr>
      <w:r>
        <w:rPr>
          <w:b/>
          <w:sz w:val="24"/>
        </w:rPr>
        <w:t>SPECIFIC</w:t>
      </w:r>
      <w:r>
        <w:rPr>
          <w:b/>
          <w:spacing w:val="-1"/>
          <w:sz w:val="24"/>
        </w:rPr>
        <w:t> </w:t>
      </w:r>
      <w:r>
        <w:rPr>
          <w:b/>
          <w:sz w:val="24"/>
        </w:rPr>
        <w:t>OBJECTIVES:</w:t>
      </w:r>
      <w:r>
        <w:rPr>
          <w:b/>
          <w:spacing w:val="-1"/>
          <w:sz w:val="24"/>
        </w:rPr>
        <w:t> </w:t>
      </w:r>
      <w:r>
        <w:rPr>
          <w:sz w:val="24"/>
        </w:rPr>
        <w:t>The</w:t>
      </w:r>
      <w:r>
        <w:rPr>
          <w:spacing w:val="-2"/>
          <w:sz w:val="24"/>
        </w:rPr>
        <w:t> </w:t>
      </w:r>
      <w:r>
        <w:rPr>
          <w:sz w:val="24"/>
        </w:rPr>
        <w:t>specific</w:t>
      </w:r>
      <w:r>
        <w:rPr>
          <w:spacing w:val="-1"/>
          <w:sz w:val="24"/>
        </w:rPr>
        <w:t> </w:t>
      </w:r>
      <w:r>
        <w:rPr>
          <w:sz w:val="24"/>
        </w:rPr>
        <w:t>objectives of this</w:t>
      </w:r>
      <w:r>
        <w:rPr>
          <w:spacing w:val="1"/>
          <w:sz w:val="24"/>
        </w:rPr>
        <w:t> </w:t>
      </w:r>
      <w:r>
        <w:rPr>
          <w:sz w:val="24"/>
        </w:rPr>
        <w:t>study</w:t>
      </w:r>
      <w:r>
        <w:rPr>
          <w:spacing w:val="-5"/>
          <w:sz w:val="24"/>
        </w:rPr>
        <w:t> </w:t>
      </w:r>
      <w:r>
        <w:rPr>
          <w:sz w:val="24"/>
        </w:rPr>
        <w:t>are</w:t>
      </w:r>
      <w:r>
        <w:rPr>
          <w:spacing w:val="-2"/>
          <w:sz w:val="24"/>
        </w:rPr>
        <w:t> </w:t>
      </w:r>
      <w:r>
        <w:rPr>
          <w:sz w:val="24"/>
        </w:rPr>
        <w:t>as</w:t>
      </w:r>
      <w:r>
        <w:rPr>
          <w:spacing w:val="2"/>
          <w:sz w:val="24"/>
        </w:rPr>
        <w:t> </w:t>
      </w:r>
      <w:r>
        <w:rPr>
          <w:spacing w:val="-2"/>
          <w:sz w:val="24"/>
        </w:rPr>
        <w:t>follows;</w:t>
      </w:r>
    </w:p>
    <w:p>
      <w:pPr>
        <w:pStyle w:val="BodyText"/>
        <w:spacing w:before="2"/>
      </w:pPr>
    </w:p>
    <w:p>
      <w:pPr>
        <w:pStyle w:val="ListParagraph"/>
        <w:numPr>
          <w:ilvl w:val="0"/>
          <w:numId w:val="2"/>
        </w:numPr>
        <w:tabs>
          <w:tab w:pos="1280" w:val="left" w:leader="none"/>
        </w:tabs>
        <w:spacing w:line="480" w:lineRule="auto" w:before="0" w:after="0"/>
        <w:ind w:left="1280" w:right="793" w:hanging="720"/>
        <w:jc w:val="both"/>
        <w:rPr>
          <w:sz w:val="24"/>
        </w:rPr>
      </w:pPr>
      <w:r>
        <w:rPr>
          <w:sz w:val="24"/>
        </w:rPr>
        <w:t>To evaluate the levels of pro-inflammatory (TNFα, IFN</w:t>
      </w:r>
      <w:r>
        <w:rPr>
          <w:rFonts w:ascii="Symbol" w:hAnsi="Symbol"/>
          <w:sz w:val="24"/>
        </w:rPr>
        <w:t></w:t>
      </w:r>
      <w:r>
        <w:rPr>
          <w:sz w:val="24"/>
        </w:rPr>
        <w:t> and IL-6) and anti- inflammatory</w:t>
      </w:r>
      <w:r>
        <w:rPr>
          <w:spacing w:val="-3"/>
          <w:sz w:val="24"/>
        </w:rPr>
        <w:t> </w:t>
      </w:r>
      <w:r>
        <w:rPr>
          <w:sz w:val="24"/>
        </w:rPr>
        <w:t>(regulatory)</w:t>
      </w:r>
      <w:r>
        <w:rPr>
          <w:spacing w:val="-2"/>
          <w:sz w:val="24"/>
        </w:rPr>
        <w:t> </w:t>
      </w:r>
      <w:r>
        <w:rPr>
          <w:sz w:val="24"/>
        </w:rPr>
        <w:t>(IL-4and IL-10) cytokines among pregnant andpost-partum women with malaria infection.</w:t>
      </w:r>
    </w:p>
    <w:p>
      <w:pPr>
        <w:pStyle w:val="BodyText"/>
        <w:spacing w:before="92"/>
      </w:pPr>
    </w:p>
    <w:p>
      <w:pPr>
        <w:pStyle w:val="ListParagraph"/>
        <w:numPr>
          <w:ilvl w:val="0"/>
          <w:numId w:val="2"/>
        </w:numPr>
        <w:tabs>
          <w:tab w:pos="1278" w:val="left" w:leader="none"/>
          <w:tab w:pos="1280" w:val="left" w:leader="none"/>
        </w:tabs>
        <w:spacing w:line="477" w:lineRule="auto" w:before="0" w:after="0"/>
        <w:ind w:left="1280" w:right="797" w:hanging="720"/>
        <w:jc w:val="both"/>
        <w:rPr>
          <w:sz w:val="24"/>
        </w:rPr>
      </w:pPr>
      <w:r>
        <w:rPr>
          <w:sz w:val="24"/>
        </w:rPr>
        <w:t>To compare the parasite density and cytokine (TNF</w:t>
      </w:r>
      <w:r>
        <w:rPr>
          <w:rFonts w:ascii="Symbol" w:hAnsi="Symbol"/>
          <w:sz w:val="24"/>
        </w:rPr>
        <w:t></w:t>
      </w:r>
      <w:r>
        <w:rPr>
          <w:sz w:val="24"/>
        </w:rPr>
        <w:t>, IFN</w:t>
      </w:r>
      <w:r>
        <w:rPr>
          <w:rFonts w:ascii="Symbol" w:hAnsi="Symbol"/>
          <w:sz w:val="24"/>
        </w:rPr>
        <w:t></w:t>
      </w:r>
      <w:r>
        <w:rPr>
          <w:sz w:val="24"/>
        </w:rPr>
        <w:t>, IL-4, IL-6, and IL-10) levels in the peripheral and placental blood.</w:t>
      </w:r>
    </w:p>
    <w:p>
      <w:pPr>
        <w:pStyle w:val="BodyText"/>
        <w:spacing w:before="95"/>
      </w:pPr>
    </w:p>
    <w:p>
      <w:pPr>
        <w:pStyle w:val="ListParagraph"/>
        <w:numPr>
          <w:ilvl w:val="0"/>
          <w:numId w:val="2"/>
        </w:numPr>
        <w:tabs>
          <w:tab w:pos="1280" w:val="left" w:leader="none"/>
        </w:tabs>
        <w:spacing w:line="480" w:lineRule="auto" w:before="0" w:after="0"/>
        <w:ind w:left="1280" w:right="798" w:hanging="720"/>
        <w:jc w:val="both"/>
        <w:rPr>
          <w:sz w:val="24"/>
        </w:rPr>
      </w:pPr>
      <w:r>
        <w:rPr>
          <w:sz w:val="24"/>
        </w:rPr>
        <w:t>To determine the influence of age, gestational age and gravidity on the secretion of pro-inflammatory (TNFα, IFN</w:t>
      </w:r>
      <w:r>
        <w:rPr>
          <w:rFonts w:ascii="Symbol" w:hAnsi="Symbol"/>
          <w:sz w:val="24"/>
        </w:rPr>
        <w:t></w:t>
      </w:r>
      <w:r>
        <w:rPr>
          <w:sz w:val="24"/>
        </w:rPr>
        <w:t> and IL-6) and regulatory (IL-4and IL-10) cytokines among pregnant women infected with malaria.</w:t>
      </w:r>
    </w:p>
    <w:p>
      <w:pPr>
        <w:pStyle w:val="BodyText"/>
      </w:pPr>
    </w:p>
    <w:p>
      <w:pPr>
        <w:pStyle w:val="ListParagraph"/>
        <w:numPr>
          <w:ilvl w:val="0"/>
          <w:numId w:val="2"/>
        </w:numPr>
        <w:tabs>
          <w:tab w:pos="1280" w:val="left" w:leader="none"/>
        </w:tabs>
        <w:spacing w:line="480" w:lineRule="auto" w:before="0" w:after="0"/>
        <w:ind w:left="1280" w:right="798" w:hanging="720"/>
        <w:jc w:val="both"/>
        <w:rPr>
          <w:sz w:val="24"/>
        </w:rPr>
      </w:pPr>
      <w:r>
        <w:rPr>
          <w:sz w:val="24"/>
        </w:rPr>
        <w:t>To determine the iron status and the effect of age, trimester and gravidity on the iron levels of the pregnant subjects.</w:t>
      </w:r>
    </w:p>
    <w:p>
      <w:pPr>
        <w:spacing w:after="0" w:line="480" w:lineRule="auto"/>
        <w:jc w:val="both"/>
        <w:rPr>
          <w:sz w:val="24"/>
        </w:rPr>
        <w:sectPr>
          <w:pgSz w:w="11910" w:h="16840"/>
          <w:pgMar w:header="0" w:footer="1067" w:top="1060" w:bottom="1260" w:left="880" w:right="640"/>
        </w:sectPr>
      </w:pPr>
    </w:p>
    <w:p>
      <w:pPr>
        <w:pStyle w:val="ListParagraph"/>
        <w:numPr>
          <w:ilvl w:val="0"/>
          <w:numId w:val="2"/>
        </w:numPr>
        <w:tabs>
          <w:tab w:pos="1278" w:val="left" w:leader="none"/>
          <w:tab w:pos="1280" w:val="left" w:leader="none"/>
        </w:tabs>
        <w:spacing w:line="480" w:lineRule="auto" w:before="72" w:after="0"/>
        <w:ind w:left="1280" w:right="795" w:hanging="720"/>
        <w:jc w:val="both"/>
        <w:rPr>
          <w:sz w:val="24"/>
        </w:rPr>
      </w:pPr>
      <w:r>
        <w:rPr>
          <w:sz w:val="24"/>
        </w:rPr>
        <w:t>To correlateif there is any association between cytokines (TNF</w:t>
      </w:r>
      <w:r>
        <w:rPr>
          <w:rFonts w:ascii="Symbol" w:hAnsi="Symbol"/>
          <w:sz w:val="24"/>
        </w:rPr>
        <w:t></w:t>
      </w:r>
      <w:r>
        <w:rPr>
          <w:sz w:val="24"/>
        </w:rPr>
        <w:t>, IFN</w:t>
      </w:r>
      <w:r>
        <w:rPr>
          <w:rFonts w:ascii="Symbol" w:hAnsi="Symbol"/>
          <w:sz w:val="24"/>
        </w:rPr>
        <w:t></w:t>
      </w:r>
      <w:r>
        <w:rPr>
          <w:sz w:val="24"/>
        </w:rPr>
        <w:t>, IL-4, IL-6,</w:t>
      </w:r>
      <w:r>
        <w:rPr>
          <w:spacing w:val="40"/>
          <w:sz w:val="24"/>
        </w:rPr>
        <w:t> </w:t>
      </w:r>
      <w:r>
        <w:rPr>
          <w:sz w:val="24"/>
        </w:rPr>
        <w:t>and IL-10), iron (Hb, MCV, SF, sTfR), acute phase protein (C-RP)and malaria parasite densityamong malaria infected pregnant women.</w:t>
      </w:r>
    </w:p>
    <w:p>
      <w:pPr>
        <w:pStyle w:val="BodyText"/>
      </w:pPr>
    </w:p>
    <w:p>
      <w:pPr>
        <w:pStyle w:val="BodyText"/>
        <w:spacing w:before="3"/>
      </w:pPr>
    </w:p>
    <w:p>
      <w:pPr>
        <w:pStyle w:val="Heading2"/>
        <w:numPr>
          <w:ilvl w:val="1"/>
          <w:numId w:val="1"/>
        </w:numPr>
        <w:tabs>
          <w:tab w:pos="1280" w:val="left" w:leader="none"/>
        </w:tabs>
        <w:spacing w:line="240" w:lineRule="auto" w:before="0" w:after="0"/>
        <w:ind w:left="1280" w:right="0" w:hanging="720"/>
        <w:jc w:val="left"/>
      </w:pPr>
      <w:r>
        <w:rPr>
          <w:spacing w:val="-2"/>
        </w:rPr>
        <w:t>JUSTIFICATION</w:t>
      </w:r>
    </w:p>
    <w:p>
      <w:pPr>
        <w:pStyle w:val="BodyText"/>
        <w:spacing w:line="480" w:lineRule="auto" w:before="272"/>
        <w:ind w:left="560" w:right="798"/>
        <w:jc w:val="both"/>
      </w:pPr>
      <w:r>
        <w:rPr/>
        <w:t>Either malaria parasitaemia or iron deficiency has been emphasized as major aetiological factors of anaemia in pregnancy (Nyakeriga </w:t>
      </w:r>
      <w:r>
        <w:rPr>
          <w:i/>
        </w:rPr>
        <w:t>et al., </w:t>
      </w:r>
      <w:r>
        <w:rPr/>
        <w:t>2005). Little observation also has been made on the co-existence of both factors. Again, these studies paid attention to the</w:t>
      </w:r>
      <w:r>
        <w:rPr>
          <w:spacing w:val="40"/>
        </w:rPr>
        <w:t> </w:t>
      </w:r>
      <w:r>
        <w:rPr/>
        <w:t>assessment</w:t>
      </w:r>
      <w:r>
        <w:rPr>
          <w:spacing w:val="-1"/>
        </w:rPr>
        <w:t> </w:t>
      </w:r>
      <w:r>
        <w:rPr/>
        <w:t>of</w:t>
      </w:r>
      <w:r>
        <w:rPr>
          <w:spacing w:val="-2"/>
        </w:rPr>
        <w:t> </w:t>
      </w:r>
      <w:r>
        <w:rPr/>
        <w:t>the</w:t>
      </w:r>
      <w:r>
        <w:rPr>
          <w:spacing w:val="-2"/>
        </w:rPr>
        <w:t> </w:t>
      </w:r>
      <w:r>
        <w:rPr/>
        <w:t>aetiological</w:t>
      </w:r>
      <w:r>
        <w:rPr>
          <w:spacing w:val="-1"/>
        </w:rPr>
        <w:t> </w:t>
      </w:r>
      <w:r>
        <w:rPr/>
        <w:t>factors</w:t>
      </w:r>
      <w:r>
        <w:rPr>
          <w:spacing w:val="-1"/>
        </w:rPr>
        <w:t> </w:t>
      </w:r>
      <w:r>
        <w:rPr/>
        <w:t>of</w:t>
      </w:r>
      <w:r>
        <w:rPr>
          <w:spacing w:val="-2"/>
        </w:rPr>
        <w:t> </w:t>
      </w:r>
      <w:r>
        <w:rPr/>
        <w:t>anaemia</w:t>
      </w:r>
      <w:r>
        <w:rPr>
          <w:spacing w:val="-2"/>
        </w:rPr>
        <w:t> </w:t>
      </w:r>
      <w:r>
        <w:rPr/>
        <w:t>in</w:t>
      </w:r>
      <w:r>
        <w:rPr>
          <w:spacing w:val="-1"/>
        </w:rPr>
        <w:t> </w:t>
      </w:r>
      <w:r>
        <w:rPr/>
        <w:t>pregnancy</w:t>
      </w:r>
      <w:r>
        <w:rPr>
          <w:spacing w:val="-6"/>
        </w:rPr>
        <w:t> </w:t>
      </w:r>
      <w:r>
        <w:rPr/>
        <w:t>and</w:t>
      </w:r>
      <w:r>
        <w:rPr>
          <w:spacing w:val="-1"/>
        </w:rPr>
        <w:t> </w:t>
      </w:r>
      <w:r>
        <w:rPr/>
        <w:t>pregnancy</w:t>
      </w:r>
      <w:r>
        <w:rPr>
          <w:spacing w:val="-6"/>
        </w:rPr>
        <w:t> </w:t>
      </w:r>
      <w:r>
        <w:rPr/>
        <w:t>outcome(s)</w:t>
      </w:r>
      <w:r>
        <w:rPr>
          <w:spacing w:val="-3"/>
        </w:rPr>
        <w:t> </w:t>
      </w:r>
      <w:r>
        <w:rPr/>
        <w:t>due to extreme severity of anaemia as the cause of maternal/infant morbidity and mortality.Moreover, some cases of poor foetal outcome or other adverse pregnancy outcome have been reported to have occurred and these were adduced to alteration of physiological mechanisms due to dysregulation of specific cytokines (Fried </w:t>
      </w:r>
      <w:r>
        <w:rPr>
          <w:i/>
        </w:rPr>
        <w:t>et al.,</w:t>
      </w:r>
      <w:r>
        <w:rPr/>
        <w:t>1998).</w:t>
      </w:r>
    </w:p>
    <w:p>
      <w:pPr>
        <w:pStyle w:val="BodyText"/>
        <w:spacing w:before="1"/>
      </w:pPr>
    </w:p>
    <w:p>
      <w:pPr>
        <w:pStyle w:val="BodyText"/>
        <w:spacing w:line="480" w:lineRule="auto"/>
        <w:ind w:left="560" w:right="796"/>
        <w:jc w:val="both"/>
      </w:pPr>
      <w:r>
        <w:rPr/>
        <w:t>Most of the studies on malarial anaemia in pregnancy have been concentrated on few centers such as Ibadan, Lagos, Enugu, Calabar and Port-Harcourt zones of Nigeria inspite of the fact that the intensity of malaria transmission, socio-economic and cultural practices vary in different parts of the country. Besides, individual and governmental approach to implementation of preventive measures to malaria and anaemia in pregnancy differ with individuals and from one government to another and this is common in Nigeria.</w:t>
      </w:r>
    </w:p>
    <w:p>
      <w:pPr>
        <w:pStyle w:val="BodyText"/>
        <w:spacing w:before="1"/>
      </w:pPr>
    </w:p>
    <w:p>
      <w:pPr>
        <w:pStyle w:val="BodyText"/>
        <w:spacing w:line="480" w:lineRule="auto"/>
        <w:ind w:left="560" w:right="793"/>
        <w:jc w:val="both"/>
      </w:pPr>
      <w:r>
        <w:rPr/>
        <w:t>In Nigeria, there is paucity of literature on molecular studies on malaria and anaemia in pregnancy and post partum caused by malaria infection. Again, there is deficit of published work on iron status. Furthermore, studies on interactions of cytokines, iron, acute phase proteins and parasitaemia have not been reported in Aba, Abia State, Nigeria, hence the need for this study.</w:t>
      </w:r>
    </w:p>
    <w:p>
      <w:pPr>
        <w:spacing w:after="0" w:line="480" w:lineRule="auto"/>
        <w:jc w:val="both"/>
        <w:sectPr>
          <w:pgSz w:w="11910" w:h="16840"/>
          <w:pgMar w:header="0" w:footer="1067" w:top="1060" w:bottom="1260" w:left="880" w:right="640"/>
        </w:sectPr>
      </w:pPr>
    </w:p>
    <w:p>
      <w:pPr>
        <w:spacing w:before="75"/>
        <w:ind w:left="0" w:right="234" w:firstLine="0"/>
        <w:jc w:val="center"/>
        <w:rPr>
          <w:b/>
          <w:sz w:val="24"/>
        </w:rPr>
      </w:pPr>
      <w:r>
        <w:rPr>
          <w:b/>
          <w:sz w:val="24"/>
        </w:rPr>
        <w:t>CHAPTER</w:t>
      </w:r>
      <w:r>
        <w:rPr>
          <w:b/>
          <w:spacing w:val="-2"/>
          <w:sz w:val="24"/>
        </w:rPr>
        <w:t> </w:t>
      </w:r>
      <w:r>
        <w:rPr>
          <w:b/>
          <w:spacing w:val="-5"/>
          <w:sz w:val="24"/>
        </w:rPr>
        <w:t>TWO</w:t>
      </w:r>
    </w:p>
    <w:p>
      <w:pPr>
        <w:pStyle w:val="BodyText"/>
        <w:rPr>
          <w:b/>
        </w:rPr>
      </w:pPr>
    </w:p>
    <w:p>
      <w:pPr>
        <w:pStyle w:val="BodyText"/>
        <w:rPr>
          <w:b/>
        </w:rPr>
      </w:pPr>
    </w:p>
    <w:p>
      <w:pPr>
        <w:pStyle w:val="ListParagraph"/>
        <w:numPr>
          <w:ilvl w:val="1"/>
          <w:numId w:val="3"/>
        </w:numPr>
        <w:tabs>
          <w:tab w:pos="1280" w:val="left" w:leader="none"/>
        </w:tabs>
        <w:spacing w:line="240" w:lineRule="auto" w:before="0" w:after="0"/>
        <w:ind w:left="1280" w:right="0" w:hanging="720"/>
        <w:jc w:val="left"/>
        <w:rPr>
          <w:b/>
          <w:sz w:val="24"/>
        </w:rPr>
      </w:pPr>
      <w:r>
        <w:rPr>
          <w:b/>
          <w:sz w:val="24"/>
        </w:rPr>
        <w:t>LITERATURE</w:t>
      </w:r>
      <w:r>
        <w:rPr>
          <w:b/>
          <w:spacing w:val="-2"/>
          <w:sz w:val="24"/>
        </w:rPr>
        <w:t> REVIEW</w:t>
      </w:r>
    </w:p>
    <w:p>
      <w:pPr>
        <w:pStyle w:val="BodyText"/>
        <w:rPr>
          <w:b/>
        </w:rPr>
      </w:pPr>
    </w:p>
    <w:p>
      <w:pPr>
        <w:pStyle w:val="ListParagraph"/>
        <w:numPr>
          <w:ilvl w:val="2"/>
          <w:numId w:val="3"/>
        </w:numPr>
        <w:tabs>
          <w:tab w:pos="1280" w:val="left" w:leader="none"/>
        </w:tabs>
        <w:spacing w:line="240" w:lineRule="auto" w:before="0" w:after="0"/>
        <w:ind w:left="1280" w:right="0" w:hanging="720"/>
        <w:jc w:val="left"/>
        <w:rPr>
          <w:b/>
          <w:sz w:val="24"/>
        </w:rPr>
      </w:pPr>
      <w:r>
        <w:rPr>
          <w:b/>
          <w:spacing w:val="-2"/>
          <w:sz w:val="24"/>
        </w:rPr>
        <w:t>MALARIA</w:t>
      </w:r>
    </w:p>
    <w:p>
      <w:pPr>
        <w:pStyle w:val="BodyText"/>
        <w:spacing w:line="480" w:lineRule="auto" w:before="272"/>
        <w:ind w:left="560" w:right="794"/>
        <w:jc w:val="both"/>
      </w:pPr>
      <w:r>
        <w:rPr/>
        <w:t>Malaria has remained one of the global health problems and is endemic in parts of Asia, Africa, Oceania, central and South America (WHO, 2011).According to World Health Organization (WHO) malaria report 2011, a total of 216 million estimated malaria cases occurred in 2010of which 81% were reported in Africa followed by 13% from South East Asia and 5% from Eastern Mediterranean regions (WHO,2011).</w:t>
      </w:r>
      <w:r>
        <w:rPr>
          <w:spacing w:val="40"/>
        </w:rPr>
        <w:t> </w:t>
      </w:r>
      <w:r>
        <w:rPr/>
        <w:t>The number of death also reporteddue to malariain 2010 was estimated to be 655,000; of which 91% occurred in the Africa, 6% in South East Asia and 3% in Eastern Mediterranean regions (WHO, 2011). Malaria from the western countries is usually as a result of transportation from the tropical and the sub-tropical regions of the world where malaria is endemic (O‟Brien </w:t>
      </w:r>
      <w:r>
        <w:rPr>
          <w:i/>
        </w:rPr>
        <w:t>et al., </w:t>
      </w:r>
      <w:r>
        <w:rPr/>
        <w:t>2006).</w:t>
      </w:r>
    </w:p>
    <w:p>
      <w:pPr>
        <w:pStyle w:val="BodyText"/>
        <w:spacing w:line="480" w:lineRule="auto" w:before="1"/>
        <w:ind w:left="560" w:right="795"/>
        <w:jc w:val="both"/>
      </w:pPr>
      <w:r>
        <w:rPr/>
        <w:t>On the distribution of human pathogenic plasmodium, reports show a preponderance of P. </w:t>
      </w:r>
      <w:r>
        <w:rPr>
          <w:i/>
        </w:rPr>
        <w:t>falciparum </w:t>
      </w:r>
      <w:r>
        <w:rPr/>
        <w:t>in tropical Africa, </w:t>
      </w:r>
      <w:r>
        <w:rPr>
          <w:i/>
        </w:rPr>
        <w:t>P.vivax </w:t>
      </w:r>
      <w:r>
        <w:rPr/>
        <w:t>in South America while P. </w:t>
      </w:r>
      <w:r>
        <w:rPr>
          <w:i/>
        </w:rPr>
        <w:t>falciparum </w:t>
      </w:r>
      <w:r>
        <w:rPr/>
        <w:t>and P. </w:t>
      </w:r>
      <w:r>
        <w:rPr>
          <w:i/>
        </w:rPr>
        <w:t>vivax </w:t>
      </w:r>
      <w:r>
        <w:rPr/>
        <w:t>are prevalent in South-East Asia and Western Pacific. Although P. </w:t>
      </w:r>
      <w:r>
        <w:rPr>
          <w:i/>
        </w:rPr>
        <w:t>malariae </w:t>
      </w:r>
      <w:r>
        <w:rPr/>
        <w:t>may occur in any area, its prevalence is generally low. P. </w:t>
      </w:r>
      <w:r>
        <w:rPr>
          <w:i/>
        </w:rPr>
        <w:t>ovale </w:t>
      </w:r>
      <w:r>
        <w:rPr/>
        <w:t>is found in tropical Africa whereas P. </w:t>
      </w:r>
      <w:r>
        <w:rPr>
          <w:i/>
        </w:rPr>
        <w:t>knowlesi </w:t>
      </w:r>
      <w:r>
        <w:rPr/>
        <w:t>infection occurs only in certain forested area of South-East Asia (Autino </w:t>
      </w:r>
      <w:r>
        <w:rPr>
          <w:i/>
        </w:rPr>
        <w:t>et al.,</w:t>
      </w:r>
      <w:r>
        <w:rPr/>
        <w:t>2012).</w:t>
      </w:r>
    </w:p>
    <w:p>
      <w:pPr>
        <w:pStyle w:val="BodyText"/>
        <w:spacing w:before="1"/>
      </w:pPr>
    </w:p>
    <w:p>
      <w:pPr>
        <w:pStyle w:val="BodyText"/>
        <w:spacing w:line="480" w:lineRule="auto"/>
        <w:ind w:left="560" w:right="791"/>
        <w:jc w:val="both"/>
      </w:pPr>
      <w:r>
        <w:rPr>
          <w:i/>
        </w:rPr>
        <w:t>P. falciparum </w:t>
      </w:r>
      <w:r>
        <w:rPr/>
        <w:t>is the most pathogenic of the human plasmodium and causes about 90 – 98%</w:t>
      </w:r>
      <w:r>
        <w:rPr>
          <w:spacing w:val="80"/>
        </w:rPr>
        <w:t> </w:t>
      </w:r>
      <w:r>
        <w:rPr/>
        <w:t>of</w:t>
      </w:r>
      <w:r>
        <w:rPr>
          <w:spacing w:val="-1"/>
        </w:rPr>
        <w:t> </w:t>
      </w:r>
      <w:r>
        <w:rPr/>
        <w:t>malaria</w:t>
      </w:r>
      <w:r>
        <w:rPr>
          <w:spacing w:val="-2"/>
        </w:rPr>
        <w:t> </w:t>
      </w:r>
      <w:r>
        <w:rPr/>
        <w:t>disease. It may</w:t>
      </w:r>
      <w:r>
        <w:rPr>
          <w:spacing w:val="-3"/>
        </w:rPr>
        <w:t> </w:t>
      </w:r>
      <w:r>
        <w:rPr/>
        <w:t>invade</w:t>
      </w:r>
      <w:r>
        <w:rPr>
          <w:spacing w:val="-1"/>
        </w:rPr>
        <w:t> </w:t>
      </w:r>
      <w:r>
        <w:rPr/>
        <w:t>about 30 – 40%</w:t>
      </w:r>
      <w:r>
        <w:rPr>
          <w:spacing w:val="-1"/>
        </w:rPr>
        <w:t> </w:t>
      </w:r>
      <w:r>
        <w:rPr/>
        <w:t>of</w:t>
      </w:r>
      <w:r>
        <w:rPr>
          <w:spacing w:val="-1"/>
        </w:rPr>
        <w:t> </w:t>
      </w:r>
      <w:r>
        <w:rPr/>
        <w:t>red blood cells and may</w:t>
      </w:r>
      <w:r>
        <w:rPr>
          <w:spacing w:val="-5"/>
        </w:rPr>
        <w:t> </w:t>
      </w:r>
      <w:r>
        <w:rPr/>
        <w:t>exhibit a density of about 250,000 – 300,000parasite/ul of blood (Arora and Arora, 2010). The most outstanding and specific characteristic of </w:t>
      </w:r>
      <w:r>
        <w:rPr>
          <w:i/>
        </w:rPr>
        <w:t>P. falciparum </w:t>
      </w:r>
      <w:r>
        <w:rPr/>
        <w:t>is its sequestration and possible occlusion of the capillaries with aggregate of parasitized red cells. These may result in haemorrhage, damage and necrosis particularly</w:t>
      </w:r>
      <w:r>
        <w:rPr>
          <w:spacing w:val="-2"/>
        </w:rPr>
        <w:t> </w:t>
      </w:r>
      <w:r>
        <w:rPr/>
        <w:t>in the brain and other vital organs such as the kidney and the heart (Warren, 2010).</w:t>
      </w:r>
    </w:p>
    <w:p>
      <w:pPr>
        <w:spacing w:after="0" w:line="480" w:lineRule="auto"/>
        <w:jc w:val="both"/>
        <w:sectPr>
          <w:pgSz w:w="11910" w:h="16840"/>
          <w:pgMar w:header="0" w:footer="1067" w:top="1060" w:bottom="1260" w:left="880" w:right="640"/>
        </w:sectPr>
      </w:pPr>
    </w:p>
    <w:p>
      <w:pPr>
        <w:pStyle w:val="BodyText"/>
        <w:ind w:left="560"/>
        <w:rPr>
          <w:sz w:val="20"/>
        </w:rPr>
      </w:pPr>
      <w:r>
        <w:rPr>
          <w:sz w:val="20"/>
        </w:rPr>
        <w:drawing>
          <wp:inline distT="0" distB="0" distL="0" distR="0">
            <wp:extent cx="5719126" cy="3205353"/>
            <wp:effectExtent l="0" t="0" r="0" b="0"/>
            <wp:docPr id="2" name="Image 2">
              <a:hlinkClick r:id="rId6"/>
            </wp:docPr>
            <wp:cNvGraphicFramePr>
              <a:graphicFrameLocks/>
            </wp:cNvGraphicFramePr>
            <a:graphic>
              <a:graphicData uri="http://schemas.openxmlformats.org/drawingml/2006/picture">
                <pic:pic>
                  <pic:nvPicPr>
                    <pic:cNvPr id="2" name="Image 2">
                      <a:hlinkClick r:id="rId6"/>
                    </pic:cNvPr>
                    <pic:cNvPicPr/>
                  </pic:nvPicPr>
                  <pic:blipFill>
                    <a:blip r:embed="rId7" cstate="print"/>
                    <a:stretch>
                      <a:fillRect/>
                    </a:stretch>
                  </pic:blipFill>
                  <pic:spPr>
                    <a:xfrm>
                      <a:off x="0" y="0"/>
                      <a:ext cx="5719126" cy="3205353"/>
                    </a:xfrm>
                    <a:prstGeom prst="rect">
                      <a:avLst/>
                    </a:prstGeom>
                  </pic:spPr>
                </pic:pic>
              </a:graphicData>
            </a:graphic>
          </wp:inline>
        </w:drawing>
      </w:r>
      <w:r>
        <w:rPr>
          <w:sz w:val="20"/>
        </w:rPr>
      </w:r>
    </w:p>
    <w:p>
      <w:pPr>
        <w:pStyle w:val="BodyText"/>
        <w:spacing w:before="266"/>
        <w:ind w:left="560"/>
      </w:pPr>
      <w:r>
        <w:rPr/>
        <w:t>Fig.1.0.</w:t>
      </w:r>
      <w:r>
        <w:rPr>
          <w:spacing w:val="-1"/>
        </w:rPr>
        <w:t> </w:t>
      </w:r>
      <w:r>
        <w:rPr/>
        <w:t>Map</w:t>
      </w:r>
      <w:r>
        <w:rPr>
          <w:spacing w:val="-2"/>
        </w:rPr>
        <w:t> </w:t>
      </w:r>
      <w:r>
        <w:rPr/>
        <w:t>showing</w:t>
      </w:r>
      <w:r>
        <w:rPr>
          <w:spacing w:val="-1"/>
        </w:rPr>
        <w:t> </w:t>
      </w:r>
      <w:r>
        <w:rPr/>
        <w:t>world</w:t>
      </w:r>
      <w:r>
        <w:rPr>
          <w:spacing w:val="-1"/>
        </w:rPr>
        <w:t> </w:t>
      </w:r>
      <w:r>
        <w:rPr/>
        <w:t>malaria</w:t>
      </w:r>
      <w:r>
        <w:rPr>
          <w:spacing w:val="-1"/>
        </w:rPr>
        <w:t> </w:t>
      </w:r>
      <w:r>
        <w:rPr/>
        <w:t>parasite</w:t>
      </w:r>
      <w:r>
        <w:rPr>
          <w:spacing w:val="-2"/>
        </w:rPr>
        <w:t> </w:t>
      </w:r>
      <w:r>
        <w:rPr/>
        <w:t>distribution.(WHO, </w:t>
      </w:r>
      <w:r>
        <w:rPr>
          <w:spacing w:val="-2"/>
        </w:rPr>
        <w:t>2012)</w:t>
      </w:r>
    </w:p>
    <w:p>
      <w:pPr>
        <w:spacing w:after="0"/>
        <w:sectPr>
          <w:pgSz w:w="11910" w:h="16840"/>
          <w:pgMar w:header="0" w:footer="1067" w:top="1140" w:bottom="1260" w:left="880" w:right="640"/>
        </w:sectPr>
      </w:pPr>
    </w:p>
    <w:p>
      <w:pPr>
        <w:pStyle w:val="Heading3"/>
        <w:numPr>
          <w:ilvl w:val="2"/>
          <w:numId w:val="3"/>
        </w:numPr>
        <w:tabs>
          <w:tab w:pos="1279" w:val="left" w:leader="none"/>
        </w:tabs>
        <w:spacing w:line="240" w:lineRule="auto" w:before="75" w:after="0"/>
        <w:ind w:left="1279" w:right="0" w:hanging="719"/>
        <w:jc w:val="both"/>
      </w:pPr>
      <w:r>
        <w:rPr/>
        <w:t>Signs</w:t>
      </w:r>
      <w:r>
        <w:rPr>
          <w:spacing w:val="-3"/>
        </w:rPr>
        <w:t> </w:t>
      </w:r>
      <w:r>
        <w:rPr/>
        <w:t>and</w:t>
      </w:r>
      <w:r>
        <w:rPr>
          <w:spacing w:val="-2"/>
        </w:rPr>
        <w:t> </w:t>
      </w:r>
      <w:r>
        <w:rPr/>
        <w:t>Symptoms</w:t>
      </w:r>
      <w:r>
        <w:rPr>
          <w:spacing w:val="-2"/>
        </w:rPr>
        <w:t> </w:t>
      </w:r>
      <w:r>
        <w:rPr/>
        <w:t>of</w:t>
      </w:r>
      <w:r>
        <w:rPr>
          <w:spacing w:val="1"/>
        </w:rPr>
        <w:t> </w:t>
      </w:r>
      <w:r>
        <w:rPr>
          <w:spacing w:val="-2"/>
        </w:rPr>
        <w:t>Malaria</w:t>
      </w:r>
    </w:p>
    <w:p>
      <w:pPr>
        <w:pStyle w:val="BodyText"/>
        <w:spacing w:line="480" w:lineRule="auto" w:before="271"/>
        <w:ind w:left="560" w:right="794"/>
        <w:jc w:val="both"/>
      </w:pPr>
      <w:r>
        <w:rPr/>
        <w:t>The sign(s) and symptoms that may be presented by those infected with malaria depend on</w:t>
      </w:r>
      <w:r>
        <w:rPr>
          <w:spacing w:val="40"/>
        </w:rPr>
        <w:t> </w:t>
      </w:r>
      <w:r>
        <w:rPr/>
        <w:t>the</w:t>
      </w:r>
      <w:r>
        <w:rPr>
          <w:spacing w:val="-1"/>
        </w:rPr>
        <w:t> </w:t>
      </w:r>
      <w:r>
        <w:rPr/>
        <w:t>stage</w:t>
      </w:r>
      <w:r>
        <w:rPr>
          <w:spacing w:val="-2"/>
        </w:rPr>
        <w:t> </w:t>
      </w:r>
      <w:r>
        <w:rPr/>
        <w:t>and severity</w:t>
      </w:r>
      <w:r>
        <w:rPr>
          <w:spacing w:val="-5"/>
        </w:rPr>
        <w:t> </w:t>
      </w:r>
      <w:r>
        <w:rPr/>
        <w:t>of the</w:t>
      </w:r>
      <w:r>
        <w:rPr>
          <w:spacing w:val="-1"/>
        </w:rPr>
        <w:t> </w:t>
      </w:r>
      <w:r>
        <w:rPr/>
        <w:t>infection. It could present as abrupt onset</w:t>
      </w:r>
      <w:r>
        <w:rPr>
          <w:spacing w:val="-1"/>
        </w:rPr>
        <w:t> </w:t>
      </w:r>
      <w:r>
        <w:rPr/>
        <w:t>of</w:t>
      </w:r>
      <w:r>
        <w:rPr>
          <w:spacing w:val="-1"/>
        </w:rPr>
        <w:t> </w:t>
      </w:r>
      <w:r>
        <w:rPr/>
        <w:t>fever, which may</w:t>
      </w:r>
      <w:r>
        <w:rPr>
          <w:spacing w:val="-5"/>
        </w:rPr>
        <w:t> </w:t>
      </w:r>
      <w:r>
        <w:rPr/>
        <w:t>be accompanied by headache, myalgias, and arthralgias of about 2 weeks after mosquito bite (Warren, 2010).</w:t>
      </w:r>
      <w:r>
        <w:rPr>
          <w:spacing w:val="80"/>
        </w:rPr>
        <w:t> </w:t>
      </w:r>
      <w:r>
        <w:rPr/>
        <w:t>It may be frequently associated with non specific signs such as chills, nausea, vomiting and abdominal pain (Warren, 2010).</w:t>
      </w:r>
      <w:r>
        <w:rPr>
          <w:spacing w:val="40"/>
        </w:rPr>
        <w:t> </w:t>
      </w:r>
      <w:r>
        <w:rPr/>
        <w:t>It may also be followed by drenching sweat and patients may feel well before febrile episodes. The spleen and the liver could be enlarged and in most patients, anaemia is common. Other findings may include unrousable coma, convulsion, hypoglyceamia, metabolic acidosis, acute pulmonary oedema, respiratory disorder, haemoglobinuria and acute renal failure (Warren, 2010). Others includejaundice, circulatory collapse, hyperparasitaemia, electrolytedisturbance and spontaneous bleeding (WHO, 2000; Maitland </w:t>
      </w:r>
      <w:r>
        <w:rPr>
          <w:i/>
        </w:rPr>
        <w:t>et al.,</w:t>
      </w:r>
      <w:r>
        <w:rPr/>
        <w:t>2003; Mackintosh, </w:t>
      </w:r>
      <w:r>
        <w:rPr>
          <w:i/>
        </w:rPr>
        <w:t>et al.,</w:t>
      </w:r>
      <w:r>
        <w:rPr/>
        <w:t>2004; Warren, 2010).</w:t>
      </w:r>
    </w:p>
    <w:p>
      <w:pPr>
        <w:pStyle w:val="BodyText"/>
        <w:spacing w:before="7"/>
      </w:pPr>
    </w:p>
    <w:p>
      <w:pPr>
        <w:pStyle w:val="Heading2"/>
        <w:numPr>
          <w:ilvl w:val="2"/>
          <w:numId w:val="3"/>
        </w:numPr>
        <w:tabs>
          <w:tab w:pos="1279" w:val="left" w:leader="none"/>
        </w:tabs>
        <w:spacing w:line="240" w:lineRule="auto" w:before="0" w:after="0"/>
        <w:ind w:left="1279" w:right="0" w:hanging="719"/>
        <w:jc w:val="both"/>
      </w:pPr>
      <w:r>
        <w:rPr/>
        <w:t>CLASSIFICATION</w:t>
      </w:r>
      <w:r>
        <w:rPr>
          <w:spacing w:val="-2"/>
        </w:rPr>
        <w:t> </w:t>
      </w:r>
      <w:r>
        <w:rPr/>
        <w:t>OF</w:t>
      </w:r>
      <w:r>
        <w:rPr>
          <w:spacing w:val="-1"/>
        </w:rPr>
        <w:t> </w:t>
      </w:r>
      <w:r>
        <w:rPr>
          <w:spacing w:val="-2"/>
        </w:rPr>
        <w:t>MALARIA</w:t>
      </w:r>
    </w:p>
    <w:p>
      <w:pPr>
        <w:pStyle w:val="BodyText"/>
        <w:spacing w:line="480" w:lineRule="auto" w:before="271"/>
        <w:ind w:left="560" w:right="795"/>
        <w:jc w:val="both"/>
      </w:pPr>
      <w:r>
        <w:rPr/>
        <w:t>Malaria could be classified based on its severity,as severe and mild (uncomplicated) malaria (WHO, 2010). Severe malaria is defined when the asexual form of the parasite is seen on the peripheral blood andthe observation of any clinical presentation such asconvulsions,systolic blood pressure&lt; 70mm Hg and 50mm Hg in adult and children respectively, acute renal failure (urine output&lt;400ml/hr plus serum creatinine &gt;3mg/dl), and bleeding disorders. The haemoglobin level may be&lt;5g/dl while the parasite count may exceed10,000parasites/ul. Blood glucose may be low (&lt;2.2mmol/L or 40mg/dl) and lactate level &gt;5mmol/L. Also there might be jaundice with total bilirubin exceeding 2.5mg/dl(Daily, </w:t>
      </w:r>
      <w:r>
        <w:rPr>
          <w:i/>
        </w:rPr>
        <w:t>et al.,</w:t>
      </w:r>
      <w:r>
        <w:rPr/>
        <w:t>2007; Warren, 2010;WHO,</w:t>
      </w:r>
      <w:r>
        <w:rPr>
          <w:spacing w:val="-1"/>
        </w:rPr>
        <w:t> </w:t>
      </w:r>
      <w:r>
        <w:rPr/>
        <w:t>2010).</w:t>
      </w:r>
      <w:r>
        <w:rPr>
          <w:spacing w:val="-1"/>
        </w:rPr>
        <w:t> </w:t>
      </w:r>
      <w:r>
        <w:rPr/>
        <w:t>On</w:t>
      </w:r>
      <w:r>
        <w:rPr>
          <w:spacing w:val="-1"/>
        </w:rPr>
        <w:t> </w:t>
      </w:r>
      <w:r>
        <w:rPr/>
        <w:t>the</w:t>
      </w:r>
      <w:r>
        <w:rPr>
          <w:spacing w:val="-1"/>
        </w:rPr>
        <w:t> </w:t>
      </w:r>
      <w:r>
        <w:rPr/>
        <w:t>other</w:t>
      </w:r>
      <w:r>
        <w:rPr>
          <w:spacing w:val="-2"/>
        </w:rPr>
        <w:t> </w:t>
      </w:r>
      <w:r>
        <w:rPr/>
        <w:t>hand,</w:t>
      </w:r>
      <w:r>
        <w:rPr>
          <w:spacing w:val="-1"/>
        </w:rPr>
        <w:t> </w:t>
      </w:r>
      <w:r>
        <w:rPr/>
        <w:t>mild</w:t>
      </w:r>
      <w:r>
        <w:rPr>
          <w:spacing w:val="-1"/>
        </w:rPr>
        <w:t> </w:t>
      </w:r>
      <w:r>
        <w:rPr/>
        <w:t>malaria</w:t>
      </w:r>
      <w:r>
        <w:rPr>
          <w:spacing w:val="-2"/>
        </w:rPr>
        <w:t> </w:t>
      </w:r>
      <w:r>
        <w:rPr/>
        <w:t>could</w:t>
      </w:r>
      <w:r>
        <w:rPr>
          <w:spacing w:val="-1"/>
        </w:rPr>
        <w:t> </w:t>
      </w:r>
      <w:r>
        <w:rPr/>
        <w:t>be</w:t>
      </w:r>
      <w:r>
        <w:rPr>
          <w:spacing w:val="-1"/>
        </w:rPr>
        <w:t> </w:t>
      </w:r>
      <w:r>
        <w:rPr/>
        <w:t>when</w:t>
      </w:r>
      <w:r>
        <w:rPr>
          <w:spacing w:val="-1"/>
        </w:rPr>
        <w:t> </w:t>
      </w:r>
      <w:r>
        <w:rPr/>
        <w:t>asexual</w:t>
      </w:r>
      <w:r>
        <w:rPr>
          <w:spacing w:val="-1"/>
        </w:rPr>
        <w:t> </w:t>
      </w:r>
      <w:r>
        <w:rPr/>
        <w:t>or</w:t>
      </w:r>
      <w:r>
        <w:rPr>
          <w:spacing w:val="-1"/>
        </w:rPr>
        <w:t> </w:t>
      </w:r>
      <w:r>
        <w:rPr/>
        <w:t>the</w:t>
      </w:r>
      <w:r>
        <w:rPr>
          <w:spacing w:val="-1"/>
        </w:rPr>
        <w:t> </w:t>
      </w:r>
      <w:r>
        <w:rPr/>
        <w:t>gametocyte stage is seen in the blood but without any clinical presentation. (Warren, 2010, WHO, 2010)</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On another perspective, it could be classified as symptomatic and asymtomatic malaria. Symptomatic malaria refers to a period when a patient presents some clinical signs of the infection while asymptomatic malaria is when a patient harbours the parasite without manifesting any clinical sign (WHO, 2000). The classification of malaria as symptomatic is straight forward because patient shows observable clinical signs unlike asymptomatic and often sub-patent (undetectable by microscopy) malaria where symptoms are lacking (Bottius </w:t>
      </w:r>
      <w:r>
        <w:rPr>
          <w:i/>
        </w:rPr>
        <w:t>et al.,</w:t>
      </w:r>
      <w:r>
        <w:rPr/>
        <w:t>1996). The presentation of clinical signs may depend on the level of immunity</w:t>
      </w:r>
      <w:r>
        <w:rPr>
          <w:spacing w:val="-2"/>
        </w:rPr>
        <w:t> </w:t>
      </w:r>
      <w:r>
        <w:rPr/>
        <w:t>a patient has acquired on previous exposure and sometimes due to anti-malaria administration(Laishram, </w:t>
      </w:r>
      <w:r>
        <w:rPr>
          <w:i/>
        </w:rPr>
        <w:t>et al.,</w:t>
      </w:r>
      <w:r>
        <w:rPr/>
        <w:t>2012). To an extent, a developed immunity</w:t>
      </w:r>
      <w:r>
        <w:rPr>
          <w:spacing w:val="-4"/>
        </w:rPr>
        <w:t> </w:t>
      </w:r>
      <w:r>
        <w:rPr/>
        <w:t>is able to limit</w:t>
      </w:r>
      <w:r>
        <w:rPr>
          <w:spacing w:val="-1"/>
        </w:rPr>
        <w:t> </w:t>
      </w:r>
      <w:r>
        <w:rPr/>
        <w:t>the blood parasite density to extremely low levels but may not clear the infection (Takem and D‟Alessandro, 2013). This could account to why clinical signs and symptoms may fail to appear. As for asymptomatic malaria, there could be the detection of the parasites in peripheral blood with absence of malaria-related symptoms such as fever within the previous 48 hours (Duarte, </w:t>
      </w:r>
      <w:r>
        <w:rPr>
          <w:i/>
        </w:rPr>
        <w:t>et al.,</w:t>
      </w:r>
      <w:r>
        <w:rPr/>
        <w:t>2007; Leoratti </w:t>
      </w:r>
      <w:r>
        <w:rPr>
          <w:i/>
        </w:rPr>
        <w:t>et al.,</w:t>
      </w:r>
      <w:r>
        <w:rPr/>
        <w:t>2008; Males </w:t>
      </w:r>
      <w:r>
        <w:rPr>
          <w:i/>
        </w:rPr>
        <w:t>et al.,</w:t>
      </w:r>
      <w:r>
        <w:rPr/>
        <w:t>2008;DeMast </w:t>
      </w:r>
      <w:r>
        <w:rPr>
          <w:i/>
        </w:rPr>
        <w:t>et al.,</w:t>
      </w:r>
      <w:r>
        <w:rPr/>
        <w:t>2010).</w:t>
      </w:r>
    </w:p>
    <w:p>
      <w:pPr>
        <w:pStyle w:val="BodyText"/>
        <w:spacing w:before="7"/>
      </w:pPr>
    </w:p>
    <w:p>
      <w:pPr>
        <w:pStyle w:val="Heading2"/>
        <w:numPr>
          <w:ilvl w:val="2"/>
          <w:numId w:val="3"/>
        </w:numPr>
        <w:tabs>
          <w:tab w:pos="1280" w:val="left" w:leader="none"/>
        </w:tabs>
        <w:spacing w:line="240" w:lineRule="auto" w:before="0" w:after="0"/>
        <w:ind w:left="1280" w:right="0" w:hanging="720"/>
        <w:jc w:val="left"/>
      </w:pPr>
      <w:r>
        <w:rPr/>
        <w:t>PATHOGENESIS</w:t>
      </w:r>
      <w:r>
        <w:rPr>
          <w:spacing w:val="-2"/>
        </w:rPr>
        <w:t> </w:t>
      </w:r>
      <w:r>
        <w:rPr/>
        <w:t>OF</w:t>
      </w:r>
      <w:r>
        <w:rPr>
          <w:spacing w:val="-4"/>
        </w:rPr>
        <w:t> </w:t>
      </w:r>
      <w:r>
        <w:rPr>
          <w:spacing w:val="-2"/>
        </w:rPr>
        <w:t>MALARIA</w:t>
      </w:r>
    </w:p>
    <w:p>
      <w:pPr>
        <w:pStyle w:val="BodyText"/>
        <w:spacing w:line="480" w:lineRule="auto" w:before="271"/>
        <w:ind w:left="560" w:right="795"/>
        <w:jc w:val="both"/>
      </w:pPr>
      <w:r>
        <w:rPr/>
        <w:t>Malaria occurs basically by transmission of the sporozoites via a bite from an infected anopheles</w:t>
      </w:r>
      <w:r>
        <w:rPr>
          <w:spacing w:val="-3"/>
        </w:rPr>
        <w:t> </w:t>
      </w:r>
      <w:r>
        <w:rPr/>
        <w:t>mosquito.</w:t>
      </w:r>
      <w:r>
        <w:rPr>
          <w:spacing w:val="-2"/>
        </w:rPr>
        <w:t> </w:t>
      </w:r>
      <w:r>
        <w:rPr/>
        <w:t>Other</w:t>
      </w:r>
      <w:r>
        <w:rPr>
          <w:spacing w:val="-3"/>
        </w:rPr>
        <w:t> </w:t>
      </w:r>
      <w:r>
        <w:rPr/>
        <w:t>means</w:t>
      </w:r>
      <w:r>
        <w:rPr>
          <w:spacing w:val="-2"/>
        </w:rPr>
        <w:t> </w:t>
      </w:r>
      <w:r>
        <w:rPr/>
        <w:t>of</w:t>
      </w:r>
      <w:r>
        <w:rPr>
          <w:spacing w:val="-3"/>
        </w:rPr>
        <w:t> </w:t>
      </w:r>
      <w:r>
        <w:rPr/>
        <w:t>acquiring the</w:t>
      </w:r>
      <w:r>
        <w:rPr>
          <w:spacing w:val="-1"/>
        </w:rPr>
        <w:t> </w:t>
      </w:r>
      <w:r>
        <w:rPr/>
        <w:t>disease</w:t>
      </w:r>
      <w:r>
        <w:rPr>
          <w:spacing w:val="-3"/>
        </w:rPr>
        <w:t> </w:t>
      </w:r>
      <w:r>
        <w:rPr/>
        <w:t>could be</w:t>
      </w:r>
      <w:r>
        <w:rPr>
          <w:spacing w:val="-3"/>
        </w:rPr>
        <w:t> </w:t>
      </w:r>
      <w:r>
        <w:rPr/>
        <w:t>through blood</w:t>
      </w:r>
      <w:r>
        <w:rPr>
          <w:spacing w:val="-2"/>
        </w:rPr>
        <w:t> </w:t>
      </w:r>
      <w:r>
        <w:rPr/>
        <w:t>transfusion (transfusion malaria), in utero transmission to the foetus through the placenta (congenital malaria) and by</w:t>
      </w:r>
      <w:r>
        <w:rPr>
          <w:spacing w:val="-5"/>
        </w:rPr>
        <w:t> </w:t>
      </w:r>
      <w:r>
        <w:rPr/>
        <w:t>the</w:t>
      </w:r>
      <w:r>
        <w:rPr>
          <w:spacing w:val="-1"/>
        </w:rPr>
        <w:t> </w:t>
      </w:r>
      <w:r>
        <w:rPr/>
        <w:t>use</w:t>
      </w:r>
      <w:r>
        <w:rPr>
          <w:spacing w:val="-1"/>
        </w:rPr>
        <w:t> </w:t>
      </w:r>
      <w:r>
        <w:rPr/>
        <w:t>of</w:t>
      </w:r>
      <w:r>
        <w:rPr>
          <w:spacing w:val="-1"/>
        </w:rPr>
        <w:t> </w:t>
      </w:r>
      <w:r>
        <w:rPr/>
        <w:t>contaminated syringes particularly</w:t>
      </w:r>
      <w:r>
        <w:rPr>
          <w:spacing w:val="-5"/>
        </w:rPr>
        <w:t> </w:t>
      </w:r>
      <w:r>
        <w:rPr/>
        <w:t>in drug addicts (Arora &amp; Arora, 2010). It commences with a life cycle involving asexual division (schizogony) which occurs in man (the intermediate host) and the sexual development (sporogony) which occurs in female anopheles mosquito (the definitive host).</w:t>
      </w:r>
    </w:p>
    <w:p>
      <w:pPr>
        <w:pStyle w:val="BodyText"/>
        <w:spacing w:before="1"/>
      </w:pPr>
    </w:p>
    <w:p>
      <w:pPr>
        <w:pStyle w:val="BodyText"/>
        <w:spacing w:line="480" w:lineRule="auto"/>
        <w:ind w:left="560" w:right="796"/>
        <w:jc w:val="both"/>
      </w:pPr>
      <w:r>
        <w:rPr/>
        <w:t>Sporogony starts when mosquito, in an attempt to feed on blood from an infected person, sucks blood containing the sexual forms of the parasites. This is transported to the midgut where</w:t>
      </w:r>
      <w:r>
        <w:rPr>
          <w:spacing w:val="14"/>
        </w:rPr>
        <w:t> </w:t>
      </w:r>
      <w:r>
        <w:rPr/>
        <w:t>the</w:t>
      </w:r>
      <w:r>
        <w:rPr>
          <w:spacing w:val="17"/>
        </w:rPr>
        <w:t> </w:t>
      </w:r>
      <w:r>
        <w:rPr/>
        <w:t>gametocytes</w:t>
      </w:r>
      <w:r>
        <w:rPr>
          <w:spacing w:val="18"/>
        </w:rPr>
        <w:t> </w:t>
      </w:r>
      <w:r>
        <w:rPr/>
        <w:t>undergo</w:t>
      </w:r>
      <w:r>
        <w:rPr>
          <w:spacing w:val="17"/>
        </w:rPr>
        <w:t> </w:t>
      </w:r>
      <w:r>
        <w:rPr/>
        <w:t>fertilization</w:t>
      </w:r>
      <w:r>
        <w:rPr>
          <w:spacing w:val="18"/>
        </w:rPr>
        <w:t> </w:t>
      </w:r>
      <w:r>
        <w:rPr/>
        <w:t>and</w:t>
      </w:r>
      <w:r>
        <w:rPr>
          <w:spacing w:val="15"/>
        </w:rPr>
        <w:t> </w:t>
      </w:r>
      <w:r>
        <w:rPr/>
        <w:t>mature</w:t>
      </w:r>
      <w:r>
        <w:rPr>
          <w:spacing w:val="22"/>
        </w:rPr>
        <w:t> </w:t>
      </w:r>
      <w:r>
        <w:rPr/>
        <w:t>to</w:t>
      </w:r>
      <w:r>
        <w:rPr>
          <w:spacing w:val="19"/>
        </w:rPr>
        <w:t> </w:t>
      </w:r>
      <w:r>
        <w:rPr/>
        <w:t>an</w:t>
      </w:r>
      <w:r>
        <w:rPr>
          <w:spacing w:val="17"/>
        </w:rPr>
        <w:t> </w:t>
      </w:r>
      <w:r>
        <w:rPr/>
        <w:t>infective</w:t>
      </w:r>
      <w:r>
        <w:rPr>
          <w:spacing w:val="18"/>
        </w:rPr>
        <w:t> </w:t>
      </w:r>
      <w:r>
        <w:rPr/>
        <w:t>ookinete.</w:t>
      </w:r>
      <w:r>
        <w:rPr>
          <w:spacing w:val="17"/>
        </w:rPr>
        <w:t> </w:t>
      </w:r>
      <w:r>
        <w:rPr/>
        <w:t>On</w:t>
      </w:r>
      <w:r>
        <w:rPr>
          <w:spacing w:val="18"/>
        </w:rPr>
        <w:t> </w:t>
      </w:r>
      <w:r>
        <w:rPr>
          <w:spacing w:val="-2"/>
        </w:rPr>
        <w:t>further</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migration to the haemocele, the ookinete develops to oocyst that latter emerges as sporozites. The sporozite migrates to the salivary glands to initiate schizogony when it is dislodged into the vertebrates.</w:t>
      </w:r>
    </w:p>
    <w:p>
      <w:pPr>
        <w:pStyle w:val="BodyText"/>
      </w:pPr>
    </w:p>
    <w:p>
      <w:pPr>
        <w:pStyle w:val="BodyText"/>
        <w:spacing w:line="480" w:lineRule="auto" w:before="1"/>
        <w:ind w:left="560" w:right="793"/>
        <w:jc w:val="both"/>
      </w:pPr>
      <w:r>
        <w:rPr/>
        <w:t>Schizogony begins when an infected female anopheles injects the sporozitesinto the subcutenous tissue and less frequently, directly into the blood stream (Miller </w:t>
      </w:r>
      <w:r>
        <w:rPr>
          <w:i/>
        </w:rPr>
        <w:t>et al.,</w:t>
      </w:r>
      <w:r>
        <w:rPr/>
        <w:t>2002; Schofield, 2007; Planche </w:t>
      </w:r>
      <w:r>
        <w:rPr>
          <w:i/>
        </w:rPr>
        <w:t>et al., </w:t>
      </w:r>
      <w:r>
        <w:rPr/>
        <w:t>2006). The sporozites circulates in the blood stream for less than one hour before migrating to the liver. In the liver cells, the sporozoites divide upto 1000-fold until mature tissue schizonts are formed; each schizont contains thousands of daughter merozoites. This cycle is called the exoerythrocytic schizogony and occurs without any clinical sign (Miller </w:t>
      </w:r>
      <w:r>
        <w:rPr>
          <w:i/>
        </w:rPr>
        <w:t>et al.,</w:t>
      </w:r>
      <w:r>
        <w:rPr/>
        <w:t>1991; Milner, </w:t>
      </w:r>
      <w:r>
        <w:rPr>
          <w:i/>
        </w:rPr>
        <w:t>et al.,</w:t>
      </w:r>
      <w:r>
        <w:rPr/>
        <w:t>2011). The schizontsrupture after 6 to 16 days to release the merozites which invade the red cells. The merozoites mature successively from ring forms through trophozoites to mature red cell schizonts over 24 hours in </w:t>
      </w:r>
      <w:r>
        <w:rPr>
          <w:i/>
        </w:rPr>
        <w:t>P. knowlesi</w:t>
      </w:r>
      <w:r>
        <w:rPr/>
        <w:t>, 48 hours in </w:t>
      </w:r>
      <w:r>
        <w:rPr>
          <w:i/>
        </w:rPr>
        <w:t>P. vivax, P</w:t>
      </w:r>
      <w:r>
        <w:rPr/>
        <w:t>. </w:t>
      </w:r>
      <w:r>
        <w:rPr>
          <w:i/>
        </w:rPr>
        <w:t>ovale and P.falciparum </w:t>
      </w:r>
      <w:r>
        <w:rPr/>
        <w:t>or 72 hours in </w:t>
      </w:r>
      <w:r>
        <w:rPr>
          <w:i/>
        </w:rPr>
        <w:t>P. malariae </w:t>
      </w:r>
      <w:r>
        <w:rPr/>
        <w:t>infections. Within the red blood cell, the parasite digests red cell protein, primarily haemoglobin to form polarizable crystal in the food vacuole known as haemozoin (WHO, 2013; Milner, </w:t>
      </w:r>
      <w:r>
        <w:rPr>
          <w:i/>
        </w:rPr>
        <w:t>et al.,</w:t>
      </w:r>
      <w:r>
        <w:rPr/>
        <w:t>2011).</w:t>
      </w:r>
    </w:p>
    <w:p>
      <w:pPr>
        <w:pStyle w:val="BodyText"/>
        <w:spacing w:before="1"/>
      </w:pPr>
    </w:p>
    <w:p>
      <w:pPr>
        <w:pStyle w:val="BodyText"/>
        <w:spacing w:line="480" w:lineRule="auto"/>
        <w:ind w:left="560" w:right="796"/>
        <w:jc w:val="both"/>
      </w:pPr>
      <w:r>
        <w:rPr/>
        <w:t>Most of the released merozoites continue the asexual cycle and more red blood cells are infected while few differentiate into male or female gametocytes. The gametocytes cause no symptoms but can circulate in the bloodstream until they are ingested by female anopheline mosquito (Arora and Arora, 2010). Some parasites may remain dormant in the liver as hypnozoites and may cause a relapse by reactivating after many months. This is common</w:t>
      </w:r>
      <w:r>
        <w:rPr>
          <w:spacing w:val="40"/>
        </w:rPr>
        <w:t> </w:t>
      </w:r>
      <w:r>
        <w:rPr/>
        <w:t>with P. </w:t>
      </w:r>
      <w:r>
        <w:rPr>
          <w:i/>
        </w:rPr>
        <w:t>vivax </w:t>
      </w:r>
      <w:r>
        <w:rPr/>
        <w:t>and P. </w:t>
      </w:r>
      <w:r>
        <w:rPr>
          <w:i/>
        </w:rPr>
        <w:t>ovale </w:t>
      </w:r>
      <w:r>
        <w:rPr/>
        <w:t>infections but not with P. </w:t>
      </w:r>
      <w:r>
        <w:rPr>
          <w:i/>
        </w:rPr>
        <w:t>falciparum </w:t>
      </w:r>
      <w:r>
        <w:rPr/>
        <w:t>and P. </w:t>
      </w:r>
      <w:r>
        <w:rPr>
          <w:i/>
        </w:rPr>
        <w:t>malariae</w:t>
      </w:r>
      <w:r>
        <w:rPr/>
        <w:t>. (WHO, 2013; Imwong </w:t>
      </w:r>
      <w:r>
        <w:rPr>
          <w:i/>
        </w:rPr>
        <w:t>et al.,</w:t>
      </w:r>
      <w:r>
        <w:rPr/>
        <w:t>2007) On the other hand, there may be conditions when the infection is not eliminated by immune system or by therapy and the number of infected red blood cell begins</w:t>
      </w:r>
      <w:r>
        <w:rPr>
          <w:spacing w:val="28"/>
        </w:rPr>
        <w:t> </w:t>
      </w:r>
      <w:r>
        <w:rPr/>
        <w:t>to</w:t>
      </w:r>
      <w:r>
        <w:rPr>
          <w:spacing w:val="28"/>
        </w:rPr>
        <w:t> </w:t>
      </w:r>
      <w:r>
        <w:rPr/>
        <w:t>increase</w:t>
      </w:r>
      <w:r>
        <w:rPr>
          <w:spacing w:val="30"/>
        </w:rPr>
        <w:t> </w:t>
      </w:r>
      <w:r>
        <w:rPr/>
        <w:t>again</w:t>
      </w:r>
      <w:r>
        <w:rPr>
          <w:spacing w:val="30"/>
        </w:rPr>
        <w:t> </w:t>
      </w:r>
      <w:r>
        <w:rPr/>
        <w:t>with</w:t>
      </w:r>
      <w:r>
        <w:rPr>
          <w:spacing w:val="28"/>
        </w:rPr>
        <w:t> </w:t>
      </w:r>
      <w:r>
        <w:rPr/>
        <w:t>subsequent</w:t>
      </w:r>
      <w:r>
        <w:rPr>
          <w:spacing w:val="30"/>
        </w:rPr>
        <w:t> </w:t>
      </w:r>
      <w:r>
        <w:rPr/>
        <w:t>clinical</w:t>
      </w:r>
      <w:r>
        <w:rPr>
          <w:spacing w:val="29"/>
        </w:rPr>
        <w:t> </w:t>
      </w:r>
      <w:r>
        <w:rPr/>
        <w:t>symptom.</w:t>
      </w:r>
      <w:r>
        <w:rPr>
          <w:spacing w:val="28"/>
        </w:rPr>
        <w:t> </w:t>
      </w:r>
      <w:r>
        <w:rPr/>
        <w:t>This</w:t>
      </w:r>
      <w:r>
        <w:rPr>
          <w:spacing w:val="29"/>
        </w:rPr>
        <w:t> </w:t>
      </w:r>
      <w:r>
        <w:rPr/>
        <w:t>phenomenon</w:t>
      </w:r>
      <w:r>
        <w:rPr>
          <w:spacing w:val="27"/>
        </w:rPr>
        <w:t> </w:t>
      </w:r>
      <w:r>
        <w:rPr/>
        <w:t>is</w:t>
      </w:r>
      <w:r>
        <w:rPr>
          <w:spacing w:val="28"/>
        </w:rPr>
        <w:t> </w:t>
      </w:r>
      <w:r>
        <w:rPr/>
        <w:t>known</w:t>
      </w:r>
      <w:r>
        <w:rPr>
          <w:spacing w:val="30"/>
        </w:rPr>
        <w:t> </w:t>
      </w:r>
      <w:r>
        <w:rPr>
          <w:spacing w:val="-5"/>
        </w:rPr>
        <w:t>as</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recrudescence (Arora and Arora, 2010).The pathogenesis of malaria is complex and entails immunologic and non-immunologic mechanisms that result in alteration and dysfunction of some tissues or organs. Such dysfunction sometimes, leads to metabolic acidosis and localized</w:t>
      </w:r>
      <w:r>
        <w:rPr>
          <w:spacing w:val="-4"/>
        </w:rPr>
        <w:t> </w:t>
      </w:r>
      <w:r>
        <w:rPr/>
        <w:t>ischemia</w:t>
      </w:r>
      <w:r>
        <w:rPr>
          <w:spacing w:val="-5"/>
        </w:rPr>
        <w:t> </w:t>
      </w:r>
      <w:r>
        <w:rPr/>
        <w:t>(Miller</w:t>
      </w:r>
      <w:r>
        <w:rPr>
          <w:spacing w:val="-3"/>
        </w:rPr>
        <w:t> </w:t>
      </w:r>
      <w:r>
        <w:rPr>
          <w:i/>
        </w:rPr>
        <w:t>et</w:t>
      </w:r>
      <w:r>
        <w:rPr>
          <w:i/>
          <w:spacing w:val="-4"/>
        </w:rPr>
        <w:t> </w:t>
      </w:r>
      <w:r>
        <w:rPr>
          <w:i/>
        </w:rPr>
        <w:t>al.,</w:t>
      </w:r>
      <w:r>
        <w:rPr/>
        <w:t>2002,</w:t>
      </w:r>
      <w:r>
        <w:rPr>
          <w:spacing w:val="-4"/>
        </w:rPr>
        <w:t> </w:t>
      </w:r>
      <w:r>
        <w:rPr/>
        <w:t>Abrams</w:t>
      </w:r>
      <w:r>
        <w:rPr>
          <w:spacing w:val="-4"/>
        </w:rPr>
        <w:t> </w:t>
      </w:r>
      <w:r>
        <w:rPr>
          <w:i/>
        </w:rPr>
        <w:t>et</w:t>
      </w:r>
      <w:r>
        <w:rPr>
          <w:i/>
          <w:spacing w:val="-4"/>
        </w:rPr>
        <w:t> </w:t>
      </w:r>
      <w:r>
        <w:rPr>
          <w:i/>
        </w:rPr>
        <w:t>al.,</w:t>
      </w:r>
      <w:r>
        <w:rPr/>
        <w:t>2005)</w:t>
      </w:r>
      <w:r>
        <w:rPr>
          <w:i/>
        </w:rPr>
        <w:t>.</w:t>
      </w:r>
      <w:r>
        <w:rPr/>
        <w:t>Glycosylphosphtidylinositol</w:t>
      </w:r>
      <w:r>
        <w:rPr>
          <w:spacing w:val="-4"/>
        </w:rPr>
        <w:t> </w:t>
      </w:r>
      <w:r>
        <w:rPr/>
        <w:t>(GPI) is a surface molecule found on the membrane of </w:t>
      </w:r>
      <w:r>
        <w:rPr>
          <w:i/>
        </w:rPr>
        <w:t>P. falciparum. </w:t>
      </w:r>
      <w:r>
        <w:rPr/>
        <w:t>It is a pathogenic factor and has the ability</w:t>
      </w:r>
      <w:r>
        <w:rPr>
          <w:spacing w:val="-5"/>
        </w:rPr>
        <w:t> </w:t>
      </w:r>
      <w:r>
        <w:rPr/>
        <w:t>to induce the secretion of TNFα and IL-1 (Naik </w:t>
      </w:r>
      <w:r>
        <w:rPr>
          <w:i/>
        </w:rPr>
        <w:t>et al, </w:t>
      </w:r>
      <w:r>
        <w:rPr/>
        <w:t>2000). It may</w:t>
      </w:r>
      <w:r>
        <w:rPr>
          <w:spacing w:val="-3"/>
        </w:rPr>
        <w:t> </w:t>
      </w:r>
      <w:r>
        <w:rPr/>
        <w:t>bind to the membrane of uninfected erythrocytes to induce membrane alterations and may play a role in increased clearance of uninfected red blood cell (Brattig </w:t>
      </w:r>
      <w:r>
        <w:rPr>
          <w:i/>
        </w:rPr>
        <w:t>et al.,</w:t>
      </w:r>
      <w:r>
        <w:rPr/>
        <w:t>2008).</w:t>
      </w:r>
    </w:p>
    <w:p>
      <w:pPr>
        <w:pStyle w:val="BodyText"/>
        <w:spacing w:before="1"/>
      </w:pPr>
    </w:p>
    <w:p>
      <w:pPr>
        <w:pStyle w:val="BodyText"/>
        <w:spacing w:line="480" w:lineRule="auto"/>
        <w:ind w:left="560" w:right="794"/>
        <w:jc w:val="both"/>
      </w:pPr>
      <w:r>
        <w:rPr/>
        <w:t>Infection with </w:t>
      </w:r>
      <w:r>
        <w:rPr>
          <w:i/>
        </w:rPr>
        <w:t>P. falciparum </w:t>
      </w:r>
      <w:r>
        <w:rPr/>
        <w:t>primarily may result in sequestration. Sequestration is the binding of infected red cell to the endothelia linings and may occur in blood vessels and capillaries of the brain, placenta and other internal organs. Sequestration and aggregation of infected erythrocyte can lead to removal of parasites from the peripheral circulation and may results in partial blood flow, breakdown of barrier endothelial, and inflammation (Newbold,</w:t>
      </w:r>
      <w:r>
        <w:rPr>
          <w:spacing w:val="40"/>
        </w:rPr>
        <w:t> </w:t>
      </w:r>
      <w:r>
        <w:rPr>
          <w:i/>
        </w:rPr>
        <w:t>et al.,</w:t>
      </w:r>
      <w:r>
        <w:rPr/>
        <w:t>1999). In the brain, it could contribute directly to cerebral oedema and raised intracranial pressure (Miller</w:t>
      </w:r>
      <w:r>
        <w:rPr>
          <w:i/>
        </w:rPr>
        <w:t>et al.,</w:t>
      </w:r>
      <w:r>
        <w:rPr/>
        <w:t>2002). Furthermore, </w:t>
      </w:r>
      <w:r>
        <w:rPr>
          <w:i/>
        </w:rPr>
        <w:t>P. falciparum </w:t>
      </w:r>
      <w:r>
        <w:rPr/>
        <w:t>parasitized red blood cells may adhere to the endothelial walls of the host in a phenomenon known as cytoadherence. Cytoadherence may</w:t>
      </w:r>
      <w:r>
        <w:rPr>
          <w:spacing w:val="-2"/>
        </w:rPr>
        <w:t> </w:t>
      </w:r>
      <w:r>
        <w:rPr/>
        <w:t>be by any</w:t>
      </w:r>
      <w:r>
        <w:rPr>
          <w:spacing w:val="-2"/>
        </w:rPr>
        <w:t> </w:t>
      </w:r>
      <w:r>
        <w:rPr/>
        <w:t>of the parasite receptor surface molecules such as thrombospondin (TSP), CD36, Intercellular adhesion molecule-1 (ICAM-1), E-selectin, chondroitin sulphate A (CSA) and hyaluronic acid (HO) (Carvalho </w:t>
      </w:r>
      <w:r>
        <w:rPr>
          <w:i/>
        </w:rPr>
        <w:t>et al, </w:t>
      </w:r>
      <w:r>
        <w:rPr/>
        <w:t>2013; Beeson </w:t>
      </w:r>
      <w:r>
        <w:rPr>
          <w:i/>
        </w:rPr>
        <w:t>et </w:t>
      </w:r>
      <w:r>
        <w:rPr>
          <w:i/>
          <w:spacing w:val="-2"/>
        </w:rPr>
        <w:t>al,</w:t>
      </w:r>
      <w:r>
        <w:rPr>
          <w:spacing w:val="-2"/>
        </w:rPr>
        <w:t>2000).</w:t>
      </w:r>
    </w:p>
    <w:p>
      <w:pPr>
        <w:pStyle w:val="BodyText"/>
        <w:spacing w:before="2"/>
      </w:pPr>
    </w:p>
    <w:p>
      <w:pPr>
        <w:pStyle w:val="BodyText"/>
        <w:spacing w:line="480" w:lineRule="auto"/>
        <w:ind w:left="560" w:right="795"/>
        <w:jc w:val="both"/>
      </w:pPr>
      <w:r>
        <w:rPr/>
        <w:t>Moreover, infected red cells may stick to uninfected red cells to form rosettes. Rosette formation is the adhesion of two or more uninfected erythrocytes to infected erythrocytes. It</w:t>
      </w:r>
      <w:r>
        <w:rPr>
          <w:spacing w:val="40"/>
        </w:rPr>
        <w:t> </w:t>
      </w:r>
      <w:r>
        <w:rPr/>
        <w:t>is mediated by an interaction between </w:t>
      </w:r>
      <w:r>
        <w:rPr>
          <w:i/>
        </w:rPr>
        <w:t>P. falciparum </w:t>
      </w:r>
      <w:r>
        <w:rPr/>
        <w:t>erythrocyte membrane protein 1 (PfEMP-1)</w:t>
      </w:r>
      <w:r>
        <w:rPr>
          <w:spacing w:val="-3"/>
        </w:rPr>
        <w:t> </w:t>
      </w:r>
      <w:r>
        <w:rPr/>
        <w:t>and</w:t>
      </w:r>
      <w:r>
        <w:rPr>
          <w:spacing w:val="-2"/>
        </w:rPr>
        <w:t> </w:t>
      </w:r>
      <w:r>
        <w:rPr/>
        <w:t>receptors such</w:t>
      </w:r>
      <w:r>
        <w:rPr>
          <w:spacing w:val="-3"/>
        </w:rPr>
        <w:t> </w:t>
      </w:r>
      <w:r>
        <w:rPr/>
        <w:t>as</w:t>
      </w:r>
      <w:r>
        <w:rPr>
          <w:spacing w:val="-2"/>
        </w:rPr>
        <w:t> </w:t>
      </w:r>
      <w:r>
        <w:rPr/>
        <w:t>complement-receptor</w:t>
      </w:r>
      <w:r>
        <w:rPr>
          <w:spacing w:val="-2"/>
        </w:rPr>
        <w:t> </w:t>
      </w:r>
      <w:r>
        <w:rPr/>
        <w:t>1on</w:t>
      </w:r>
      <w:r>
        <w:rPr>
          <w:spacing w:val="-2"/>
        </w:rPr>
        <w:t> </w:t>
      </w:r>
      <w:r>
        <w:rPr/>
        <w:t>the</w:t>
      </w:r>
      <w:r>
        <w:rPr>
          <w:spacing w:val="-3"/>
        </w:rPr>
        <w:t> </w:t>
      </w:r>
      <w:r>
        <w:rPr/>
        <w:t>surface</w:t>
      </w:r>
      <w:r>
        <w:rPr>
          <w:spacing w:val="-3"/>
        </w:rPr>
        <w:t> </w:t>
      </w:r>
      <w:r>
        <w:rPr/>
        <w:t>of</w:t>
      </w:r>
      <w:r>
        <w:rPr>
          <w:spacing w:val="-1"/>
        </w:rPr>
        <w:t> </w:t>
      </w:r>
      <w:r>
        <w:rPr/>
        <w:t>uninfected</w:t>
      </w:r>
      <w:r>
        <w:rPr>
          <w:spacing w:val="-3"/>
        </w:rPr>
        <w:t> </w:t>
      </w:r>
      <w:r>
        <w:rPr/>
        <w:t>red</w:t>
      </w:r>
      <w:r>
        <w:rPr>
          <w:spacing w:val="-2"/>
        </w:rPr>
        <w:t> </w:t>
      </w:r>
      <w:r>
        <w:rPr/>
        <w:t>cells (Chen</w:t>
      </w:r>
      <w:r>
        <w:rPr>
          <w:spacing w:val="1"/>
        </w:rPr>
        <w:t> </w:t>
      </w:r>
      <w:r>
        <w:rPr>
          <w:i/>
        </w:rPr>
        <w:t>et</w:t>
      </w:r>
      <w:r>
        <w:rPr>
          <w:i/>
          <w:spacing w:val="2"/>
        </w:rPr>
        <w:t> </w:t>
      </w:r>
      <w:r>
        <w:rPr>
          <w:i/>
        </w:rPr>
        <w:t>al.,</w:t>
      </w:r>
      <w:r>
        <w:rPr/>
        <w:t>2000;</w:t>
      </w:r>
      <w:r>
        <w:rPr>
          <w:spacing w:val="1"/>
        </w:rPr>
        <w:t> </w:t>
      </w:r>
      <w:r>
        <w:rPr/>
        <w:t>Francischetti,</w:t>
      </w:r>
      <w:r>
        <w:rPr>
          <w:spacing w:val="2"/>
        </w:rPr>
        <w:t> </w:t>
      </w:r>
      <w:r>
        <w:rPr/>
        <w:t>2008).</w:t>
      </w:r>
      <w:r>
        <w:rPr>
          <w:spacing w:val="1"/>
        </w:rPr>
        <w:t> </w:t>
      </w:r>
      <w:r>
        <w:rPr/>
        <w:t>Rosetting may</w:t>
      </w:r>
      <w:r>
        <w:rPr>
          <w:spacing w:val="-3"/>
        </w:rPr>
        <w:t> </w:t>
      </w:r>
      <w:r>
        <w:rPr/>
        <w:t>lead</w:t>
      </w:r>
      <w:r>
        <w:rPr>
          <w:spacing w:val="1"/>
        </w:rPr>
        <w:t> </w:t>
      </w:r>
      <w:r>
        <w:rPr/>
        <w:t>to</w:t>
      </w:r>
      <w:r>
        <w:rPr>
          <w:spacing w:val="5"/>
        </w:rPr>
        <w:t> </w:t>
      </w:r>
      <w:r>
        <w:rPr/>
        <w:t>damage</w:t>
      </w:r>
      <w:r>
        <w:rPr>
          <w:spacing w:val="-1"/>
        </w:rPr>
        <w:t> </w:t>
      </w:r>
      <w:r>
        <w:rPr/>
        <w:t>of</w:t>
      </w:r>
      <w:r>
        <w:rPr>
          <w:spacing w:val="1"/>
        </w:rPr>
        <w:t> </w:t>
      </w:r>
      <w:r>
        <w:rPr/>
        <w:t>the</w:t>
      </w:r>
      <w:r>
        <w:rPr>
          <w:spacing w:val="1"/>
        </w:rPr>
        <w:t> </w:t>
      </w:r>
      <w:r>
        <w:rPr>
          <w:spacing w:val="-2"/>
        </w:rPr>
        <w:t>subendothelium.</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Damage of subendothelium of vascular wall(s) may in one aspect, initiate the activation of coagulation cascade. This in turn, may initiate the formation of thrombosis. On the other aspect, it may initiate bleeding (Kawthalker, 2008). The intracellular parasite derives energy by</w:t>
      </w:r>
      <w:r>
        <w:rPr>
          <w:spacing w:val="-4"/>
        </w:rPr>
        <w:t> </w:t>
      </w:r>
      <w:r>
        <w:rPr/>
        <w:t>anaerobic</w:t>
      </w:r>
      <w:r>
        <w:rPr>
          <w:spacing w:val="-1"/>
        </w:rPr>
        <w:t> </w:t>
      </w:r>
      <w:r>
        <w:rPr/>
        <w:t>glycolysis to yield lactic</w:t>
      </w:r>
      <w:r>
        <w:rPr>
          <w:spacing w:val="-1"/>
        </w:rPr>
        <w:t> </w:t>
      </w:r>
      <w:r>
        <w:rPr/>
        <w:t>acid; contributing to hypoglycaemia and lactic</w:t>
      </w:r>
      <w:r>
        <w:rPr>
          <w:spacing w:val="-1"/>
        </w:rPr>
        <w:t> </w:t>
      </w:r>
      <w:r>
        <w:rPr/>
        <w:t>acidosis (Daily,</w:t>
      </w:r>
      <w:r>
        <w:rPr>
          <w:i/>
        </w:rPr>
        <w:t>et al.,</w:t>
      </w:r>
      <w:r>
        <w:rPr/>
        <w:t>2007). Again the red cell membrane may appear less deformable, resulting in haemolysis and accelerated splenic clearance (Brattig, </w:t>
      </w:r>
      <w:r>
        <w:rPr>
          <w:i/>
        </w:rPr>
        <w:t>et al.,</w:t>
      </w:r>
      <w:r>
        <w:rPr/>
        <w:t>2008).</w:t>
      </w:r>
    </w:p>
    <w:p>
      <w:pPr>
        <w:pStyle w:val="BodyText"/>
        <w:spacing w:line="480" w:lineRule="auto" w:before="1"/>
        <w:ind w:left="560" w:right="795"/>
        <w:jc w:val="both"/>
      </w:pPr>
      <w:r>
        <w:rPr/>
        <w:t>The clinical presentationof malaria occurs during the blood stage of the infection. Sequestration, Cytoadherence and Roseting may result in interwoven processes that</w:t>
      </w:r>
      <w:r>
        <w:rPr>
          <w:spacing w:val="80"/>
        </w:rPr>
        <w:t> </w:t>
      </w:r>
      <w:r>
        <w:rPr/>
        <w:t>inducethe generation of reactive oxygen species (ROS), release of cytokinesandanaemia.</w:t>
      </w:r>
      <w:r>
        <w:rPr>
          <w:spacing w:val="40"/>
        </w:rPr>
        <w:t> </w:t>
      </w:r>
      <w:r>
        <w:rPr/>
        <w:t>ROS is a collective noun used to describe oxidizing compounds such as hydrogen peroxide (H</w:t>
      </w:r>
      <w:r>
        <w:rPr>
          <w:vertAlign w:val="subscript"/>
        </w:rPr>
        <w:t>2</w:t>
      </w:r>
      <w:r>
        <w:rPr>
          <w:vertAlign w:val="baseline"/>
        </w:rPr>
        <w:t>O</w:t>
      </w:r>
      <w:r>
        <w:rPr>
          <w:vertAlign w:val="subscript"/>
        </w:rPr>
        <w:t>2</w:t>
      </w:r>
      <w:r>
        <w:rPr>
          <w:vertAlign w:val="baseline"/>
        </w:rPr>
        <w:t>), hydroxyl radical (OH</w:t>
      </w:r>
      <w:r>
        <w:rPr>
          <w:vertAlign w:val="superscript"/>
        </w:rPr>
        <w:t>-</w:t>
      </w:r>
      <w:r>
        <w:rPr>
          <w:vertAlign w:val="baseline"/>
        </w:rPr>
        <w:t>), superoxides (O</w:t>
      </w:r>
      <w:r>
        <w:rPr>
          <w:vertAlign w:val="subscript"/>
        </w:rPr>
        <w:t>2</w:t>
      </w:r>
      <w:r>
        <w:rPr>
          <w:vertAlign w:val="superscript"/>
        </w:rPr>
        <w:t>-</w:t>
      </w:r>
      <w:r>
        <w:rPr>
          <w:vertAlign w:val="baseline"/>
        </w:rPr>
        <w:t>), lipid peroxides and other related oxidant radical species. They are produced as physiological responses to specific reactions. Their production is regulated by the antioxidant defense system. It is reported that at low concentration, ROS may contribute to the elimination of malaria parasites.However excess production of ROS may damage the vascular endothelial lining especially in celebral malaria(Kulkarni </w:t>
      </w:r>
      <w:r>
        <w:rPr>
          <w:i/>
          <w:vertAlign w:val="baseline"/>
        </w:rPr>
        <w:t>et al.,</w:t>
      </w:r>
      <w:r>
        <w:rPr>
          <w:vertAlign w:val="baseline"/>
        </w:rPr>
        <w:t>2003).</w:t>
      </w:r>
    </w:p>
    <w:p>
      <w:pPr>
        <w:pStyle w:val="BodyText"/>
        <w:spacing w:before="1"/>
      </w:pPr>
    </w:p>
    <w:p>
      <w:pPr>
        <w:pStyle w:val="BodyText"/>
        <w:spacing w:line="480" w:lineRule="auto"/>
        <w:ind w:left="560" w:right="795"/>
        <w:jc w:val="both"/>
      </w:pPr>
      <w:r>
        <w:rPr/>
        <w:t>Within the erythrocytes, ROS could be sequestered by plasmodial degradation of haemoglobin (Pradines </w:t>
      </w:r>
      <w:r>
        <w:rPr>
          <w:i/>
        </w:rPr>
        <w:t>et al.,</w:t>
      </w:r>
      <w:r>
        <w:rPr/>
        <w:t>2005). Again ROS are generated through the interaction of the parasite</w:t>
      </w:r>
      <w:r>
        <w:rPr>
          <w:spacing w:val="-2"/>
        </w:rPr>
        <w:t> </w:t>
      </w:r>
      <w:r>
        <w:rPr/>
        <w:t>and</w:t>
      </w:r>
      <w:r>
        <w:rPr>
          <w:spacing w:val="-3"/>
        </w:rPr>
        <w:t> </w:t>
      </w:r>
      <w:r>
        <w:rPr/>
        <w:t>the</w:t>
      </w:r>
      <w:r>
        <w:rPr>
          <w:spacing w:val="-3"/>
        </w:rPr>
        <w:t> </w:t>
      </w:r>
      <w:r>
        <w:rPr/>
        <w:t>phagocytic</w:t>
      </w:r>
      <w:r>
        <w:rPr>
          <w:spacing w:val="-3"/>
        </w:rPr>
        <w:t> </w:t>
      </w:r>
      <w:r>
        <w:rPr/>
        <w:t>systems.</w:t>
      </w:r>
      <w:r>
        <w:rPr>
          <w:spacing w:val="-3"/>
        </w:rPr>
        <w:t> </w:t>
      </w:r>
      <w:r>
        <w:rPr/>
        <w:t>Some</w:t>
      </w:r>
      <w:r>
        <w:rPr>
          <w:spacing w:val="-3"/>
        </w:rPr>
        <w:t> </w:t>
      </w:r>
      <w:r>
        <w:rPr/>
        <w:t>of</w:t>
      </w:r>
      <w:r>
        <w:rPr>
          <w:spacing w:val="-3"/>
        </w:rPr>
        <w:t> </w:t>
      </w:r>
      <w:r>
        <w:rPr/>
        <w:t>these</w:t>
      </w:r>
      <w:r>
        <w:rPr>
          <w:spacing w:val="-4"/>
        </w:rPr>
        <w:t> </w:t>
      </w:r>
      <w:r>
        <w:rPr/>
        <w:t>radicals</w:t>
      </w:r>
      <w:r>
        <w:rPr>
          <w:spacing w:val="-3"/>
        </w:rPr>
        <w:t> </w:t>
      </w:r>
      <w:r>
        <w:rPr/>
        <w:t>attack</w:t>
      </w:r>
      <w:r>
        <w:rPr>
          <w:spacing w:val="-1"/>
        </w:rPr>
        <w:t> </w:t>
      </w:r>
      <w:r>
        <w:rPr/>
        <w:t>the</w:t>
      </w:r>
      <w:r>
        <w:rPr>
          <w:spacing w:val="-3"/>
        </w:rPr>
        <w:t> </w:t>
      </w:r>
      <w:r>
        <w:rPr/>
        <w:t>plasma</w:t>
      </w:r>
      <w:r>
        <w:rPr>
          <w:spacing w:val="-3"/>
        </w:rPr>
        <w:t> </w:t>
      </w:r>
      <w:r>
        <w:rPr/>
        <w:t>membranes</w:t>
      </w:r>
      <w:r>
        <w:rPr>
          <w:spacing w:val="-1"/>
        </w:rPr>
        <w:t> </w:t>
      </w:r>
      <w:r>
        <w:rPr/>
        <w:t>and haemoglobin and can further damage uninfected erythrocytes. Erythrocytes are rich in polysaturated fatty acids and are more vulnerable towards oxidative stress. The reactive oxygen species can cause severe biochemical changes such as lysis of erythrocytes and alterations of erythrocytes antioxidants (Kumar et al., 2004). One of the consequencies of oxidative stress is the development of malaria anaemia (Das and Nanda, 1999; Kremsner </w:t>
      </w:r>
      <w:r>
        <w:rPr>
          <w:i/>
        </w:rPr>
        <w:t>et al., </w:t>
      </w:r>
      <w:r>
        <w:rPr/>
        <w:t>2000; Egwunyenga </w:t>
      </w:r>
      <w:r>
        <w:rPr>
          <w:i/>
        </w:rPr>
        <w:t>et al.,</w:t>
      </w:r>
      <w:r>
        <w:rPr/>
        <w:t>2004)</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The number of exposure to mosquito bites by individuals had been confirmed to increase the level</w:t>
      </w:r>
      <w:r>
        <w:rPr>
          <w:spacing w:val="-3"/>
        </w:rPr>
        <w:t> </w:t>
      </w:r>
      <w:r>
        <w:rPr/>
        <w:t>of</w:t>
      </w:r>
      <w:r>
        <w:rPr>
          <w:spacing w:val="-3"/>
        </w:rPr>
        <w:t> </w:t>
      </w:r>
      <w:r>
        <w:rPr/>
        <w:t>immunity</w:t>
      </w:r>
      <w:r>
        <w:rPr>
          <w:spacing w:val="-6"/>
        </w:rPr>
        <w:t> </w:t>
      </w:r>
      <w:r>
        <w:rPr/>
        <w:t>against malaria</w:t>
      </w:r>
      <w:r>
        <w:rPr>
          <w:spacing w:val="-5"/>
        </w:rPr>
        <w:t> </w:t>
      </w:r>
      <w:r>
        <w:rPr/>
        <w:t>infection</w:t>
      </w:r>
      <w:r>
        <w:rPr>
          <w:spacing w:val="-1"/>
        </w:rPr>
        <w:t> </w:t>
      </w:r>
      <w:r>
        <w:rPr/>
        <w:t>(Vanderberg</w:t>
      </w:r>
      <w:r>
        <w:rPr>
          <w:spacing w:val="-2"/>
        </w:rPr>
        <w:t> </w:t>
      </w:r>
      <w:r>
        <w:rPr/>
        <w:t>and</w:t>
      </w:r>
      <w:r>
        <w:rPr>
          <w:spacing w:val="-1"/>
        </w:rPr>
        <w:t> </w:t>
      </w:r>
      <w:r>
        <w:rPr/>
        <w:t>Fervert,</w:t>
      </w:r>
      <w:r>
        <w:rPr>
          <w:spacing w:val="-3"/>
        </w:rPr>
        <w:t> </w:t>
      </w:r>
      <w:r>
        <w:rPr/>
        <w:t>2004)</w:t>
      </w:r>
      <w:r>
        <w:rPr>
          <w:spacing w:val="-2"/>
        </w:rPr>
        <w:t> </w:t>
      </w:r>
      <w:r>
        <w:rPr/>
        <w:t>and</w:t>
      </w:r>
      <w:r>
        <w:rPr>
          <w:spacing w:val="-3"/>
        </w:rPr>
        <w:t> </w:t>
      </w:r>
      <w:r>
        <w:rPr/>
        <w:t>this</w:t>
      </w:r>
      <w:r>
        <w:rPr>
          <w:spacing w:val="-2"/>
        </w:rPr>
        <w:t> </w:t>
      </w:r>
      <w:r>
        <w:rPr/>
        <w:t>increases with age. Thus in </w:t>
      </w:r>
      <w:r>
        <w:rPr>
          <w:i/>
        </w:rPr>
        <w:t>P. falciparum </w:t>
      </w:r>
      <w:r>
        <w:rPr/>
        <w:t>endemic areas, protective immunity</w:t>
      </w:r>
      <w:r>
        <w:rPr>
          <w:spacing w:val="-5"/>
        </w:rPr>
        <w:t> </w:t>
      </w:r>
      <w:r>
        <w:rPr/>
        <w:t>against malaria infection is acquired slowly after a large number of infection and its maintenance requires a sustained exposure to infected mosquito (Akanbi </w:t>
      </w:r>
      <w:r>
        <w:rPr>
          <w:i/>
        </w:rPr>
        <w:t>et al.,</w:t>
      </w:r>
      <w:r>
        <w:rPr/>
        <w:t>2009). The level of immunity against malaria could be related to age of the individuals living in malaria endemic areas.</w:t>
      </w:r>
    </w:p>
    <w:p>
      <w:pPr>
        <w:pStyle w:val="BodyText"/>
        <w:spacing w:before="1"/>
      </w:pPr>
    </w:p>
    <w:p>
      <w:pPr>
        <w:pStyle w:val="BodyText"/>
        <w:spacing w:line="480" w:lineRule="auto"/>
        <w:ind w:left="560" w:right="795"/>
        <w:jc w:val="both"/>
      </w:pPr>
      <w:r>
        <w:rPr/>
        <w:t>Moreover, it has been reported that a large number of changes can cause alterations on the shape and physiology of the red blood cells (Braga </w:t>
      </w:r>
      <w:r>
        <w:rPr>
          <w:i/>
        </w:rPr>
        <w:t>et al.,</w:t>
      </w:r>
      <w:r>
        <w:rPr/>
        <w:t>2000). Destabilization of red blood cells by antimalarial drugs has been reported (Guha </w:t>
      </w:r>
      <w:r>
        <w:rPr>
          <w:i/>
        </w:rPr>
        <w:t>et al.,</w:t>
      </w:r>
      <w:r>
        <w:rPr/>
        <w:t>2006) and could be due to rapid production and accumulation of ROS in most cases, causes overwhelming failure of the defense apparatus that sustains the intergrity of the erythrocyte membrane and the depletion</w:t>
      </w:r>
      <w:r>
        <w:rPr>
          <w:spacing w:val="40"/>
        </w:rPr>
        <w:t> </w:t>
      </w:r>
      <w:r>
        <w:rPr/>
        <w:t>of glutathione concentration.</w:t>
      </w:r>
    </w:p>
    <w:p>
      <w:pPr>
        <w:spacing w:after="0" w:line="480" w:lineRule="auto"/>
        <w:jc w:val="both"/>
        <w:sectPr>
          <w:pgSz w:w="11910" w:h="16840"/>
          <w:pgMar w:header="0" w:footer="1067" w:top="1060" w:bottom="1260" w:left="880" w:right="640"/>
        </w:sectPr>
      </w:pPr>
    </w:p>
    <w:p>
      <w:pPr>
        <w:pStyle w:val="BodyText"/>
        <w:ind w:left="573"/>
        <w:rPr>
          <w:sz w:val="20"/>
        </w:rPr>
      </w:pPr>
      <w:r>
        <w:rPr>
          <w:sz w:val="20"/>
        </w:rPr>
        <w:drawing>
          <wp:inline distT="0" distB="0" distL="0" distR="0">
            <wp:extent cx="5724805" cy="7299483"/>
            <wp:effectExtent l="0" t="0" r="0" b="0"/>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5724805" cy="7299483"/>
                    </a:xfrm>
                    <a:prstGeom prst="rect">
                      <a:avLst/>
                    </a:prstGeom>
                  </pic:spPr>
                </pic:pic>
              </a:graphicData>
            </a:graphic>
          </wp:inline>
        </w:drawing>
      </w:r>
      <w:r>
        <w:rPr>
          <w:sz w:val="20"/>
        </w:rPr>
      </w:r>
    </w:p>
    <w:p>
      <w:pPr>
        <w:pStyle w:val="BodyText"/>
        <w:spacing w:before="268"/>
        <w:ind w:left="560"/>
      </w:pPr>
      <w:r>
        <w:rPr/>
        <w:t>Fig</w:t>
      </w:r>
      <w:r>
        <w:rPr>
          <w:spacing w:val="-3"/>
        </w:rPr>
        <w:t> </w:t>
      </w:r>
      <w:r>
        <w:rPr/>
        <w:t>2.1:</w:t>
      </w:r>
      <w:r>
        <w:rPr>
          <w:spacing w:val="-1"/>
        </w:rPr>
        <w:t> </w:t>
      </w:r>
      <w:r>
        <w:rPr/>
        <w:t>Diagram</w:t>
      </w:r>
      <w:r>
        <w:rPr>
          <w:spacing w:val="-1"/>
        </w:rPr>
        <w:t> </w:t>
      </w:r>
      <w:r>
        <w:rPr/>
        <w:t>showing</w:t>
      </w:r>
      <w:r>
        <w:rPr>
          <w:spacing w:val="-1"/>
        </w:rPr>
        <w:t> </w:t>
      </w:r>
      <w:r>
        <w:rPr/>
        <w:t>life</w:t>
      </w:r>
      <w:r>
        <w:rPr>
          <w:spacing w:val="-3"/>
        </w:rPr>
        <w:t> </w:t>
      </w:r>
      <w:r>
        <w:rPr/>
        <w:t>cycle</w:t>
      </w:r>
      <w:r>
        <w:rPr>
          <w:spacing w:val="-1"/>
        </w:rPr>
        <w:t> </w:t>
      </w:r>
      <w:r>
        <w:rPr/>
        <w:t>of</w:t>
      </w:r>
      <w:r>
        <w:rPr>
          <w:spacing w:val="-1"/>
        </w:rPr>
        <w:t> </w:t>
      </w:r>
      <w:r>
        <w:rPr/>
        <w:t>malaria</w:t>
      </w:r>
      <w:r>
        <w:rPr>
          <w:spacing w:val="-1"/>
        </w:rPr>
        <w:t> </w:t>
      </w:r>
      <w:r>
        <w:rPr/>
        <w:t>parasite</w:t>
      </w:r>
      <w:r>
        <w:rPr>
          <w:spacing w:val="-2"/>
        </w:rPr>
        <w:t> </w:t>
      </w:r>
      <w:r>
        <w:rPr/>
        <w:t>(WHO, </w:t>
      </w:r>
      <w:r>
        <w:rPr>
          <w:spacing w:val="-2"/>
        </w:rPr>
        <w:t>2013)</w:t>
      </w:r>
    </w:p>
    <w:p>
      <w:pPr>
        <w:spacing w:after="0"/>
        <w:sectPr>
          <w:pgSz w:w="11910" w:h="16840"/>
          <w:pgMar w:header="0" w:footer="1067" w:top="1140" w:bottom="1260" w:left="880" w:right="640"/>
        </w:sectPr>
      </w:pPr>
    </w:p>
    <w:p>
      <w:pPr>
        <w:pStyle w:val="Heading2"/>
        <w:numPr>
          <w:ilvl w:val="2"/>
          <w:numId w:val="3"/>
        </w:numPr>
        <w:tabs>
          <w:tab w:pos="1280" w:val="left" w:leader="none"/>
        </w:tabs>
        <w:spacing w:line="240" w:lineRule="auto" w:before="75" w:after="0"/>
        <w:ind w:left="1280" w:right="0" w:hanging="720"/>
        <w:jc w:val="left"/>
      </w:pPr>
      <w:r>
        <w:rPr/>
        <w:t>IMMUNITY</w:t>
      </w:r>
      <w:r>
        <w:rPr>
          <w:spacing w:val="-2"/>
        </w:rPr>
        <w:t> </w:t>
      </w:r>
      <w:r>
        <w:rPr/>
        <w:t>TO</w:t>
      </w:r>
      <w:r>
        <w:rPr>
          <w:spacing w:val="-1"/>
        </w:rPr>
        <w:t> </w:t>
      </w:r>
      <w:r>
        <w:rPr>
          <w:spacing w:val="-2"/>
        </w:rPr>
        <w:t>MALARIA</w:t>
      </w:r>
    </w:p>
    <w:p>
      <w:pPr>
        <w:pStyle w:val="BodyText"/>
        <w:spacing w:line="480" w:lineRule="auto" w:before="271"/>
        <w:ind w:left="560" w:right="793"/>
        <w:jc w:val="both"/>
      </w:pPr>
      <w:r>
        <w:rPr/>
        <w:t>The immune response to malaria is triggered by phagocytosis of the parasites,haemozoins</w:t>
      </w:r>
      <w:r>
        <w:rPr>
          <w:spacing w:val="80"/>
        </w:rPr>
        <w:t> </w:t>
      </w:r>
      <w:r>
        <w:rPr/>
        <w:t>and the parasite toxins (Prato</w:t>
      </w:r>
      <w:r>
        <w:rPr>
          <w:i/>
        </w:rPr>
        <w:t>et al.,</w:t>
      </w:r>
      <w:r>
        <w:rPr/>
        <w:t>2005; Prato </w:t>
      </w:r>
      <w:r>
        <w:rPr>
          <w:i/>
        </w:rPr>
        <w:t>et al.,</w:t>
      </w:r>
      <w:r>
        <w:rPr/>
        <w:t>2008). It also depends on the intensity</w:t>
      </w:r>
      <w:r>
        <w:rPr>
          <w:spacing w:val="-6"/>
        </w:rPr>
        <w:t> </w:t>
      </w:r>
      <w:r>
        <w:rPr/>
        <w:t>of transmission because individuals in malaria endemic or stable areas such as sub-Saharan Africa acquire some level of protection before adulthood while individuals in low and unstable transmission areas such as Southeast Asia fails to develop complete immunity and remains at risk of clinical infection (Dondrop </w:t>
      </w:r>
      <w:r>
        <w:rPr>
          <w:i/>
        </w:rPr>
        <w:t>et al.,</w:t>
      </w:r>
      <w:r>
        <w:rPr/>
        <w:t>2008; Osier </w:t>
      </w:r>
      <w:r>
        <w:rPr>
          <w:i/>
        </w:rPr>
        <w:t>et al.,</w:t>
      </w:r>
      <w:r>
        <w:rPr/>
        <w:t>2008; Doolan</w:t>
      </w:r>
      <w:r>
        <w:rPr>
          <w:i/>
        </w:rPr>
        <w:t>et al.,</w:t>
      </w:r>
      <w:r>
        <w:rPr/>
        <w:t>2009). Immunity to malaria could be innate (natural) or/and adaptive (aquired). The adaptive immunity could be humoral or cell-mediated (Warren, 2010).</w:t>
      </w:r>
    </w:p>
    <w:p>
      <w:pPr>
        <w:pStyle w:val="BodyText"/>
        <w:spacing w:before="1"/>
      </w:pPr>
    </w:p>
    <w:p>
      <w:pPr>
        <w:pStyle w:val="BodyText"/>
        <w:spacing w:line="480" w:lineRule="auto"/>
        <w:ind w:left="560" w:right="796"/>
        <w:jc w:val="both"/>
      </w:pPr>
      <w:r>
        <w:rPr/>
        <w:t>The innate immunity is mainly through phagocytosis of the parasite by monocyte and granulocyte, often with induction of acute phase proteins and the activation of complements. There are some factors that helpred blood cells to resist succumbing to malaria. Such factors include the natureof haemoglobin molecule and red cell antigens. For example, genetic alteration of haemoglobin molecule in sickle cell is evolved in part to survival against P. </w:t>
      </w:r>
      <w:r>
        <w:rPr>
          <w:i/>
        </w:rPr>
        <w:t>falciparum </w:t>
      </w:r>
      <w:r>
        <w:rPr/>
        <w:t>infections(Aidoo, </w:t>
      </w:r>
      <w:r>
        <w:rPr>
          <w:i/>
        </w:rPr>
        <w:t>et al,</w:t>
      </w:r>
      <w:r>
        <w:rPr/>
        <w:t>2002; Williams</w:t>
      </w:r>
      <w:r>
        <w:rPr>
          <w:i/>
        </w:rPr>
        <w:t>et al.,</w:t>
      </w:r>
      <w:r>
        <w:rPr/>
        <w:t>2005; Arora and Arora, 2010).</w:t>
      </w:r>
    </w:p>
    <w:p>
      <w:pPr>
        <w:pStyle w:val="BodyText"/>
        <w:spacing w:line="480" w:lineRule="auto" w:before="1"/>
        <w:ind w:left="560" w:right="797"/>
        <w:jc w:val="both"/>
      </w:pPr>
      <w:r>
        <w:rPr/>
        <w:t>Again, red blood cells of individuals with thalassemia appear to be susceptible to P. </w:t>
      </w:r>
      <w:r>
        <w:rPr>
          <w:i/>
        </w:rPr>
        <w:t>falciparum </w:t>
      </w:r>
      <w:r>
        <w:rPr/>
        <w:t>invasion but with significantly reduced parasite multiplication (Veenemans </w:t>
      </w:r>
      <w:r>
        <w:rPr>
          <w:i/>
        </w:rPr>
        <w:t>et al. </w:t>
      </w:r>
      <w:r>
        <w:rPr/>
        <w:t>2008). This may be due to the variable degree of persistence of haemoglobin F, which is relatively</w:t>
      </w:r>
      <w:r>
        <w:rPr>
          <w:spacing w:val="-4"/>
        </w:rPr>
        <w:t> </w:t>
      </w:r>
      <w:r>
        <w:rPr/>
        <w:t>resistant to digestion by</w:t>
      </w:r>
      <w:r>
        <w:rPr>
          <w:spacing w:val="-1"/>
        </w:rPr>
        <w:t> </w:t>
      </w:r>
      <w:r>
        <w:rPr/>
        <w:t>malarial haemoglobinases (Clegg and Weatherall, 1999).In addition, absence of the Duffy blood group antigen on red cells (mostly seen in individuals from West and sub-Saharan Africa) is protective for P. </w:t>
      </w:r>
      <w:r>
        <w:rPr>
          <w:i/>
        </w:rPr>
        <w:t>vivax </w:t>
      </w:r>
      <w:r>
        <w:rPr/>
        <w:t>malaria (Arora and Arora,</w:t>
      </w:r>
      <w:r>
        <w:rPr>
          <w:spacing w:val="40"/>
        </w:rPr>
        <w:t> </w:t>
      </w:r>
      <w:r>
        <w:rPr>
          <w:spacing w:val="-2"/>
        </w:rPr>
        <w:t>2010).</w:t>
      </w:r>
    </w:p>
    <w:p>
      <w:pPr>
        <w:pStyle w:val="BodyText"/>
        <w:spacing w:before="1"/>
      </w:pPr>
    </w:p>
    <w:p>
      <w:pPr>
        <w:pStyle w:val="BodyText"/>
        <w:spacing w:line="480" w:lineRule="auto"/>
        <w:ind w:left="560" w:right="796"/>
        <w:jc w:val="both"/>
      </w:pPr>
      <w:r>
        <w:rPr/>
        <w:t>Furthermore, some leucocytes such as Natural killer (NK) cells are activated whichsubsequently</w:t>
      </w:r>
      <w:r>
        <w:rPr>
          <w:spacing w:val="-7"/>
        </w:rPr>
        <w:t> </w:t>
      </w:r>
      <w:r>
        <w:rPr/>
        <w:t>secrete cytokines. Most cytokines, IFN</w:t>
      </w:r>
      <w:r>
        <w:rPr>
          <w:rFonts w:ascii="Symbol" w:hAnsi="Symbol"/>
        </w:rPr>
        <w:t></w:t>
      </w:r>
      <w:r>
        <w:rPr/>
        <w:t>, for</w:t>
      </w:r>
      <w:r>
        <w:rPr>
          <w:spacing w:val="-1"/>
        </w:rPr>
        <w:t> </w:t>
      </w:r>
      <w:r>
        <w:rPr/>
        <w:t>instance, facilitate the killing of parasites (Artavanis-Tsakonas and Riley, 2002).</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The humoral immune response to malaria involves the activation of ß-cells and the synthesis of immunoglobulin molecules namely, immunoglobulin miu (IgM), immunoglobulin gamma (IgG), immunoglobulin alpha (IgA) and immunoglobulin epsilon (IgE)(Leoratti</w:t>
      </w:r>
      <w:r>
        <w:rPr>
          <w:i/>
        </w:rPr>
        <w:t>et al.,</w:t>
      </w:r>
      <w:r>
        <w:rPr/>
        <w:t>2008; Mibei</w:t>
      </w:r>
      <w:r>
        <w:rPr>
          <w:i/>
        </w:rPr>
        <w:t>et al.,</w:t>
      </w:r>
      <w:r>
        <w:rPr/>
        <w:t>2008; Arora and Arora, 2010). However, efficient protection against malaria through the humoral mechanism is not usually</w:t>
      </w:r>
      <w:r>
        <w:rPr>
          <w:spacing w:val="-2"/>
        </w:rPr>
        <w:t> </w:t>
      </w:r>
      <w:r>
        <w:rPr/>
        <w:t>achieved because the parasite has little time to stay in the blood stream before entering into the liver. Also, in the blood stream, the parasite lives inside the red blood cell thus making it difficult for the organism to have direct contact with the antibodies (Arora and Arora, 2010).</w:t>
      </w:r>
      <w:r>
        <w:rPr>
          <w:spacing w:val="40"/>
        </w:rPr>
        <w:t> </w:t>
      </w:r>
      <w:r>
        <w:rPr/>
        <w:t>In addition, antibodies neither attack intracellular microbes nor enter the liver cells (Venugopal, 2007). Another reason adduced to the</w:t>
      </w:r>
      <w:r>
        <w:rPr>
          <w:spacing w:val="-2"/>
        </w:rPr>
        <w:t> </w:t>
      </w:r>
      <w:r>
        <w:rPr/>
        <w:t>ineffectiveness</w:t>
      </w:r>
      <w:r>
        <w:rPr>
          <w:spacing w:val="-1"/>
        </w:rPr>
        <w:t> </w:t>
      </w:r>
      <w:r>
        <w:rPr/>
        <w:t>of</w:t>
      </w:r>
      <w:r>
        <w:rPr>
          <w:spacing w:val="-2"/>
        </w:rPr>
        <w:t> </w:t>
      </w:r>
      <w:r>
        <w:rPr/>
        <w:t>immunoglobulin</w:t>
      </w:r>
      <w:r>
        <w:rPr>
          <w:spacing w:val="-1"/>
        </w:rPr>
        <w:t> </w:t>
      </w:r>
      <w:r>
        <w:rPr/>
        <w:t>molecules</w:t>
      </w:r>
      <w:r>
        <w:rPr>
          <w:spacing w:val="-3"/>
        </w:rPr>
        <w:t> </w:t>
      </w:r>
      <w:r>
        <w:rPr/>
        <w:t>to ensuring</w:t>
      </w:r>
      <w:r>
        <w:rPr>
          <w:spacing w:val="-1"/>
        </w:rPr>
        <w:t> </w:t>
      </w:r>
      <w:r>
        <w:rPr/>
        <w:t>protection</w:t>
      </w:r>
      <w:r>
        <w:rPr>
          <w:spacing w:val="-1"/>
        </w:rPr>
        <w:t> </w:t>
      </w:r>
      <w:r>
        <w:rPr/>
        <w:t>against malaria</w:t>
      </w:r>
      <w:r>
        <w:rPr>
          <w:spacing w:val="-3"/>
        </w:rPr>
        <w:t> </w:t>
      </w:r>
      <w:r>
        <w:rPr/>
        <w:t>is</w:t>
      </w:r>
      <w:r>
        <w:rPr>
          <w:spacing w:val="-1"/>
        </w:rPr>
        <w:t> </w:t>
      </w:r>
      <w:r>
        <w:rPr/>
        <w:t>the incessant alteration in the malarial antigenic epitope occasioned by changes that occur at different stages of schizogony (Arora and Arora, 2010).</w:t>
      </w:r>
    </w:p>
    <w:p>
      <w:pPr>
        <w:pStyle w:val="BodyText"/>
        <w:spacing w:before="2"/>
      </w:pPr>
    </w:p>
    <w:p>
      <w:pPr>
        <w:pStyle w:val="BodyText"/>
        <w:spacing w:line="480" w:lineRule="auto"/>
        <w:ind w:left="560" w:right="794"/>
        <w:jc w:val="both"/>
      </w:pPr>
      <w:r>
        <w:rPr/>
        <w:t>The cell mediated response appears to be the most effective adaptive mechanism through which protection against malaria is achieved (Prato </w:t>
      </w:r>
      <w:r>
        <w:rPr>
          <w:i/>
        </w:rPr>
        <w:t>et al.,</w:t>
      </w:r>
      <w:r>
        <w:rPr/>
        <w:t>2005; Arora and Arora, 2010; Warren,</w:t>
      </w:r>
      <w:r>
        <w:rPr>
          <w:spacing w:val="-1"/>
        </w:rPr>
        <w:t> </w:t>
      </w:r>
      <w:r>
        <w:rPr/>
        <w:t>2010).</w:t>
      </w:r>
      <w:r>
        <w:rPr>
          <w:spacing w:val="-1"/>
        </w:rPr>
        <w:t> </w:t>
      </w:r>
      <w:r>
        <w:rPr/>
        <w:t>The</w:t>
      </w:r>
      <w:r>
        <w:rPr>
          <w:spacing w:val="-3"/>
        </w:rPr>
        <w:t> </w:t>
      </w:r>
      <w:r>
        <w:rPr/>
        <w:t>cell</w:t>
      </w:r>
      <w:r>
        <w:rPr>
          <w:spacing w:val="-1"/>
        </w:rPr>
        <w:t> </w:t>
      </w:r>
      <w:r>
        <w:rPr/>
        <w:t>mediated</w:t>
      </w:r>
      <w:r>
        <w:rPr>
          <w:spacing w:val="-2"/>
        </w:rPr>
        <w:t> </w:t>
      </w:r>
      <w:r>
        <w:rPr/>
        <w:t>immune response</w:t>
      </w:r>
      <w:r>
        <w:rPr>
          <w:spacing w:val="-2"/>
        </w:rPr>
        <w:t> </w:t>
      </w:r>
      <w:r>
        <w:rPr/>
        <w:t>is</w:t>
      </w:r>
      <w:r>
        <w:rPr>
          <w:spacing w:val="-1"/>
        </w:rPr>
        <w:t> </w:t>
      </w:r>
      <w:r>
        <w:rPr/>
        <w:t>stimulated</w:t>
      </w:r>
      <w:r>
        <w:rPr>
          <w:spacing w:val="-2"/>
        </w:rPr>
        <w:t> </w:t>
      </w:r>
      <w:r>
        <w:rPr/>
        <w:t>with</w:t>
      </w:r>
      <w:r>
        <w:rPr>
          <w:spacing w:val="-3"/>
        </w:rPr>
        <w:t> </w:t>
      </w:r>
      <w:r>
        <w:rPr/>
        <w:t>the</w:t>
      </w:r>
      <w:r>
        <w:rPr>
          <w:spacing w:val="-2"/>
        </w:rPr>
        <w:t> </w:t>
      </w:r>
      <w:r>
        <w:rPr/>
        <w:t>binding</w:t>
      </w:r>
      <w:r>
        <w:rPr>
          <w:spacing w:val="-1"/>
        </w:rPr>
        <w:t> </w:t>
      </w:r>
      <w:r>
        <w:rPr/>
        <w:t>of</w:t>
      </w:r>
      <w:r>
        <w:rPr>
          <w:spacing w:val="-2"/>
        </w:rPr>
        <w:t> </w:t>
      </w:r>
      <w:r>
        <w:rPr/>
        <w:t>malarial antigenic epitope and its presentation to the T-cells by the antigen presenting cells (APCs). This is accompanied by the induction of cytokine molecules (Venugopal, 2007). The recognition</w:t>
      </w:r>
      <w:r>
        <w:rPr>
          <w:spacing w:val="-3"/>
        </w:rPr>
        <w:t> </w:t>
      </w:r>
      <w:r>
        <w:rPr/>
        <w:t>of</w:t>
      </w:r>
      <w:r>
        <w:rPr>
          <w:spacing w:val="-3"/>
        </w:rPr>
        <w:t> </w:t>
      </w:r>
      <w:r>
        <w:rPr/>
        <w:t>either</w:t>
      </w:r>
      <w:r>
        <w:rPr>
          <w:spacing w:val="-3"/>
        </w:rPr>
        <w:t> </w:t>
      </w:r>
      <w:r>
        <w:rPr/>
        <w:t>GPI,</w:t>
      </w:r>
      <w:r>
        <w:rPr>
          <w:spacing w:val="-3"/>
        </w:rPr>
        <w:t> </w:t>
      </w:r>
      <w:r>
        <w:rPr/>
        <w:t>haemozoin</w:t>
      </w:r>
      <w:r>
        <w:rPr>
          <w:spacing w:val="-3"/>
        </w:rPr>
        <w:t> </w:t>
      </w:r>
      <w:r>
        <w:rPr/>
        <w:t>or</w:t>
      </w:r>
      <w:r>
        <w:rPr>
          <w:spacing w:val="-3"/>
        </w:rPr>
        <w:t> </w:t>
      </w:r>
      <w:r>
        <w:rPr/>
        <w:t>malaria</w:t>
      </w:r>
      <w:r>
        <w:rPr>
          <w:spacing w:val="-3"/>
        </w:rPr>
        <w:t> </w:t>
      </w:r>
      <w:r>
        <w:rPr/>
        <w:t>toxins</w:t>
      </w:r>
      <w:r>
        <w:rPr>
          <w:spacing w:val="-3"/>
        </w:rPr>
        <w:t> </w:t>
      </w:r>
      <w:r>
        <w:rPr/>
        <w:t>by</w:t>
      </w:r>
      <w:r>
        <w:rPr>
          <w:spacing w:val="-7"/>
        </w:rPr>
        <w:t> </w:t>
      </w:r>
      <w:r>
        <w:rPr/>
        <w:t>the antigen</w:t>
      </w:r>
      <w:r>
        <w:rPr>
          <w:spacing w:val="-3"/>
        </w:rPr>
        <w:t> </w:t>
      </w:r>
      <w:r>
        <w:rPr/>
        <w:t>presenting</w:t>
      </w:r>
      <w:r>
        <w:rPr>
          <w:spacing w:val="-3"/>
        </w:rPr>
        <w:t> </w:t>
      </w:r>
      <w:r>
        <w:rPr/>
        <w:t>cells</w:t>
      </w:r>
      <w:r>
        <w:rPr>
          <w:spacing w:val="-3"/>
        </w:rPr>
        <w:t> </w:t>
      </w:r>
      <w:r>
        <w:rPr/>
        <w:t>(APCs) induce the secretion of cytokines and other inflammatory mediators. Specifically, the ability to mount robust secretion of interferon-gamma has been associated with protection against parasitaemia (D‟ombrain </w:t>
      </w:r>
      <w:r>
        <w:rPr>
          <w:i/>
        </w:rPr>
        <w:t>et al.,</w:t>
      </w:r>
      <w:r>
        <w:rPr/>
        <w:t>2008).</w:t>
      </w:r>
    </w:p>
    <w:p>
      <w:pPr>
        <w:pStyle w:val="BodyText"/>
        <w:spacing w:before="6"/>
      </w:pPr>
    </w:p>
    <w:p>
      <w:pPr>
        <w:pStyle w:val="Heading2"/>
        <w:numPr>
          <w:ilvl w:val="2"/>
          <w:numId w:val="4"/>
        </w:numPr>
        <w:tabs>
          <w:tab w:pos="1279" w:val="left" w:leader="none"/>
        </w:tabs>
        <w:spacing w:line="240" w:lineRule="auto" w:before="0" w:after="0"/>
        <w:ind w:left="1279" w:right="0" w:hanging="719"/>
        <w:jc w:val="left"/>
      </w:pPr>
      <w:r>
        <w:rPr/>
        <w:t>PATHOPHYSIOLOGY</w:t>
      </w:r>
      <w:r>
        <w:rPr>
          <w:spacing w:val="-2"/>
        </w:rPr>
        <w:t> </w:t>
      </w:r>
      <w:r>
        <w:rPr/>
        <w:t>OF</w:t>
      </w:r>
      <w:r>
        <w:rPr>
          <w:spacing w:val="-1"/>
        </w:rPr>
        <w:t> </w:t>
      </w:r>
      <w:r>
        <w:rPr>
          <w:spacing w:val="-2"/>
        </w:rPr>
        <w:t>MALARIA</w:t>
      </w:r>
    </w:p>
    <w:p>
      <w:pPr>
        <w:pStyle w:val="BodyText"/>
        <w:spacing w:line="480" w:lineRule="auto" w:before="271"/>
        <w:ind w:left="560" w:right="793"/>
        <w:jc w:val="both"/>
      </w:pPr>
      <w:r>
        <w:rPr/>
        <w:t>The pathophysiologic conditionsof malaria are anaemia and microvascular associated</w:t>
      </w:r>
      <w:r>
        <w:rPr>
          <w:spacing w:val="40"/>
        </w:rPr>
        <w:t> </w:t>
      </w:r>
      <w:r>
        <w:rPr/>
        <w:t>diseases notably cerebral malaria and placental defects.However, anaemia is the most prevalent.</w:t>
      </w:r>
      <w:r>
        <w:rPr>
          <w:spacing w:val="19"/>
        </w:rPr>
        <w:t> </w:t>
      </w:r>
      <w:r>
        <w:rPr/>
        <w:t>Anaemiaoccurs</w:t>
      </w:r>
      <w:r>
        <w:rPr>
          <w:spacing w:val="22"/>
        </w:rPr>
        <w:t> </w:t>
      </w:r>
      <w:r>
        <w:rPr/>
        <w:t>morewith</w:t>
      </w:r>
      <w:r>
        <w:rPr>
          <w:spacing w:val="21"/>
        </w:rPr>
        <w:t> </w:t>
      </w:r>
      <w:r>
        <w:rPr>
          <w:i/>
        </w:rPr>
        <w:t>P.</w:t>
      </w:r>
      <w:r>
        <w:rPr>
          <w:i/>
          <w:spacing w:val="21"/>
        </w:rPr>
        <w:t> </w:t>
      </w:r>
      <w:r>
        <w:rPr>
          <w:i/>
        </w:rPr>
        <w:t>falciparum</w:t>
      </w:r>
      <w:r>
        <w:rPr>
          <w:i/>
          <w:spacing w:val="21"/>
        </w:rPr>
        <w:t> </w:t>
      </w:r>
      <w:r>
        <w:rPr/>
        <w:t>infectionbecause</w:t>
      </w:r>
      <w:r>
        <w:rPr>
          <w:spacing w:val="19"/>
        </w:rPr>
        <w:t> </w:t>
      </w:r>
      <w:r>
        <w:rPr/>
        <w:t>the</w:t>
      </w:r>
      <w:r>
        <w:rPr>
          <w:spacing w:val="22"/>
        </w:rPr>
        <w:t> </w:t>
      </w:r>
      <w:r>
        <w:rPr>
          <w:spacing w:val="-2"/>
        </w:rPr>
        <w:t>plasmodiuminvades</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erythrocytes of all ages. </w:t>
      </w:r>
      <w:r>
        <w:rPr>
          <w:i/>
        </w:rPr>
        <w:t>P. malariae </w:t>
      </w:r>
      <w:r>
        <w:rPr/>
        <w:t>invades only the older erythrocyteswhile</w:t>
      </w:r>
      <w:r>
        <w:rPr>
          <w:i/>
        </w:rPr>
        <w:t>P. vivax </w:t>
      </w:r>
      <w:r>
        <w:rPr/>
        <w:t>and </w:t>
      </w:r>
      <w:r>
        <w:rPr>
          <w:i/>
        </w:rPr>
        <w:t>P. ovale</w:t>
      </w:r>
      <w:r>
        <w:rPr>
          <w:i/>
          <w:spacing w:val="-1"/>
        </w:rPr>
        <w:t> </w:t>
      </w:r>
      <w:r>
        <w:rPr/>
        <w:t>infect only</w:t>
      </w:r>
      <w:r>
        <w:rPr>
          <w:spacing w:val="-5"/>
        </w:rPr>
        <w:t> </w:t>
      </w:r>
      <w:r>
        <w:rPr/>
        <w:t>the reticulocytes (Mehta and Hoffbrand, 2001).</w:t>
      </w:r>
      <w:r>
        <w:rPr>
          <w:spacing w:val="40"/>
        </w:rPr>
        <w:t> </w:t>
      </w:r>
      <w:r>
        <w:rPr/>
        <w:t>Initially,the</w:t>
      </w:r>
      <w:r>
        <w:rPr>
          <w:spacing w:val="-1"/>
        </w:rPr>
        <w:t> </w:t>
      </w:r>
      <w:r>
        <w:rPr/>
        <w:t>anaemia ranges from moderate to mild anaemia (Hb 8g/dl - 11g/dl). Highparasite density with severe haemolysis may result insevere anaemia (Hb &lt;7g/dl).</w:t>
      </w:r>
    </w:p>
    <w:p>
      <w:pPr>
        <w:pStyle w:val="BodyText"/>
      </w:pPr>
    </w:p>
    <w:p>
      <w:pPr>
        <w:pStyle w:val="BodyText"/>
        <w:spacing w:line="480" w:lineRule="auto" w:before="1"/>
        <w:ind w:left="560" w:right="793"/>
        <w:jc w:val="both"/>
      </w:pPr>
      <w:r>
        <w:rPr/>
        <w:t>Malarial anaemia may occur through different mechanisms: bydirect lysis of parasitized erythrocytes, the splenic removal of infected and uninfected red blood cells (red blood cells coated with immune complexes) and autoimmune lysis of coated infected and uninfected red blood cells. Other mechanisms are increased fragility of red blood cell, decreased incorporation of iron into haem and decreased production of red blood cells due to bone marrow suppression (Arora and Arora, 2010). Also, anaemia could result with the trapping and congestion of erythrocytes in the splenic sinusoids during splenic hyperplasia, (Warren, </w:t>
      </w:r>
      <w:r>
        <w:rPr>
          <w:spacing w:val="-2"/>
        </w:rPr>
        <w:t>2010).</w:t>
      </w:r>
    </w:p>
    <w:p>
      <w:pPr>
        <w:pStyle w:val="BodyText"/>
        <w:spacing w:before="1"/>
      </w:pPr>
    </w:p>
    <w:p>
      <w:pPr>
        <w:pStyle w:val="BodyText"/>
        <w:spacing w:line="480" w:lineRule="auto"/>
        <w:ind w:left="560" w:right="794"/>
        <w:jc w:val="both"/>
      </w:pPr>
      <w:r>
        <w:rPr/>
        <w:t>Onimmune mediated lysis of both parasitized and unparasitized red blood cells. It is reported that specific antibodies are produced against parasitizedred blood cellswhich interacts to inducehaemolysis. Haemolysismay</w:t>
      </w:r>
      <w:r>
        <w:rPr>
          <w:spacing w:val="-1"/>
        </w:rPr>
        <w:t> </w:t>
      </w:r>
      <w:r>
        <w:rPr/>
        <w:t>continue to occur even after the parasite clearance (Ouma </w:t>
      </w:r>
      <w:r>
        <w:rPr>
          <w:i/>
        </w:rPr>
        <w:t>et al.,</w:t>
      </w:r>
      <w:r>
        <w:rPr/>
        <w:t>2008). Moreover, antibodies may coatunparasitized cells and thus bind to malaria antigens on the red blood cell to form immune complexes. Immune complexes may trigger lysis and are removed by erythrophagocytosisresulting in anaemia (Warell </w:t>
      </w:r>
      <w:r>
        <w:rPr>
          <w:i/>
        </w:rPr>
        <w:t>et al.,</w:t>
      </w:r>
      <w:r>
        <w:rPr/>
        <w:t>2002).Furthermore, malarial anaemia could arise as a result of synthesis of cytokines. Cytokine dysregulation could up-regulate endothelial adhesion molecules and converts the anti-coagulant endothelium to a procoagulant surface. It has been reported that in response to cytokines such as TNFα or Interleukin 1 (IL-1) or bacterial endotoxin, endothelial cells synthesize tissue factor; the major activator of the extrinsic clotting cascade (Mitchell, 2010). Activation of the clothing cascade in turn may initiate the formation of disseminated intravascular</w:t>
      </w:r>
      <w:r>
        <w:rPr>
          <w:spacing w:val="56"/>
        </w:rPr>
        <w:t> </w:t>
      </w:r>
      <w:r>
        <w:rPr/>
        <w:t>coagulation</w:t>
      </w:r>
      <w:r>
        <w:rPr>
          <w:spacing w:val="61"/>
        </w:rPr>
        <w:t> </w:t>
      </w:r>
      <w:r>
        <w:rPr/>
        <w:t>(DIC)</w:t>
      </w:r>
      <w:r>
        <w:rPr>
          <w:spacing w:val="60"/>
        </w:rPr>
        <w:t> </w:t>
      </w:r>
      <w:r>
        <w:rPr/>
        <w:t>and</w:t>
      </w:r>
      <w:r>
        <w:rPr>
          <w:spacing w:val="60"/>
        </w:rPr>
        <w:t> </w:t>
      </w:r>
      <w:r>
        <w:rPr/>
        <w:t>haemorrhage</w:t>
      </w:r>
      <w:r>
        <w:rPr>
          <w:spacing w:val="64"/>
        </w:rPr>
        <w:t> </w:t>
      </w:r>
      <w:r>
        <w:rPr/>
        <w:t>(Olutoya</w:t>
      </w:r>
      <w:r>
        <w:rPr>
          <w:spacing w:val="60"/>
        </w:rPr>
        <w:t> </w:t>
      </w:r>
      <w:r>
        <w:rPr/>
        <w:t>and</w:t>
      </w:r>
      <w:r>
        <w:rPr>
          <w:spacing w:val="60"/>
        </w:rPr>
        <w:t> </w:t>
      </w:r>
      <w:r>
        <w:rPr/>
        <w:t>Mokuolu,2012).</w:t>
      </w:r>
      <w:r>
        <w:rPr>
          <w:spacing w:val="61"/>
        </w:rPr>
        <w:t>  </w:t>
      </w:r>
      <w:r>
        <w:rPr>
          <w:spacing w:val="-2"/>
        </w:rPr>
        <w:t>Again,</w:t>
      </w:r>
    </w:p>
    <w:p>
      <w:pPr>
        <w:spacing w:after="0" w:line="480" w:lineRule="auto"/>
        <w:jc w:val="both"/>
        <w:sectPr>
          <w:pgSz w:w="11910" w:h="16840"/>
          <w:pgMar w:header="0" w:footer="1067" w:top="1060" w:bottom="1260" w:left="880" w:right="640"/>
        </w:sectPr>
      </w:pPr>
    </w:p>
    <w:p>
      <w:pPr>
        <w:pStyle w:val="BodyText"/>
        <w:spacing w:line="480" w:lineRule="auto" w:before="70"/>
        <w:ind w:left="560" w:right="803"/>
        <w:jc w:val="both"/>
      </w:pPr>
      <w:r>
        <w:rPr/>
        <w:t>anaemia could occur especially in acute malaria as a result of increased nitric oxide (NO) production. It is posited that NO suppresses the early erythroid (Keller </w:t>
      </w:r>
      <w:r>
        <w:rPr>
          <w:i/>
        </w:rPr>
        <w:t>et al., </w:t>
      </w:r>
      <w:r>
        <w:rPr/>
        <w:t>2004).</w:t>
      </w:r>
    </w:p>
    <w:p>
      <w:pPr>
        <w:pStyle w:val="BodyText"/>
      </w:pPr>
    </w:p>
    <w:p>
      <w:pPr>
        <w:pStyle w:val="BodyText"/>
        <w:spacing w:line="480" w:lineRule="auto" w:before="1"/>
        <w:ind w:left="560" w:right="797"/>
        <w:jc w:val="both"/>
      </w:pPr>
      <w:r>
        <w:rPr/>
        <w:t>As regards to microvascular associated diseases, the parasite may sequesterin any organ of</w:t>
      </w:r>
      <w:r>
        <w:rPr>
          <w:spacing w:val="40"/>
        </w:rPr>
        <w:t> </w:t>
      </w:r>
      <w:r>
        <w:rPr/>
        <w:t>the body however, its impact is commonly demonstrated in severe cerebral malaria and in acute renal failure (Das, 2008). The placental infection is another example of microvascular associated</w:t>
      </w:r>
      <w:r>
        <w:rPr>
          <w:spacing w:val="-3"/>
        </w:rPr>
        <w:t> </w:t>
      </w:r>
      <w:r>
        <w:rPr/>
        <w:t>disease.</w:t>
      </w:r>
      <w:r>
        <w:rPr>
          <w:spacing w:val="-3"/>
        </w:rPr>
        <w:t> </w:t>
      </w:r>
      <w:r>
        <w:rPr/>
        <w:t>High</w:t>
      </w:r>
      <w:r>
        <w:rPr>
          <w:spacing w:val="-1"/>
        </w:rPr>
        <w:t> </w:t>
      </w:r>
      <w:r>
        <w:rPr/>
        <w:t>malaria</w:t>
      </w:r>
      <w:r>
        <w:rPr>
          <w:spacing w:val="-4"/>
        </w:rPr>
        <w:t> </w:t>
      </w:r>
      <w:r>
        <w:rPr/>
        <w:t>parasite</w:t>
      </w:r>
      <w:r>
        <w:rPr>
          <w:spacing w:val="-4"/>
        </w:rPr>
        <w:t> </w:t>
      </w:r>
      <w:r>
        <w:rPr/>
        <w:t>density</w:t>
      </w:r>
      <w:r>
        <w:rPr>
          <w:spacing w:val="-5"/>
        </w:rPr>
        <w:t> </w:t>
      </w:r>
      <w:r>
        <w:rPr/>
        <w:t>and</w:t>
      </w:r>
      <w:r>
        <w:rPr>
          <w:spacing w:val="-3"/>
        </w:rPr>
        <w:t> </w:t>
      </w:r>
      <w:r>
        <w:rPr/>
        <w:t>chronic</w:t>
      </w:r>
      <w:r>
        <w:rPr>
          <w:spacing w:val="-3"/>
        </w:rPr>
        <w:t> </w:t>
      </w:r>
      <w:r>
        <w:rPr/>
        <w:t>infection</w:t>
      </w:r>
      <w:r>
        <w:rPr>
          <w:spacing w:val="-3"/>
        </w:rPr>
        <w:t> </w:t>
      </w:r>
      <w:r>
        <w:rPr/>
        <w:t>induces</w:t>
      </w:r>
      <w:r>
        <w:rPr>
          <w:spacing w:val="-3"/>
        </w:rPr>
        <w:t> </w:t>
      </w:r>
      <w:r>
        <w:rPr/>
        <w:t>dysfunction</w:t>
      </w:r>
      <w:r>
        <w:rPr>
          <w:spacing w:val="-3"/>
        </w:rPr>
        <w:t> </w:t>
      </w:r>
      <w:r>
        <w:rPr/>
        <w:t>of the placenta with its attendant adverse consequences (Fried </w:t>
      </w:r>
      <w:r>
        <w:rPr>
          <w:i/>
        </w:rPr>
        <w:t>et al., </w:t>
      </w:r>
      <w:r>
        <w:rPr/>
        <w:t>1998; Menedez </w:t>
      </w:r>
      <w:r>
        <w:rPr>
          <w:i/>
        </w:rPr>
        <w:t>et al.,</w:t>
      </w:r>
      <w:r>
        <w:rPr>
          <w:i/>
          <w:spacing w:val="40"/>
        </w:rPr>
        <w:t> </w:t>
      </w:r>
      <w:r>
        <w:rPr/>
        <w:t>2000; Suguitan </w:t>
      </w:r>
      <w:r>
        <w:rPr>
          <w:i/>
        </w:rPr>
        <w:t>et al.,</w:t>
      </w:r>
      <w:r>
        <w:rPr/>
        <w:t>2003; Bouyou-Akotet </w:t>
      </w:r>
      <w:r>
        <w:rPr>
          <w:i/>
        </w:rPr>
        <w:t>et al.,</w:t>
      </w:r>
      <w:r>
        <w:rPr/>
        <w:t>2004;Panda, </w:t>
      </w:r>
      <w:r>
        <w:rPr>
          <w:i/>
        </w:rPr>
        <w:t>et al, </w:t>
      </w:r>
      <w:r>
        <w:rPr/>
        <w:t>2012). It is also posited that severe falciparum malaria may cause deformities in the genital tract to make conception impossible or if conception does occur, it may prevent normal implantation and development of the placenta. (Burrow </w:t>
      </w:r>
      <w:r>
        <w:rPr>
          <w:i/>
        </w:rPr>
        <w:t>et al</w:t>
      </w:r>
      <w:r>
        <w:rPr/>
        <w:t>, 2004)</w:t>
      </w:r>
    </w:p>
    <w:p>
      <w:pPr>
        <w:pStyle w:val="BodyText"/>
        <w:spacing w:before="6"/>
      </w:pPr>
    </w:p>
    <w:p>
      <w:pPr>
        <w:pStyle w:val="Heading2"/>
        <w:numPr>
          <w:ilvl w:val="2"/>
          <w:numId w:val="4"/>
        </w:numPr>
        <w:tabs>
          <w:tab w:pos="1279" w:val="left" w:leader="none"/>
        </w:tabs>
        <w:spacing w:line="240" w:lineRule="auto" w:before="0" w:after="0"/>
        <w:ind w:left="1279" w:right="0" w:hanging="719"/>
        <w:jc w:val="left"/>
      </w:pPr>
      <w:r>
        <w:rPr/>
        <w:t>MALARIA</w:t>
      </w:r>
      <w:r>
        <w:rPr>
          <w:spacing w:val="-1"/>
        </w:rPr>
        <w:t> </w:t>
      </w:r>
      <w:r>
        <w:rPr/>
        <w:t>IN</w:t>
      </w:r>
      <w:r>
        <w:rPr>
          <w:spacing w:val="-1"/>
        </w:rPr>
        <w:t> </w:t>
      </w:r>
      <w:r>
        <w:rPr>
          <w:spacing w:val="-2"/>
        </w:rPr>
        <w:t>PREGNANCY</w:t>
      </w:r>
    </w:p>
    <w:p>
      <w:pPr>
        <w:pStyle w:val="BodyText"/>
        <w:spacing w:line="480" w:lineRule="auto" w:before="271"/>
        <w:ind w:left="560" w:right="792"/>
        <w:jc w:val="both"/>
      </w:pPr>
      <w:r>
        <w:rPr/>
        <w:t>Some researchers have contributed that pregnant women are more susceptible to malaria than non pregnant women (Diagne </w:t>
      </w:r>
      <w:r>
        <w:rPr>
          <w:i/>
        </w:rPr>
        <w:t>et al.,</w:t>
      </w:r>
      <w:r>
        <w:rPr/>
        <w:t>2000; Nnaji </w:t>
      </w:r>
      <w:r>
        <w:rPr>
          <w:i/>
        </w:rPr>
        <w:t>et al.,</w:t>
      </w:r>
      <w:r>
        <w:rPr/>
        <w:t>2006; Akinboro</w:t>
      </w:r>
      <w:r>
        <w:rPr>
          <w:i/>
        </w:rPr>
        <w:t>et al.,</w:t>
      </w:r>
      <w:r>
        <w:rPr/>
        <w:t>2010; Ter-Kulie</w:t>
      </w:r>
      <w:r>
        <w:rPr>
          <w:spacing w:val="40"/>
        </w:rPr>
        <w:t> </w:t>
      </w:r>
      <w:r>
        <w:rPr>
          <w:i/>
        </w:rPr>
        <w:t>et</w:t>
      </w:r>
      <w:r>
        <w:rPr>
          <w:i/>
          <w:spacing w:val="-2"/>
        </w:rPr>
        <w:t> </w:t>
      </w:r>
      <w:r>
        <w:rPr>
          <w:i/>
        </w:rPr>
        <w:t>al.,</w:t>
      </w:r>
      <w:r>
        <w:rPr/>
        <w:t>2010;Tay</w:t>
      </w:r>
      <w:r>
        <w:rPr>
          <w:spacing w:val="-5"/>
        </w:rPr>
        <w:t> </w:t>
      </w:r>
      <w:r>
        <w:rPr>
          <w:i/>
        </w:rPr>
        <w:t>et</w:t>
      </w:r>
      <w:r>
        <w:rPr>
          <w:i/>
          <w:spacing w:val="-2"/>
        </w:rPr>
        <w:t> </w:t>
      </w:r>
      <w:r>
        <w:rPr>
          <w:i/>
        </w:rPr>
        <w:t>al.,</w:t>
      </w:r>
      <w:r>
        <w:rPr/>
        <w:t>2013;).</w:t>
      </w:r>
      <w:r>
        <w:rPr>
          <w:spacing w:val="-2"/>
        </w:rPr>
        <w:t> </w:t>
      </w:r>
      <w:r>
        <w:rPr/>
        <w:t>Again</w:t>
      </w:r>
      <w:r>
        <w:rPr>
          <w:spacing w:val="-2"/>
        </w:rPr>
        <w:t> </w:t>
      </w:r>
      <w:r>
        <w:rPr/>
        <w:t>the</w:t>
      </w:r>
      <w:r>
        <w:rPr>
          <w:spacing w:val="-3"/>
        </w:rPr>
        <w:t> </w:t>
      </w:r>
      <w:r>
        <w:rPr/>
        <w:t>majority</w:t>
      </w:r>
      <w:r>
        <w:rPr>
          <w:spacing w:val="-7"/>
        </w:rPr>
        <w:t> </w:t>
      </w:r>
      <w:r>
        <w:rPr/>
        <w:t>of</w:t>
      </w:r>
      <w:r>
        <w:rPr>
          <w:spacing w:val="-2"/>
        </w:rPr>
        <w:t> </w:t>
      </w:r>
      <w:r>
        <w:rPr/>
        <w:t>malaria</w:t>
      </w:r>
      <w:r>
        <w:rPr>
          <w:spacing w:val="-2"/>
        </w:rPr>
        <w:t> </w:t>
      </w:r>
      <w:r>
        <w:rPr/>
        <w:t>infections</w:t>
      </w:r>
      <w:r>
        <w:rPr>
          <w:spacing w:val="-2"/>
        </w:rPr>
        <w:t> </w:t>
      </w:r>
      <w:r>
        <w:rPr/>
        <w:t>is low-grade,</w:t>
      </w:r>
      <w:r>
        <w:rPr>
          <w:spacing w:val="-2"/>
        </w:rPr>
        <w:t> </w:t>
      </w:r>
      <w:r>
        <w:rPr/>
        <w:t>frequently sub-patent and in most case asymptomatic, undetected and untreated (Shulman, 1999; Ter- Kuile</w:t>
      </w:r>
      <w:r>
        <w:rPr>
          <w:i/>
        </w:rPr>
        <w:t>et al.,</w:t>
      </w:r>
      <w:r>
        <w:rPr/>
        <w:t>2004). </w:t>
      </w:r>
      <w:r>
        <w:rPr>
          <w:i/>
        </w:rPr>
        <w:t>P. falciparum </w:t>
      </w:r>
      <w:r>
        <w:rPr/>
        <w:t>is the only human malaria parasite that is common in pregnancy and is the only parasite with a clear and substantial adverse effect on pregnancy and pregnancy outcome (Ismail et al., 2000; Steketee </w:t>
      </w:r>
      <w:r>
        <w:rPr>
          <w:i/>
        </w:rPr>
        <w:t>et al.,</w:t>
      </w:r>
      <w:r>
        <w:rPr/>
        <w:t>2001).</w:t>
      </w:r>
    </w:p>
    <w:p>
      <w:pPr>
        <w:pStyle w:val="BodyText"/>
        <w:spacing w:before="1"/>
      </w:pPr>
    </w:p>
    <w:p>
      <w:pPr>
        <w:pStyle w:val="BodyText"/>
        <w:spacing w:line="480" w:lineRule="auto"/>
        <w:ind w:left="560" w:right="795"/>
        <w:jc w:val="both"/>
      </w:pPr>
      <w:r>
        <w:rPr/>
        <w:t>Some maternal factors associated with malaria include maternal age, parity, gestational age and gravidity (Takem and D‟Alessandro, 2013).Their effect is associated with loss of immunity (Brabin, 1983). However, reports on the effectswere inconsistent. In one aspect,some reports contributed that adolescence has higher prevalence and higher risk of malaria</w:t>
      </w:r>
      <w:r>
        <w:rPr>
          <w:spacing w:val="79"/>
        </w:rPr>
        <w:t> </w:t>
      </w:r>
      <w:r>
        <w:rPr/>
        <w:t>infection</w:t>
      </w:r>
      <w:r>
        <w:rPr>
          <w:spacing w:val="50"/>
          <w:w w:val="150"/>
        </w:rPr>
        <w:t> </w:t>
      </w:r>
      <w:r>
        <w:rPr/>
        <w:t>than</w:t>
      </w:r>
      <w:r>
        <w:rPr>
          <w:spacing w:val="52"/>
          <w:w w:val="150"/>
        </w:rPr>
        <w:t> </w:t>
      </w:r>
      <w:r>
        <w:rPr/>
        <w:t>older</w:t>
      </w:r>
      <w:r>
        <w:rPr>
          <w:spacing w:val="79"/>
        </w:rPr>
        <w:t> </w:t>
      </w:r>
      <w:r>
        <w:rPr/>
        <w:t>women(Poespoprodjo</w:t>
      </w:r>
      <w:r>
        <w:rPr>
          <w:spacing w:val="51"/>
          <w:w w:val="150"/>
        </w:rPr>
        <w:t> </w:t>
      </w:r>
      <w:r>
        <w:rPr>
          <w:i/>
        </w:rPr>
        <w:t>et</w:t>
      </w:r>
      <w:r>
        <w:rPr>
          <w:i/>
          <w:spacing w:val="50"/>
          <w:w w:val="150"/>
        </w:rPr>
        <w:t> </w:t>
      </w:r>
      <w:r>
        <w:rPr>
          <w:i/>
        </w:rPr>
        <w:t>al.,</w:t>
      </w:r>
      <w:r>
        <w:rPr/>
        <w:t>2008;</w:t>
      </w:r>
      <w:r>
        <w:rPr>
          <w:spacing w:val="50"/>
          <w:w w:val="150"/>
        </w:rPr>
        <w:t> </w:t>
      </w:r>
      <w:r>
        <w:rPr/>
        <w:t>Ayoola</w:t>
      </w:r>
      <w:r>
        <w:rPr>
          <w:spacing w:val="50"/>
          <w:w w:val="150"/>
        </w:rPr>
        <w:t> </w:t>
      </w:r>
      <w:r>
        <w:rPr>
          <w:i/>
        </w:rPr>
        <w:t>et</w:t>
      </w:r>
      <w:r>
        <w:rPr>
          <w:i/>
          <w:spacing w:val="50"/>
          <w:w w:val="150"/>
        </w:rPr>
        <w:t> </w:t>
      </w:r>
      <w:r>
        <w:rPr>
          <w:i/>
        </w:rPr>
        <w:t>al.,</w:t>
      </w:r>
      <w:r>
        <w:rPr/>
        <w:t>2012).</w:t>
      </w:r>
      <w:r>
        <w:rPr>
          <w:spacing w:val="53"/>
          <w:w w:val="150"/>
        </w:rPr>
        <w:t> </w:t>
      </w:r>
      <w:r>
        <w:rPr>
          <w:spacing w:val="-5"/>
        </w:rPr>
        <w:t>In</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addition, primigravidae are at higher risk than multigravidae (Agbor-Enoh, </w:t>
      </w:r>
      <w:r>
        <w:rPr>
          <w:i/>
        </w:rPr>
        <w:t>et al, </w:t>
      </w:r>
      <w:r>
        <w:rPr/>
        <w:t>2003; Shulman and Dorman, 2003; Kalilani </w:t>
      </w:r>
      <w:r>
        <w:rPr>
          <w:i/>
        </w:rPr>
        <w:t>et al.,</w:t>
      </w:r>
      <w:r>
        <w:rPr/>
        <w:t>2010; Valea</w:t>
      </w:r>
      <w:r>
        <w:rPr>
          <w:i/>
        </w:rPr>
        <w:t>et al.,</w:t>
      </w:r>
      <w:r>
        <w:rPr/>
        <w:t>2012; Matthew</w:t>
      </w:r>
      <w:r>
        <w:rPr>
          <w:i/>
        </w:rPr>
        <w:t>et</w:t>
      </w:r>
      <w:r>
        <w:rPr>
          <w:i/>
          <w:spacing w:val="40"/>
        </w:rPr>
        <w:t> </w:t>
      </w:r>
      <w:r>
        <w:rPr>
          <w:i/>
        </w:rPr>
        <w:t>al.,</w:t>
      </w:r>
      <w:r>
        <w:rPr/>
        <w:t>2013;Wogu </w:t>
      </w:r>
      <w:r>
        <w:rPr>
          <w:i/>
        </w:rPr>
        <w:t>et al.,</w:t>
      </w:r>
      <w:r>
        <w:rPr/>
        <w:t>2013;). Coulibaly </w:t>
      </w:r>
      <w:r>
        <w:rPr>
          <w:i/>
        </w:rPr>
        <w:t>et al.,</w:t>
      </w:r>
      <w:r>
        <w:rPr/>
        <w:t>(2007) reported that primigravidae had significantly higher risk of malaria infection than multigravidae.In Kenya, the rate of malaria infection with primigravidae was 85.7% while that for multigravidae was 51.7%(Brabin, 1983). In Ghana, Tay </w:t>
      </w:r>
      <w:r>
        <w:rPr>
          <w:i/>
        </w:rPr>
        <w:t>et al.,</w:t>
      </w:r>
      <w:r>
        <w:rPr/>
        <w:t>(2013)reported that age and gestational age of pregnant women were factors affecting malaria parasitaemia and recorded that primigravidiae were more affected than multigravidae. In Sokoto, primigravidae and secondegravidae demonstrated more vulnerability to malaria parasitaemia than multigravidae (Panti </w:t>
      </w:r>
      <w:r>
        <w:rPr>
          <w:i/>
        </w:rPr>
        <w:t>et al.,</w:t>
      </w:r>
      <w:r>
        <w:rPr/>
        <w:t>2012).Again, gestational age from several works haveshown that malaria infectionpeaks more in the first and second trimesters(Nduka </w:t>
      </w:r>
      <w:r>
        <w:rPr>
          <w:i/>
        </w:rPr>
        <w:t>et al.,</w:t>
      </w:r>
      <w:r>
        <w:rPr/>
        <w:t>2006; Saba</w:t>
      </w:r>
      <w:r>
        <w:rPr>
          <w:i/>
        </w:rPr>
        <w:t>et al.,</w:t>
      </w:r>
      <w:r>
        <w:rPr/>
        <w:t>2008;Wogu </w:t>
      </w:r>
      <w:r>
        <w:rPr>
          <w:i/>
        </w:rPr>
        <w:t>et al.,</w:t>
      </w:r>
      <w:r>
        <w:rPr/>
        <w:t>2013). However,Akinboro </w:t>
      </w:r>
      <w:r>
        <w:rPr>
          <w:i/>
        </w:rPr>
        <w:t>et al., </w:t>
      </w:r>
      <w:r>
        <w:rPr/>
        <w:t>(2010) reported no correlation between malaria parasitaemia, age, gravidity and trimester.</w:t>
      </w:r>
    </w:p>
    <w:p>
      <w:pPr>
        <w:pStyle w:val="BodyText"/>
        <w:spacing w:before="7"/>
      </w:pPr>
    </w:p>
    <w:p>
      <w:pPr>
        <w:pStyle w:val="Heading2"/>
        <w:numPr>
          <w:ilvl w:val="2"/>
          <w:numId w:val="4"/>
        </w:numPr>
        <w:tabs>
          <w:tab w:pos="1279" w:val="left" w:leader="none"/>
        </w:tabs>
        <w:spacing w:line="240" w:lineRule="auto" w:before="0" w:after="0"/>
        <w:ind w:left="1279" w:right="0" w:hanging="719"/>
        <w:jc w:val="left"/>
      </w:pPr>
      <w:r>
        <w:rPr/>
        <w:t>PLACENTAL </w:t>
      </w:r>
      <w:r>
        <w:rPr>
          <w:spacing w:val="-2"/>
        </w:rPr>
        <w:t>MALARIA</w:t>
      </w:r>
    </w:p>
    <w:p>
      <w:pPr>
        <w:pStyle w:val="BodyText"/>
        <w:spacing w:line="480" w:lineRule="auto" w:before="271"/>
        <w:ind w:left="560" w:right="796"/>
        <w:jc w:val="both"/>
      </w:pPr>
      <w:r>
        <w:rPr/>
        <w:t>The placenta is the primary link between the mother and the foetus. It grows throughout pregnancy and separates the maternal and foetal circulation(Ashwood and knight, 2006). It nourishes the foetus, eliminates foetal wastes and produces pregnancy hormones (Ashwood and knight, 2006). The placenta is composed of large collection of foetal vessels called chorionic villi that sprout from the chorion to provide a large contact area between the foetal and maternal circulation. The villi are surrounded by the intervillous space. In mature placenta, the maternal blood enters the intervillious space through endometrial artries (spiral artries) and circulates around the villi allowing for exchange of gases and nutrients. The diffusion of gas and nutrient occurs through the villus capillary endothelial cells and thinnedout syncytiotrophoblast and cytotrophoblast. Under normal circumstances, there is no mixing between the foetal and placental blood (Ellenson and Pirog, 2010).</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The placenta is also prone to malarial infection aside the peripheral blood in pregnant</w:t>
      </w:r>
      <w:r>
        <w:rPr>
          <w:spacing w:val="80"/>
        </w:rPr>
        <w:t> </w:t>
      </w:r>
      <w:r>
        <w:rPr/>
        <w:t>women, (Ukaga </w:t>
      </w:r>
      <w:r>
        <w:rPr>
          <w:i/>
        </w:rPr>
        <w:t>et al.,</w:t>
      </w:r>
      <w:r>
        <w:rPr/>
        <w:t>2007). Infected erythrocytes accumulate in the intervillous space, sometimes in higher density and binds to chondroitin sulfate-A in the syncytiotrophoblast (Matejevic </w:t>
      </w:r>
      <w:r>
        <w:rPr>
          <w:i/>
        </w:rPr>
        <w:t>et al., </w:t>
      </w:r>
      <w:r>
        <w:rPr/>
        <w:t>2001; Beeson</w:t>
      </w:r>
      <w:r>
        <w:rPr>
          <w:i/>
        </w:rPr>
        <w:t>et al.,</w:t>
      </w:r>
      <w:r>
        <w:rPr/>
        <w:t>2000). Placental infected erythrocytes express unique variant surface antigen (VSA) which mediate placental adhesion and binding to CSA and</w:t>
      </w:r>
      <w:r>
        <w:rPr>
          <w:spacing w:val="40"/>
        </w:rPr>
        <w:t> </w:t>
      </w:r>
      <w:r>
        <w:rPr/>
        <w:t>HO. However, the principal parasite ligand mediating adhesion to CSA and VSA on the infected erythrocytes surface is P. </w:t>
      </w:r>
      <w:r>
        <w:rPr>
          <w:i/>
        </w:rPr>
        <w:t>falciparum </w:t>
      </w:r>
      <w:r>
        <w:rPr/>
        <w:t>erythrocyte membrane protein-1 (PfEMP- 1).Furthermore, the intervillous spaces are filled with macrophages that contain haemozoin, antibodies and cytokines (Ismail </w:t>
      </w:r>
      <w:r>
        <w:rPr>
          <w:i/>
        </w:rPr>
        <w:t>et al.,</w:t>
      </w:r>
      <w:r>
        <w:rPr/>
        <w:t>2000). Haemozoin probably remains for long period until it is diluted out by rapidly growing placenta (Rogerson and Beeson, 1999).</w:t>
      </w:r>
    </w:p>
    <w:p>
      <w:pPr>
        <w:pStyle w:val="BodyText"/>
        <w:spacing w:before="1"/>
      </w:pPr>
    </w:p>
    <w:p>
      <w:pPr>
        <w:pStyle w:val="BodyText"/>
        <w:spacing w:line="480" w:lineRule="auto" w:before="1"/>
        <w:ind w:left="560" w:right="796"/>
        <w:jc w:val="both"/>
      </w:pPr>
      <w:r>
        <w:rPr/>
        <w:t>Chronic malaria parasite infection or high parasite density induces three specific changes in the placenta. Firstly,cellular immune response may result in the consumption of glucose and oxygen thatwould have gone to the foetus. Secondly,the cytotrophoblastic membrane thickens. This alludes to mechanical compromise of placental circulation whichresults in pathological legions and drastic reduction in the transport of nutrient to the foetus (Menedez </w:t>
      </w:r>
      <w:r>
        <w:rPr>
          <w:i/>
        </w:rPr>
        <w:t>et al.,</w:t>
      </w:r>
      <w:r>
        <w:rPr/>
        <w:t>2000; Panda</w:t>
      </w:r>
      <w:r>
        <w:rPr>
          <w:i/>
        </w:rPr>
        <w:t>et al., </w:t>
      </w:r>
      <w:r>
        <w:rPr/>
        <w:t>2012).</w:t>
      </w:r>
      <w:r>
        <w:rPr>
          <w:spacing w:val="-1"/>
        </w:rPr>
        <w:t> </w:t>
      </w:r>
      <w:r>
        <w:rPr/>
        <w:t>Thirdly, is the</w:t>
      </w:r>
      <w:r>
        <w:rPr>
          <w:spacing w:val="-1"/>
        </w:rPr>
        <w:t> </w:t>
      </w:r>
      <w:r>
        <w:rPr/>
        <w:t>disruption of the</w:t>
      </w:r>
      <w:r>
        <w:rPr>
          <w:spacing w:val="-1"/>
        </w:rPr>
        <w:t> </w:t>
      </w:r>
      <w:r>
        <w:rPr/>
        <w:t>normal immune balance? This causes increased synthesis of inflammatory cytokines like TNF</w:t>
      </w:r>
      <w:r>
        <w:rPr>
          <w:rFonts w:ascii="Symbol" w:hAnsi="Symbol"/>
        </w:rPr>
        <w:t></w:t>
      </w:r>
      <w:r>
        <w:rPr/>
        <w:t>, IL-2, and IFN</w:t>
      </w:r>
      <w:r>
        <w:rPr>
          <w:rFonts w:ascii="Symbol" w:hAnsi="Symbol"/>
        </w:rPr>
        <w:t></w:t>
      </w:r>
      <w:r>
        <w:rPr/>
        <w:t> (Fried </w:t>
      </w:r>
      <w:r>
        <w:rPr>
          <w:i/>
        </w:rPr>
        <w:t>et al.,</w:t>
      </w:r>
      <w:r>
        <w:rPr/>
        <w:t>1998; Suguitan </w:t>
      </w:r>
      <w:r>
        <w:rPr>
          <w:i/>
        </w:rPr>
        <w:t>et al.,</w:t>
      </w:r>
      <w:r>
        <w:rPr/>
        <w:t>2003;Bouyou-Akotet </w:t>
      </w:r>
      <w:r>
        <w:rPr>
          <w:i/>
        </w:rPr>
        <w:t>et al.,</w:t>
      </w:r>
      <w:r>
        <w:rPr/>
        <w:t>2004).In a study on pregnant women in Owerri, Imo state, South Eastern Nigeria, Ukaga </w:t>
      </w:r>
      <w:r>
        <w:rPr>
          <w:i/>
        </w:rPr>
        <w:t>et al.,</w:t>
      </w:r>
      <w:r>
        <w:rPr/>
        <w:t>(2007) observed a 29.9% prevalence</w:t>
      </w:r>
      <w:r>
        <w:rPr>
          <w:spacing w:val="40"/>
        </w:rPr>
        <w:t> </w:t>
      </w:r>
      <w:r>
        <w:rPr/>
        <w:t>of placental malaria. Furthermore, they reported that despite antimalarial therapy, a</w:t>
      </w:r>
      <w:r>
        <w:rPr>
          <w:spacing w:val="40"/>
        </w:rPr>
        <w:t> </w:t>
      </w:r>
      <w:r>
        <w:rPr/>
        <w:t>significant (</w:t>
      </w:r>
      <w:r>
        <w:rPr>
          <w:i/>
        </w:rPr>
        <w:t>P</w:t>
      </w:r>
      <w:r>
        <w:rPr/>
        <w:t>&lt;0.05) relationshipexisted between placental malaria, gravidity, age and blood group. They alsoreported that primigravidae (15.4%) were the most infected with malaria followed by</w:t>
      </w:r>
      <w:r>
        <w:rPr>
          <w:spacing w:val="-1"/>
        </w:rPr>
        <w:t> </w:t>
      </w:r>
      <w:r>
        <w:rPr/>
        <w:t>secondigravidae 9.6% while multigravidae had the least rate (4.9%) of infection. Again, younger women appeared more vulnerable to placental malaria than their older </w:t>
      </w:r>
      <w:r>
        <w:rPr>
          <w:spacing w:val="-2"/>
        </w:rPr>
        <w:t>counterparts.</w:t>
      </w:r>
    </w:p>
    <w:p>
      <w:pPr>
        <w:spacing w:after="0" w:line="480" w:lineRule="auto"/>
        <w:jc w:val="both"/>
        <w:sectPr>
          <w:pgSz w:w="11910" w:h="16840"/>
          <w:pgMar w:header="0" w:footer="1067" w:top="1060" w:bottom="1260" w:left="880" w:right="640"/>
        </w:sectPr>
      </w:pPr>
    </w:p>
    <w:p>
      <w:pPr>
        <w:pStyle w:val="Heading2"/>
        <w:numPr>
          <w:ilvl w:val="2"/>
          <w:numId w:val="5"/>
        </w:numPr>
        <w:tabs>
          <w:tab w:pos="1280" w:val="left" w:leader="none"/>
        </w:tabs>
        <w:spacing w:line="240" w:lineRule="auto" w:before="75" w:after="0"/>
        <w:ind w:left="1280" w:right="0" w:hanging="720"/>
        <w:jc w:val="left"/>
      </w:pPr>
      <w:r>
        <w:rPr/>
        <w:t>LABORATORY</w:t>
      </w:r>
      <w:r>
        <w:rPr>
          <w:spacing w:val="-1"/>
        </w:rPr>
        <w:t> </w:t>
      </w:r>
      <w:r>
        <w:rPr/>
        <w:t>DIAGNOSIS</w:t>
      </w:r>
      <w:r>
        <w:rPr>
          <w:spacing w:val="-1"/>
        </w:rPr>
        <w:t> </w:t>
      </w:r>
      <w:r>
        <w:rPr/>
        <w:t>OF </w:t>
      </w:r>
      <w:r>
        <w:rPr>
          <w:spacing w:val="-2"/>
        </w:rPr>
        <w:t>MALARIA</w:t>
      </w:r>
    </w:p>
    <w:p>
      <w:pPr>
        <w:pStyle w:val="BodyText"/>
        <w:spacing w:line="480" w:lineRule="auto" w:before="271"/>
        <w:ind w:left="560" w:right="794"/>
        <w:jc w:val="both"/>
      </w:pPr>
      <w:r>
        <w:rPr/>
        <w:t>Several methods have been adopted in the diagnosis of malaria infection and these include microscopic examination of stained blood films, centrifugation of blood,use of lateral-flow- immunochromatography [rapid diagnostic test (RDT) strip],and neucleic acid base detection (polymerase chain reaction) (Arora and Arora, 2010; Cheesbrough, 2010). However, microscopic examination of stained blood film is the gold standard for routine diagnosis (WHO, 2010).For the microscopic diagnosis of malaria parasite, blood film should be prepared from fresh blood samples. Two types of blood filmmay be used: thin and thick</w:t>
      </w:r>
      <w:r>
        <w:rPr>
          <w:spacing w:val="40"/>
        </w:rPr>
        <w:t> </w:t>
      </w:r>
      <w:r>
        <w:rPr/>
        <w:t>films. Thick blood film is more sensitive in detecting malaria parasite density than the thin film because blood is concentrated in the thick film and that allowsfor the examination of greater number of malaria parasites.</w:t>
      </w:r>
    </w:p>
    <w:p>
      <w:pPr>
        <w:pStyle w:val="BodyText"/>
        <w:spacing w:before="2"/>
      </w:pPr>
    </w:p>
    <w:p>
      <w:pPr>
        <w:pStyle w:val="BodyText"/>
        <w:spacing w:line="480" w:lineRule="auto"/>
        <w:ind w:left="560" w:right="793"/>
        <w:jc w:val="both"/>
      </w:pPr>
      <w:r>
        <w:rPr/>
        <w:t>The thin film is air-dried, fixed with methanol and allowed to dry before staining. Thick filmsare allowed to airdry but fixed during staining.Best results are obtained when films are stained with a 2.5% Giemsa solution at a pH 7.2 for 45 minutes or 7.5% Giemsa for 15 minutes. A combined Wright-Giemsa stain can also detect malaria parasites butdoes not demonstrate schuffner‟s dots as reliably observed with Giemsa stain. If correctly stained, the cytoplasm of plasmodium parasiteappears blue, while the chromatin dot appears red. Malaria microscopy is prone to operator‟s error even with trained and experienced microscopists. Common errors that may arise in film reading are loss of identification of the parasite expecially in relatively low or sub-patent infection and over lying of an infected red blood</w:t>
      </w:r>
      <w:r>
        <w:rPr>
          <w:spacing w:val="40"/>
        </w:rPr>
        <w:t> </w:t>
      </w:r>
      <w:r>
        <w:rPr/>
        <w:t>cell by platelet. An elevated count could be obtained when precipitates arising from stains, dusts</w:t>
      </w:r>
      <w:r>
        <w:rPr>
          <w:spacing w:val="-1"/>
        </w:rPr>
        <w:t> </w:t>
      </w:r>
      <w:r>
        <w:rPr/>
        <w:t>and</w:t>
      </w:r>
      <w:r>
        <w:rPr>
          <w:spacing w:val="-1"/>
        </w:rPr>
        <w:t> </w:t>
      </w:r>
      <w:r>
        <w:rPr/>
        <w:t>microbial artifacts were enumerated as parasites.Therefore, the</w:t>
      </w:r>
      <w:r>
        <w:rPr>
          <w:spacing w:val="-2"/>
        </w:rPr>
        <w:t> </w:t>
      </w:r>
      <w:r>
        <w:rPr/>
        <w:t>need for automation probably by using digital image analysis is required.</w:t>
      </w:r>
    </w:p>
    <w:p>
      <w:pPr>
        <w:pStyle w:val="BodyText"/>
        <w:spacing w:before="1"/>
      </w:pPr>
    </w:p>
    <w:p>
      <w:pPr>
        <w:pStyle w:val="BodyText"/>
        <w:spacing w:line="480" w:lineRule="auto" w:before="1"/>
        <w:ind w:left="560" w:right="797"/>
        <w:jc w:val="both"/>
      </w:pPr>
      <w:r>
        <w:rPr/>
        <w:t>Estimation of parasite count is important in order to deal with discriminatory threshood of parasitaemia</w:t>
      </w:r>
      <w:r>
        <w:rPr>
          <w:spacing w:val="28"/>
        </w:rPr>
        <w:t>  </w:t>
      </w:r>
      <w:r>
        <w:rPr/>
        <w:t>especially</w:t>
      </w:r>
      <w:r>
        <w:rPr>
          <w:spacing w:val="25"/>
        </w:rPr>
        <w:t>  </w:t>
      </w:r>
      <w:r>
        <w:rPr/>
        <w:t>in</w:t>
      </w:r>
      <w:r>
        <w:rPr>
          <w:spacing w:val="28"/>
        </w:rPr>
        <w:t>  </w:t>
      </w:r>
      <w:r>
        <w:rPr/>
        <w:t>asymptomatic</w:t>
      </w:r>
      <w:r>
        <w:rPr>
          <w:spacing w:val="26"/>
        </w:rPr>
        <w:t>  </w:t>
      </w:r>
      <w:r>
        <w:rPr/>
        <w:t>cases.</w:t>
      </w:r>
      <w:r>
        <w:rPr>
          <w:spacing w:val="27"/>
        </w:rPr>
        <w:t>  </w:t>
      </w:r>
      <w:r>
        <w:rPr/>
        <w:t>Besides,</w:t>
      </w:r>
      <w:r>
        <w:rPr>
          <w:spacing w:val="27"/>
        </w:rPr>
        <w:t>  </w:t>
      </w:r>
      <w:r>
        <w:rPr/>
        <w:t>parasite</w:t>
      </w:r>
      <w:r>
        <w:rPr>
          <w:spacing w:val="27"/>
        </w:rPr>
        <w:t>  </w:t>
      </w:r>
      <w:r>
        <w:rPr/>
        <w:t>count</w:t>
      </w:r>
      <w:r>
        <w:rPr>
          <w:spacing w:val="27"/>
        </w:rPr>
        <w:t>  </w:t>
      </w:r>
      <w:r>
        <w:rPr/>
        <w:t>is</w:t>
      </w:r>
      <w:r>
        <w:rPr>
          <w:spacing w:val="27"/>
        </w:rPr>
        <w:t>  </w:t>
      </w:r>
      <w:r>
        <w:rPr>
          <w:spacing w:val="-2"/>
        </w:rPr>
        <w:t>important</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expecially in</w:t>
      </w:r>
      <w:r>
        <w:rPr>
          <w:i/>
        </w:rPr>
        <w:t>P. falciparum</w:t>
      </w:r>
      <w:r>
        <w:rPr/>
        <w:t>infection which is always considered as potentially dangerous.</w:t>
      </w:r>
      <w:r>
        <w:rPr>
          <w:spacing w:val="40"/>
        </w:rPr>
        <w:t> </w:t>
      </w:r>
      <w:r>
        <w:rPr/>
        <w:t>This is because </w:t>
      </w:r>
      <w:r>
        <w:rPr>
          <w:i/>
        </w:rPr>
        <w:t>P. falciparum </w:t>
      </w:r>
      <w:r>
        <w:rPr/>
        <w:t>infects erythrocyte of any ageand has the potential to develop</w:t>
      </w:r>
      <w:r>
        <w:rPr>
          <w:spacing w:val="40"/>
        </w:rPr>
        <w:t> </w:t>
      </w:r>
      <w:r>
        <w:rPr/>
        <w:t>to high grade parasitaemia. Accurate estimation of malaria parasite density is necessary for patient‟s management, especially</w:t>
      </w:r>
      <w:r>
        <w:rPr>
          <w:spacing w:val="-2"/>
        </w:rPr>
        <w:t> </w:t>
      </w:r>
      <w:r>
        <w:rPr/>
        <w:t>with increase in parasite resistance to available therapy and also in clinical trials and drugs efficacy studies. There are two acceptable methods of expressing the parasite count; either as the percentage of infected erythrocytes as inthin film or the number</w:t>
      </w:r>
      <w:r>
        <w:rPr>
          <w:spacing w:val="-1"/>
        </w:rPr>
        <w:t> </w:t>
      </w:r>
      <w:r>
        <w:rPr/>
        <w:t>of parasites per unit volume of blood. The later is usually</w:t>
      </w:r>
      <w:r>
        <w:rPr>
          <w:spacing w:val="-2"/>
        </w:rPr>
        <w:t> </w:t>
      </w:r>
      <w:r>
        <w:rPr/>
        <w:t>assessed on a stained thick film by counting parasites against 100, 200 or more leucocytes, then multiplying by either the patient‟s leucocytes count if available or a standard count of 8000µl. The use of assumed white blood cell count set by the WHO rather than the individual white blood cell count could lead to over estimation of parasite density in malaria infection (Jeremiah and Uko, 2007) or vice versa depending on several factors such as malaria burden, acceptable reference values for white blood cell (WBC) in an area and variability in the techniques adopted by film readers and other infections (O‟Meara</w:t>
      </w:r>
      <w:r>
        <w:rPr>
          <w:i/>
        </w:rPr>
        <w:t>et al.,</w:t>
      </w:r>
      <w:r>
        <w:rPr/>
        <w:t>2005). However, no universal cut-off level has been adopted (Toure, </w:t>
      </w:r>
      <w:r>
        <w:rPr>
          <w:i/>
        </w:rPr>
        <w:t>et al, </w:t>
      </w:r>
      <w:r>
        <w:rPr/>
        <w:t>2006; Dalla Marth </w:t>
      </w:r>
      <w:r>
        <w:rPr>
          <w:i/>
        </w:rPr>
        <w:t>et al., </w:t>
      </w:r>
      <w:r>
        <w:rPr/>
        <w:t>2007).Persons</w:t>
      </w:r>
      <w:r>
        <w:rPr>
          <w:spacing w:val="40"/>
        </w:rPr>
        <w:t> </w:t>
      </w:r>
      <w:r>
        <w:rPr/>
        <w:t>suspected of having malaria, whose blood films do not indicate the presence of the parasites should have blood films repeated approximately every 12-24 hours for 3 consecutive days. If the film still showsnegative, then the diagnosis of malaria parasite is unlikely.</w:t>
      </w:r>
    </w:p>
    <w:p>
      <w:pPr>
        <w:pStyle w:val="BodyText"/>
        <w:spacing w:before="3"/>
      </w:pPr>
    </w:p>
    <w:p>
      <w:pPr>
        <w:pStyle w:val="BodyText"/>
        <w:spacing w:line="480" w:lineRule="auto"/>
        <w:ind w:left="560" w:right="795"/>
        <w:jc w:val="both"/>
      </w:pPr>
      <w:r>
        <w:rPr/>
        <w:t>Rapid Diagnostic Tests are based on the isolation and detection of many specific malarial parasite antigens from the blood of infected individuals and the development of</w:t>
      </w:r>
      <w:r>
        <w:rPr>
          <w:spacing w:val="40"/>
        </w:rPr>
        <w:t> </w:t>
      </w:r>
      <w:r>
        <w:rPr/>
        <w:t>corresponding antibodies directed to the target parasite antigens. The most important antigenic markers targeted for detection with RDT are histidine-rich protein II (HRP–II) and parasite lactate dehydrogenase (pLDH) (Sood, 2006).</w:t>
      </w:r>
      <w:r>
        <w:rPr>
          <w:spacing w:val="40"/>
        </w:rPr>
        <w:t> </w:t>
      </w:r>
      <w:r>
        <w:rPr>
          <w:i/>
        </w:rPr>
        <w:t>P.falciparum </w:t>
      </w:r>
      <w:r>
        <w:rPr/>
        <w:t>produces HRP – II and pLDH that are specific to it while </w:t>
      </w:r>
      <w:r>
        <w:rPr>
          <w:i/>
        </w:rPr>
        <w:t>P.vivax</w:t>
      </w:r>
      <w:r>
        <w:rPr/>
        <w:t>, </w:t>
      </w:r>
      <w:r>
        <w:rPr>
          <w:i/>
        </w:rPr>
        <w:t>P.ovale </w:t>
      </w:r>
      <w:r>
        <w:rPr/>
        <w:t>and </w:t>
      </w:r>
      <w:r>
        <w:rPr>
          <w:i/>
        </w:rPr>
        <w:t>P.malariae </w:t>
      </w:r>
      <w:r>
        <w:rPr/>
        <w:t>produces</w:t>
      </w:r>
      <w:r>
        <w:rPr>
          <w:spacing w:val="40"/>
        </w:rPr>
        <w:t> </w:t>
      </w:r>
      <w:r>
        <w:rPr/>
        <w:t>pLDH that are also</w:t>
      </w:r>
      <w:r>
        <w:rPr>
          <w:spacing w:val="21"/>
        </w:rPr>
        <w:t> </w:t>
      </w:r>
      <w:r>
        <w:rPr/>
        <w:t>specific</w:t>
      </w:r>
      <w:r>
        <w:rPr>
          <w:spacing w:val="23"/>
        </w:rPr>
        <w:t> </w:t>
      </w:r>
      <w:r>
        <w:rPr/>
        <w:t>but</w:t>
      </w:r>
      <w:r>
        <w:rPr>
          <w:spacing w:val="23"/>
        </w:rPr>
        <w:t> </w:t>
      </w:r>
      <w:r>
        <w:rPr/>
        <w:t>cannot</w:t>
      </w:r>
      <w:r>
        <w:rPr>
          <w:spacing w:val="26"/>
        </w:rPr>
        <w:t> </w:t>
      </w:r>
      <w:r>
        <w:rPr/>
        <w:t>be</w:t>
      </w:r>
      <w:r>
        <w:rPr>
          <w:spacing w:val="21"/>
        </w:rPr>
        <w:t> </w:t>
      </w:r>
      <w:r>
        <w:rPr/>
        <w:t>distinguished</w:t>
      </w:r>
      <w:r>
        <w:rPr>
          <w:spacing w:val="23"/>
        </w:rPr>
        <w:t> </w:t>
      </w:r>
      <w:r>
        <w:rPr/>
        <w:t>from</w:t>
      </w:r>
      <w:r>
        <w:rPr>
          <w:spacing w:val="23"/>
        </w:rPr>
        <w:t> </w:t>
      </w:r>
      <w:r>
        <w:rPr/>
        <w:t>each</w:t>
      </w:r>
      <w:r>
        <w:rPr>
          <w:spacing w:val="23"/>
        </w:rPr>
        <w:t> </w:t>
      </w:r>
      <w:r>
        <w:rPr/>
        <w:t>of</w:t>
      </w:r>
      <w:r>
        <w:rPr>
          <w:spacing w:val="23"/>
        </w:rPr>
        <w:t> </w:t>
      </w:r>
      <w:r>
        <w:rPr/>
        <w:t>the</w:t>
      </w:r>
      <w:r>
        <w:rPr>
          <w:spacing w:val="22"/>
        </w:rPr>
        <w:t> </w:t>
      </w:r>
      <w:r>
        <w:rPr/>
        <w:t>parasite</w:t>
      </w:r>
      <w:r>
        <w:rPr>
          <w:spacing w:val="22"/>
        </w:rPr>
        <w:t> </w:t>
      </w:r>
      <w:r>
        <w:rPr/>
        <w:t>species</w:t>
      </w:r>
      <w:r>
        <w:rPr>
          <w:spacing w:val="76"/>
          <w:w w:val="150"/>
        </w:rPr>
        <w:t> </w:t>
      </w:r>
      <w:r>
        <w:rPr/>
        <w:t>(Sood,</w:t>
      </w:r>
      <w:r>
        <w:rPr>
          <w:spacing w:val="24"/>
        </w:rPr>
        <w:t> </w:t>
      </w:r>
      <w:r>
        <w:rPr>
          <w:spacing w:val="-2"/>
        </w:rPr>
        <w:t>2006).A</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new method for identification and quantitation of malaria parasite known as Quantitative Buffy</w:t>
      </w:r>
      <w:r>
        <w:rPr>
          <w:spacing w:val="-4"/>
        </w:rPr>
        <w:t> </w:t>
      </w:r>
      <w:r>
        <w:rPr/>
        <w:t>Coat (QBC) has been developed by</w:t>
      </w:r>
      <w:r>
        <w:rPr>
          <w:spacing w:val="-4"/>
        </w:rPr>
        <w:t> </w:t>
      </w:r>
      <w:r>
        <w:rPr/>
        <w:t>Becton and Dickson Inc. It involves staining of the centrifuged and compressed red cell layer with acridine orange and its examination under ultra-violet light. QBC is said to be fast, easy and more sensitive than the traditional thick smear examination (Arora and Arora, 2010).</w:t>
      </w:r>
    </w:p>
    <w:p>
      <w:pPr>
        <w:pStyle w:val="BodyText"/>
        <w:spacing w:before="1"/>
      </w:pPr>
    </w:p>
    <w:p>
      <w:pPr>
        <w:pStyle w:val="BodyText"/>
        <w:spacing w:line="480" w:lineRule="auto"/>
        <w:ind w:left="560" w:right="792"/>
        <w:jc w:val="both"/>
      </w:pPr>
      <w:r>
        <w:rPr/>
        <w:t>In the diagnosis of malaria in pregnancy, infected subjects may be defined on the basis of pheripheralparasitaemia or placental infection (at the time of delivery). It is essential to identify malaria parasite in the placenta because peripheral microscopy may miss a large proportion of infected women whereas the parasites may be sequestrated in the placenta (Takem and D‟Alessandro, 2013). Moreover, the placenta may contain large numbers of infected erythrocytes (as many as 65%) while the peripheral blood is free from parasites (Brabin, 1983). Conversely immigrants to malaria endemic areas often show high parasitaemia without heavy placental infection. The histological examination of the placenta is the most sensitive indicator of malaria infection compared with peripheral parasitaemia. The placental demonstration may show the trophozoites and/or the haemozoin (Shulman and Dorman, 2003). The presence of the trophozoites signifies active infection while haemozoin signifies either past, chronic infection or both (Ismail </w:t>
      </w:r>
      <w:r>
        <w:rPr>
          <w:i/>
        </w:rPr>
        <w:t>et al.,</w:t>
      </w:r>
      <w:r>
        <w:rPr/>
        <w:t>2000).In a study on pregnant and placental blood,it was observed that out of 123 pregnant women, 93 had placental infection without peripheral parasitaemia while 30 had peripheral parasitaemia without placental infection (Matteelli </w:t>
      </w:r>
      <w:r>
        <w:rPr>
          <w:i/>
        </w:rPr>
        <w:t>et al.,</w:t>
      </w:r>
      <w:r>
        <w:rPr/>
        <w:t>1994).Again, in a work on placental malaria Menedez </w:t>
      </w:r>
      <w:r>
        <w:rPr>
          <w:i/>
        </w:rPr>
        <w:t>et al.,</w:t>
      </w:r>
      <w:r>
        <w:rPr/>
        <w:t>(2000) observed 75.5% of the women with placental malaria of which 9.5% had the trophozoities, 40.3% had pigments while 25.7% had both trophozoites and pigment but there was no correlation between parasite density in the peripheral blood and that of the placenta.</w:t>
      </w:r>
    </w:p>
    <w:p>
      <w:pPr>
        <w:spacing w:after="0" w:line="480" w:lineRule="auto"/>
        <w:jc w:val="both"/>
        <w:sectPr>
          <w:pgSz w:w="11910" w:h="16840"/>
          <w:pgMar w:header="0" w:footer="1067" w:top="1060" w:bottom="1260" w:left="880" w:right="640"/>
        </w:sectPr>
      </w:pPr>
    </w:p>
    <w:p>
      <w:pPr>
        <w:pStyle w:val="Heading2"/>
        <w:numPr>
          <w:ilvl w:val="3"/>
          <w:numId w:val="5"/>
        </w:numPr>
        <w:tabs>
          <w:tab w:pos="1279" w:val="left" w:leader="none"/>
        </w:tabs>
        <w:spacing w:line="240" w:lineRule="auto" w:before="75" w:after="0"/>
        <w:ind w:left="1279" w:right="0" w:hanging="719"/>
        <w:jc w:val="left"/>
      </w:pPr>
      <w:r>
        <w:rPr/>
        <w:t>PREVALENCE</w:t>
      </w:r>
      <w:r>
        <w:rPr>
          <w:spacing w:val="-1"/>
        </w:rPr>
        <w:t> </w:t>
      </w:r>
      <w:r>
        <w:rPr/>
        <w:t>OF</w:t>
      </w:r>
      <w:r>
        <w:rPr>
          <w:spacing w:val="-1"/>
        </w:rPr>
        <w:t> </w:t>
      </w:r>
      <w:r>
        <w:rPr/>
        <w:t>MALARIA</w:t>
      </w:r>
      <w:r>
        <w:rPr>
          <w:spacing w:val="-1"/>
        </w:rPr>
        <w:t> </w:t>
      </w:r>
      <w:r>
        <w:rPr/>
        <w:t>IN</w:t>
      </w:r>
      <w:r>
        <w:rPr>
          <w:spacing w:val="-1"/>
        </w:rPr>
        <w:t> </w:t>
      </w:r>
      <w:r>
        <w:rPr>
          <w:spacing w:val="-2"/>
        </w:rPr>
        <w:t>PREGNANCY</w:t>
      </w:r>
    </w:p>
    <w:p>
      <w:pPr>
        <w:pStyle w:val="BodyText"/>
        <w:spacing w:line="480" w:lineRule="auto" w:before="271"/>
        <w:ind w:left="560" w:right="796"/>
        <w:jc w:val="both"/>
      </w:pPr>
      <w:r>
        <w:rPr/>
        <w:t>Review of studies in sub-Saharan Africa between 2000 and 2011 (Takem and D‟Alessandro, 2013) showed the prevalence of malaria among pregnant women attending antenatal clinic at 29.5% in East and South Africa and 35.1% in West and Central Africa. In Kenya, Ouma </w:t>
      </w:r>
      <w:r>
        <w:rPr>
          <w:i/>
        </w:rPr>
        <w:t>et al.,</w:t>
      </w:r>
      <w:r>
        <w:rPr/>
        <w:t>(2008) observed a prevalence of 18%. In Ghana, Tay </w:t>
      </w:r>
      <w:r>
        <w:rPr>
          <w:i/>
        </w:rPr>
        <w:t>et al.,</w:t>
      </w:r>
      <w:r>
        <w:rPr/>
        <w:t>(2013) recorded prevalence of 12.6%. In Cameroon, Achidi </w:t>
      </w:r>
      <w:r>
        <w:rPr>
          <w:i/>
        </w:rPr>
        <w:t>et al.,</w:t>
      </w:r>
      <w:r>
        <w:rPr/>
        <w:t>(2007) recorded the prevalence of 25.4%.</w:t>
      </w:r>
    </w:p>
    <w:p>
      <w:pPr>
        <w:pStyle w:val="BodyText"/>
        <w:spacing w:before="1"/>
      </w:pPr>
    </w:p>
    <w:p>
      <w:pPr>
        <w:pStyle w:val="BodyText"/>
        <w:spacing w:line="480" w:lineRule="auto"/>
        <w:ind w:left="560" w:right="793"/>
        <w:jc w:val="both"/>
      </w:pPr>
      <w:r>
        <w:rPr/>
        <w:t>The hospital based data varieswithin the country. In Lagos metropolis, Western Nigeria, the prevalence of </w:t>
      </w:r>
      <w:r>
        <w:rPr>
          <w:i/>
        </w:rPr>
        <w:t>P. falciparum</w:t>
      </w:r>
      <w:r>
        <w:rPr/>
        <w:t>on pregnant women attending antenatal clinic in a one-year study stood at 88.5% (Iriemenam </w:t>
      </w:r>
      <w:r>
        <w:rPr>
          <w:i/>
        </w:rPr>
        <w:t>et al.,</w:t>
      </w:r>
      <w:r>
        <w:rPr/>
        <w:t>2011). Anorlu </w:t>
      </w:r>
      <w:r>
        <w:rPr>
          <w:i/>
        </w:rPr>
        <w:t>et al.,</w:t>
      </w:r>
      <w:r>
        <w:rPr/>
        <w:t>(2001) recorded 77.8% prevalence with 44.2% in primigravidae and 33.6% in multigravidae. In a study in Oshogbo, Southwestern Nigeria on 250 pregnant women on regular antenatal visits Akinboro </w:t>
      </w:r>
      <w:r>
        <w:rPr>
          <w:i/>
        </w:rPr>
        <w:t>et al.,</w:t>
      </w:r>
      <w:r>
        <w:rPr/>
        <w:t>(2010) reported</w:t>
      </w:r>
      <w:r>
        <w:rPr>
          <w:spacing w:val="40"/>
        </w:rPr>
        <w:t> </w:t>
      </w:r>
      <w:r>
        <w:rPr/>
        <w:t>the prevalence of malaria at 63.6% and mean parasite density of 461.33. The prevalence of malaria was highest among women in first pregnancy and between 26-30 years while the</w:t>
      </w:r>
      <w:r>
        <w:rPr>
          <w:spacing w:val="80"/>
        </w:rPr>
        <w:t> </w:t>
      </w:r>
      <w:r>
        <w:rPr/>
        <w:t>least prevalence was recorded in those above 40years. No correlated relationship was established between parasitaemia and age, gravidity and packed cell volume.</w:t>
      </w:r>
    </w:p>
    <w:p>
      <w:pPr>
        <w:pStyle w:val="BodyText"/>
        <w:spacing w:before="1"/>
      </w:pPr>
    </w:p>
    <w:p>
      <w:pPr>
        <w:pStyle w:val="BodyText"/>
        <w:spacing w:line="480" w:lineRule="auto"/>
        <w:ind w:left="560" w:right="794"/>
        <w:jc w:val="both"/>
      </w:pPr>
      <w:r>
        <w:rPr/>
        <w:t>In</w:t>
      </w:r>
      <w:r>
        <w:rPr>
          <w:spacing w:val="-1"/>
        </w:rPr>
        <w:t> </w:t>
      </w:r>
      <w:r>
        <w:rPr/>
        <w:t>Makurdi,</w:t>
      </w:r>
      <w:r>
        <w:rPr>
          <w:spacing w:val="-3"/>
        </w:rPr>
        <w:t> </w:t>
      </w:r>
      <w:r>
        <w:rPr/>
        <w:t>Benue</w:t>
      </w:r>
      <w:r>
        <w:rPr>
          <w:spacing w:val="-4"/>
        </w:rPr>
        <w:t> </w:t>
      </w:r>
      <w:r>
        <w:rPr/>
        <w:t>State,</w:t>
      </w:r>
      <w:r>
        <w:rPr>
          <w:spacing w:val="-1"/>
        </w:rPr>
        <w:t> </w:t>
      </w:r>
      <w:r>
        <w:rPr/>
        <w:t>North</w:t>
      </w:r>
      <w:r>
        <w:rPr>
          <w:spacing w:val="-3"/>
        </w:rPr>
        <w:t> </w:t>
      </w:r>
      <w:r>
        <w:rPr/>
        <w:t>central</w:t>
      </w:r>
      <w:r>
        <w:rPr>
          <w:spacing w:val="-3"/>
        </w:rPr>
        <w:t> </w:t>
      </w:r>
      <w:r>
        <w:rPr/>
        <w:t>Nigeria</w:t>
      </w:r>
      <w:r>
        <w:rPr>
          <w:spacing w:val="-3"/>
        </w:rPr>
        <w:t> </w:t>
      </w:r>
      <w:r>
        <w:rPr/>
        <w:t>Jumbo</w:t>
      </w:r>
      <w:r>
        <w:rPr>
          <w:i/>
        </w:rPr>
        <w:t>et</w:t>
      </w:r>
      <w:r>
        <w:rPr>
          <w:i/>
          <w:spacing w:val="-3"/>
        </w:rPr>
        <w:t> </w:t>
      </w:r>
      <w:r>
        <w:rPr>
          <w:i/>
        </w:rPr>
        <w:t>al.,</w:t>
      </w:r>
      <w:r>
        <w:rPr/>
        <w:t>(2011)</w:t>
      </w:r>
      <w:r>
        <w:rPr>
          <w:spacing w:val="-4"/>
        </w:rPr>
        <w:t> </w:t>
      </w:r>
      <w:r>
        <w:rPr/>
        <w:t>recorded</w:t>
      </w:r>
      <w:r>
        <w:rPr>
          <w:spacing w:val="-3"/>
        </w:rPr>
        <w:t> </w:t>
      </w:r>
      <w:r>
        <w:rPr/>
        <w:t>the</w:t>
      </w:r>
      <w:r>
        <w:rPr>
          <w:spacing w:val="-3"/>
        </w:rPr>
        <w:t> </w:t>
      </w:r>
      <w:r>
        <w:rPr/>
        <w:t>prevalence</w:t>
      </w:r>
      <w:r>
        <w:rPr>
          <w:spacing w:val="-4"/>
        </w:rPr>
        <w:t> </w:t>
      </w:r>
      <w:r>
        <w:rPr/>
        <w:t>of 42.4% with </w:t>
      </w:r>
      <w:r>
        <w:rPr>
          <w:i/>
        </w:rPr>
        <w:t>P.falciparum</w:t>
      </w:r>
      <w:r>
        <w:rPr/>
        <w:t>. In South-South Nigeria, a prevalence of 26% and 20.3% were recorded at different periods in Port Harcourt while 70.1% was reported at Calabar (Buseri </w:t>
      </w:r>
      <w:r>
        <w:rPr>
          <w:i/>
        </w:rPr>
        <w:t>et al.,</w:t>
      </w:r>
      <w:r>
        <w:rPr/>
        <w:t>2008; Jumbo </w:t>
      </w:r>
      <w:r>
        <w:rPr>
          <w:i/>
        </w:rPr>
        <w:t>et al.,</w:t>
      </w:r>
      <w:r>
        <w:rPr/>
        <w:t>2011; Okafor </w:t>
      </w:r>
      <w:r>
        <w:rPr>
          <w:i/>
        </w:rPr>
        <w:t>et al.,</w:t>
      </w:r>
      <w:r>
        <w:rPr/>
        <w:t>2012; Wogu </w:t>
      </w:r>
      <w:r>
        <w:rPr>
          <w:i/>
        </w:rPr>
        <w:t>et al.,</w:t>
      </w:r>
      <w:r>
        <w:rPr/>
        <w:t>2013).</w:t>
      </w:r>
    </w:p>
    <w:p>
      <w:pPr>
        <w:pStyle w:val="BodyText"/>
        <w:spacing w:before="1"/>
      </w:pPr>
    </w:p>
    <w:p>
      <w:pPr>
        <w:pStyle w:val="BodyText"/>
        <w:spacing w:line="480" w:lineRule="auto"/>
        <w:ind w:left="560" w:right="796"/>
        <w:jc w:val="both"/>
      </w:pPr>
      <w:r>
        <w:rPr/>
        <w:t>In South East Nigeria, different prevalence rates have been reported from various rural communities.Ogbodo </w:t>
      </w:r>
      <w:r>
        <w:rPr>
          <w:i/>
        </w:rPr>
        <w:t>et al.,</w:t>
      </w:r>
      <w:r>
        <w:rPr/>
        <w:t>(2009) in a study on 272 asymptomatic pregnant women in Ebonyi State, reported a prevalence of malaria parasite at 59.9% with the highest prevalence occurring in the first trimester. However, 47.2% had mild malaria while 15.3% had severe malaria.</w:t>
      </w:r>
      <w:r>
        <w:rPr>
          <w:spacing w:val="66"/>
        </w:rPr>
        <w:t> </w:t>
      </w:r>
      <w:r>
        <w:rPr/>
        <w:t>Furthermore,</w:t>
      </w:r>
      <w:r>
        <w:rPr>
          <w:spacing w:val="68"/>
        </w:rPr>
        <w:t> </w:t>
      </w:r>
      <w:r>
        <w:rPr/>
        <w:t>the</w:t>
      </w:r>
      <w:r>
        <w:rPr>
          <w:spacing w:val="68"/>
        </w:rPr>
        <w:t> </w:t>
      </w:r>
      <w:r>
        <w:rPr/>
        <w:t>distribution</w:t>
      </w:r>
      <w:r>
        <w:rPr>
          <w:spacing w:val="68"/>
        </w:rPr>
        <w:t> </w:t>
      </w:r>
      <w:r>
        <w:rPr/>
        <w:t>of</w:t>
      </w:r>
      <w:r>
        <w:rPr>
          <w:spacing w:val="68"/>
        </w:rPr>
        <w:t> </w:t>
      </w:r>
      <w:r>
        <w:rPr/>
        <w:t>malaria</w:t>
      </w:r>
      <w:r>
        <w:rPr>
          <w:spacing w:val="67"/>
        </w:rPr>
        <w:t> </w:t>
      </w:r>
      <w:r>
        <w:rPr/>
        <w:t>densities</w:t>
      </w:r>
      <w:r>
        <w:rPr>
          <w:spacing w:val="68"/>
        </w:rPr>
        <w:t> </w:t>
      </w:r>
      <w:r>
        <w:rPr/>
        <w:t>in</w:t>
      </w:r>
      <w:r>
        <w:rPr>
          <w:spacing w:val="69"/>
        </w:rPr>
        <w:t> </w:t>
      </w:r>
      <w:r>
        <w:rPr/>
        <w:t>different</w:t>
      </w:r>
      <w:r>
        <w:rPr>
          <w:spacing w:val="68"/>
        </w:rPr>
        <w:t> </w:t>
      </w:r>
      <w:r>
        <w:rPr/>
        <w:t>gravidity</w:t>
      </w:r>
      <w:r>
        <w:rPr>
          <w:spacing w:val="64"/>
        </w:rPr>
        <w:t> </w:t>
      </w:r>
      <w:r>
        <w:rPr>
          <w:spacing w:val="-2"/>
        </w:rPr>
        <w:t>groups</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showed significant inverse correlation. In addition, the prevalence of anaemia in the study</w:t>
      </w:r>
      <w:r>
        <w:rPr>
          <w:spacing w:val="40"/>
        </w:rPr>
        <w:t> </w:t>
      </w:r>
      <w:r>
        <w:rPr/>
        <w:t>was 62.4%. At Abakaliki Ebonyi State, the prevalence of malaria in pregnancy was 29% (Nwonwu </w:t>
      </w:r>
      <w:r>
        <w:rPr>
          <w:i/>
        </w:rPr>
        <w:t>et al.,</w:t>
      </w:r>
      <w:r>
        <w:rPr/>
        <w:t>2009). In Enugu, Enugu State, a prevalence of 21.3% was recorded (Ekejindu, 2006). In Owerri, Imo State</w:t>
      </w:r>
      <w:r>
        <w:rPr>
          <w:spacing w:val="-1"/>
        </w:rPr>
        <w:t> </w:t>
      </w:r>
      <w:r>
        <w:rPr/>
        <w:t>a</w:t>
      </w:r>
      <w:r>
        <w:rPr>
          <w:spacing w:val="-1"/>
        </w:rPr>
        <w:t> </w:t>
      </w:r>
      <w:r>
        <w:rPr/>
        <w:t>prevalence</w:t>
      </w:r>
      <w:r>
        <w:rPr>
          <w:spacing w:val="-1"/>
        </w:rPr>
        <w:t> </w:t>
      </w:r>
      <w:r>
        <w:rPr/>
        <w:t>of</w:t>
      </w:r>
      <w:r>
        <w:rPr>
          <w:spacing w:val="-1"/>
        </w:rPr>
        <w:t> </w:t>
      </w:r>
      <w:r>
        <w:rPr/>
        <w:t>16%</w:t>
      </w:r>
      <w:r>
        <w:rPr>
          <w:spacing w:val="-1"/>
        </w:rPr>
        <w:t> </w:t>
      </w:r>
      <w:r>
        <w:rPr/>
        <w:t>was reported (Uneke </w:t>
      </w:r>
      <w:r>
        <w:rPr>
          <w:i/>
        </w:rPr>
        <w:t>et al.,</w:t>
      </w:r>
      <w:r>
        <w:rPr/>
        <w:t>2007) while</w:t>
      </w:r>
      <w:r>
        <w:rPr>
          <w:spacing w:val="-2"/>
        </w:rPr>
        <w:t> </w:t>
      </w:r>
      <w:r>
        <w:rPr/>
        <w:t>in Okigwe</w:t>
      </w:r>
      <w:r>
        <w:rPr>
          <w:spacing w:val="-3"/>
        </w:rPr>
        <w:t> </w:t>
      </w:r>
      <w:r>
        <w:rPr/>
        <w:t>and</w:t>
      </w:r>
      <w:r>
        <w:rPr>
          <w:spacing w:val="-1"/>
        </w:rPr>
        <w:t> </w:t>
      </w:r>
      <w:r>
        <w:rPr/>
        <w:t>Aba</w:t>
      </w:r>
      <w:r>
        <w:rPr>
          <w:spacing w:val="-2"/>
        </w:rPr>
        <w:t> </w:t>
      </w:r>
      <w:r>
        <w:rPr/>
        <w:t>in</w:t>
      </w:r>
      <w:r>
        <w:rPr>
          <w:spacing w:val="-1"/>
        </w:rPr>
        <w:t> </w:t>
      </w:r>
      <w:r>
        <w:rPr/>
        <w:t>Abia</w:t>
      </w:r>
      <w:r>
        <w:rPr>
          <w:spacing w:val="-2"/>
        </w:rPr>
        <w:t> </w:t>
      </w:r>
      <w:r>
        <w:rPr/>
        <w:t>State, Nduka</w:t>
      </w:r>
      <w:r>
        <w:rPr>
          <w:spacing w:val="-3"/>
        </w:rPr>
        <w:t> </w:t>
      </w:r>
      <w:r>
        <w:rPr>
          <w:i/>
        </w:rPr>
        <w:t>et</w:t>
      </w:r>
      <w:r>
        <w:rPr>
          <w:i/>
          <w:spacing w:val="-1"/>
        </w:rPr>
        <w:t> </w:t>
      </w:r>
      <w:r>
        <w:rPr>
          <w:i/>
        </w:rPr>
        <w:t>al.,</w:t>
      </w:r>
      <w:r>
        <w:rPr/>
        <w:t>(2006)</w:t>
      </w:r>
      <w:r>
        <w:rPr>
          <w:spacing w:val="-2"/>
        </w:rPr>
        <w:t> </w:t>
      </w:r>
      <w:r>
        <w:rPr/>
        <w:t>reported</w:t>
      </w:r>
      <w:r>
        <w:rPr>
          <w:spacing w:val="-1"/>
        </w:rPr>
        <w:t> </w:t>
      </w:r>
      <w:r>
        <w:rPr/>
        <w:t>52.6%</w:t>
      </w:r>
      <w:r>
        <w:rPr>
          <w:spacing w:val="-1"/>
        </w:rPr>
        <w:t> </w:t>
      </w:r>
      <w:r>
        <w:rPr/>
        <w:t>and</w:t>
      </w:r>
      <w:r>
        <w:rPr>
          <w:spacing w:val="-1"/>
        </w:rPr>
        <w:t> </w:t>
      </w:r>
      <w:r>
        <w:rPr/>
        <w:t>56%</w:t>
      </w:r>
      <w:r>
        <w:rPr>
          <w:spacing w:val="-1"/>
        </w:rPr>
        <w:t> </w:t>
      </w:r>
      <w:r>
        <w:rPr/>
        <w:t>malaria infected pregnant women respectively. Furthermore, anaemia was observed in 94.07% of the malaria infected pregnant women and it was significantly higher in women with higher </w:t>
      </w:r>
      <w:r>
        <w:rPr>
          <w:spacing w:val="-2"/>
        </w:rPr>
        <w:t>parasitaemia.</w:t>
      </w:r>
    </w:p>
    <w:p>
      <w:pPr>
        <w:pStyle w:val="BodyText"/>
        <w:spacing w:before="6"/>
      </w:pPr>
    </w:p>
    <w:p>
      <w:pPr>
        <w:pStyle w:val="Heading2"/>
        <w:numPr>
          <w:ilvl w:val="3"/>
          <w:numId w:val="5"/>
        </w:numPr>
        <w:tabs>
          <w:tab w:pos="1279" w:val="left" w:leader="none"/>
        </w:tabs>
        <w:spacing w:line="240" w:lineRule="auto" w:before="0" w:after="0"/>
        <w:ind w:left="1279" w:right="0" w:hanging="719"/>
        <w:jc w:val="left"/>
      </w:pPr>
      <w:r>
        <w:rPr/>
        <w:t>EFFECT</w:t>
      </w:r>
      <w:r>
        <w:rPr>
          <w:spacing w:val="-1"/>
        </w:rPr>
        <w:t> </w:t>
      </w:r>
      <w:r>
        <w:rPr/>
        <w:t>OF MALARIA</w:t>
      </w:r>
      <w:r>
        <w:rPr>
          <w:spacing w:val="-1"/>
        </w:rPr>
        <w:t> </w:t>
      </w:r>
      <w:r>
        <w:rPr/>
        <w:t>ON </w:t>
      </w:r>
      <w:r>
        <w:rPr>
          <w:spacing w:val="-2"/>
        </w:rPr>
        <w:t>PREGNANCY</w:t>
      </w:r>
    </w:p>
    <w:p>
      <w:pPr>
        <w:pStyle w:val="BodyText"/>
        <w:spacing w:line="480" w:lineRule="auto" w:before="271"/>
        <w:ind w:left="560" w:right="793"/>
        <w:jc w:val="both"/>
      </w:pPr>
      <w:r>
        <w:rPr/>
        <w:t>Malaria exerts adverse effect on mothers, foetus and new born. The effect of malaria on the mother may range from negligible to severe conditions and this depends on the level of immunity</w:t>
      </w:r>
      <w:r>
        <w:rPr>
          <w:spacing w:val="-4"/>
        </w:rPr>
        <w:t> </w:t>
      </w:r>
      <w:r>
        <w:rPr/>
        <w:t>the mother had acquired prior to pregnancy, the efficacy of the response during the periodand the parasite density (WHO 2004).However, the major effect is maternal anaemia and reduced birth weight of new born (Brabin and Rogerson, 2001; Guyatt and Snow 2001;Saba </w:t>
      </w:r>
      <w:r>
        <w:rPr>
          <w:i/>
        </w:rPr>
        <w:t>et al.,</w:t>
      </w:r>
      <w:r>
        <w:rPr/>
        <w:t>2008; Takem and D‟Alessandro, 2013). Douamba </w:t>
      </w:r>
      <w:r>
        <w:rPr>
          <w:i/>
        </w:rPr>
        <w:t>et al.,</w:t>
      </w:r>
      <w:r>
        <w:rPr/>
        <w:t>in 2012,worked on asymptomatic malaria in pregnant women at Ouagadougou, Burkina Faso. They used Rapid diagnostic test and microscopy respectively as research techniques. Their finding revealed prevalence of </w:t>
      </w:r>
      <w:r>
        <w:rPr>
          <w:i/>
        </w:rPr>
        <w:t>P. falciparum </w:t>
      </w:r>
      <w:r>
        <w:rPr/>
        <w:t>asymptomatic infection in pregnant women at 20% and 30% respectively.Anaemia was reported at 61% and was significantly</w:t>
      </w:r>
      <w:r>
        <w:rPr>
          <w:spacing w:val="-4"/>
        </w:rPr>
        <w:t> </w:t>
      </w:r>
      <w:r>
        <w:rPr/>
        <w:t>common with </w:t>
      </w:r>
      <w:r>
        <w:rPr>
          <w:i/>
        </w:rPr>
        <w:t>P. falciparum </w:t>
      </w:r>
      <w:r>
        <w:rPr/>
        <w:t>infected pregnant women compared with the uninfected pregnant counterparts. The parasite density was 4,058 parasites/μl. In Kenya, it was reported that malaria infection contributed to 69.1% of maternal anaemia (Ouma </w:t>
      </w:r>
      <w:r>
        <w:rPr>
          <w:i/>
        </w:rPr>
        <w:t>et al.,</w:t>
      </w:r>
      <w:r>
        <w:rPr/>
        <w:t>2008). In Ghana,Wilson</w:t>
      </w:r>
      <w:r>
        <w:rPr>
          <w:i/>
        </w:rPr>
        <w:t>et al.,</w:t>
      </w:r>
      <w:r>
        <w:rPr/>
        <w:t>(2010) recorded 36% cases of anaemia due to anaemia in pregnant women.</w:t>
      </w:r>
    </w:p>
    <w:p>
      <w:pPr>
        <w:pStyle w:val="BodyText"/>
        <w:spacing w:before="2"/>
      </w:pPr>
    </w:p>
    <w:p>
      <w:pPr>
        <w:pStyle w:val="BodyText"/>
        <w:spacing w:line="480" w:lineRule="auto" w:before="1"/>
        <w:ind w:left="560" w:right="796"/>
        <w:jc w:val="both"/>
      </w:pPr>
      <w:r>
        <w:rPr/>
        <w:t>In a study on prevalence of anaemia in women with asymptomatic malaria parasitaemia at first</w:t>
      </w:r>
      <w:r>
        <w:rPr>
          <w:spacing w:val="32"/>
        </w:rPr>
        <w:t> </w:t>
      </w:r>
      <w:r>
        <w:rPr/>
        <w:t>antenatal</w:t>
      </w:r>
      <w:r>
        <w:rPr>
          <w:spacing w:val="32"/>
        </w:rPr>
        <w:t> </w:t>
      </w:r>
      <w:r>
        <w:rPr/>
        <w:t>visit</w:t>
      </w:r>
      <w:r>
        <w:rPr>
          <w:spacing w:val="32"/>
        </w:rPr>
        <w:t> </w:t>
      </w:r>
      <w:r>
        <w:rPr/>
        <w:t>at</w:t>
      </w:r>
      <w:r>
        <w:rPr>
          <w:spacing w:val="31"/>
        </w:rPr>
        <w:t> </w:t>
      </w:r>
      <w:r>
        <w:rPr/>
        <w:t>Calabar,</w:t>
      </w:r>
      <w:r>
        <w:rPr>
          <w:spacing w:val="33"/>
        </w:rPr>
        <w:t> </w:t>
      </w:r>
      <w:r>
        <w:rPr/>
        <w:t>Nigeria,</w:t>
      </w:r>
      <w:r>
        <w:rPr>
          <w:spacing w:val="38"/>
        </w:rPr>
        <w:t> </w:t>
      </w:r>
      <w:r>
        <w:rPr/>
        <w:t>Agan</w:t>
      </w:r>
      <w:r>
        <w:rPr>
          <w:spacing w:val="34"/>
        </w:rPr>
        <w:t> </w:t>
      </w:r>
      <w:r>
        <w:rPr>
          <w:i/>
        </w:rPr>
        <w:t>et</w:t>
      </w:r>
      <w:r>
        <w:rPr>
          <w:i/>
          <w:spacing w:val="35"/>
        </w:rPr>
        <w:t> </w:t>
      </w:r>
      <w:r>
        <w:rPr>
          <w:i/>
        </w:rPr>
        <w:t>al.,</w:t>
      </w:r>
      <w:r>
        <w:rPr/>
        <w:t>(2010)</w:t>
      </w:r>
      <w:r>
        <w:rPr>
          <w:spacing w:val="31"/>
        </w:rPr>
        <w:t> </w:t>
      </w:r>
      <w:r>
        <w:rPr/>
        <w:t>reported</w:t>
      </w:r>
      <w:r>
        <w:rPr>
          <w:spacing w:val="34"/>
        </w:rPr>
        <w:t> </w:t>
      </w:r>
      <w:r>
        <w:rPr/>
        <w:t>anaemia</w:t>
      </w:r>
      <w:r>
        <w:rPr>
          <w:spacing w:val="31"/>
        </w:rPr>
        <w:t> </w:t>
      </w:r>
      <w:r>
        <w:rPr/>
        <w:t>at</w:t>
      </w:r>
      <w:r>
        <w:rPr>
          <w:spacing w:val="32"/>
        </w:rPr>
        <w:t> </w:t>
      </w:r>
      <w:r>
        <w:rPr/>
        <w:t>59.6%</w:t>
      </w:r>
      <w:r>
        <w:rPr>
          <w:spacing w:val="33"/>
        </w:rPr>
        <w:t> </w:t>
      </w:r>
      <w:r>
        <w:rPr>
          <w:spacing w:val="-5"/>
        </w:rPr>
        <w:t>and</w:t>
      </w:r>
    </w:p>
    <w:p>
      <w:pPr>
        <w:spacing w:after="0" w:line="480" w:lineRule="auto"/>
        <w:jc w:val="both"/>
        <w:sectPr>
          <w:pgSz w:w="11910" w:h="16840"/>
          <w:pgMar w:header="0" w:footer="1067" w:top="1060" w:bottom="1260" w:left="880" w:right="640"/>
        </w:sectPr>
      </w:pPr>
    </w:p>
    <w:p>
      <w:pPr>
        <w:pStyle w:val="BodyText"/>
        <w:spacing w:line="480" w:lineRule="auto" w:before="70"/>
        <w:ind w:left="560" w:right="798"/>
        <w:jc w:val="both"/>
      </w:pPr>
      <w:r>
        <w:rPr/>
        <w:t>parasite density of 1297±1234 on primigravidae and 661±492 for multigravidae. They also reported significant association between severity of parasitaemia and degree of anaemia.</w:t>
      </w:r>
    </w:p>
    <w:p>
      <w:pPr>
        <w:pStyle w:val="BodyText"/>
      </w:pPr>
    </w:p>
    <w:p>
      <w:pPr>
        <w:pStyle w:val="BodyText"/>
        <w:spacing w:line="480" w:lineRule="auto" w:before="1"/>
        <w:ind w:left="560" w:right="792"/>
        <w:jc w:val="both"/>
      </w:pPr>
      <w:r>
        <w:rPr/>
        <w:t>In another work on the impact of anaemia and malaria parasite infection in 414 pregnant women attending antenatal clinics in Calabar, (Okafor </w:t>
      </w:r>
      <w:r>
        <w:rPr>
          <w:i/>
        </w:rPr>
        <w:t>et al.,</w:t>
      </w:r>
      <w:r>
        <w:rPr/>
        <w:t>2012) reported a prevalence of malaria at 70.1% and anaemia at 61.1%. Among the apparently healthy, control, non- pregnant women, the prevalence of malaria was reported at 60.8% and anaemia at 38.3%.</w:t>
      </w:r>
      <w:r>
        <w:rPr>
          <w:spacing w:val="80"/>
        </w:rPr>
        <w:t> </w:t>
      </w:r>
      <w:r>
        <w:rPr/>
        <w:t>The primigravidae were more susceptible to parasitaemia especially </w:t>
      </w:r>
      <w:r>
        <w:rPr>
          <w:i/>
        </w:rPr>
        <w:t>P. falciparum </w:t>
      </w:r>
      <w:r>
        <w:rPr/>
        <w:t>with a mean parasite density of 1962.50 ± 220 parasite/μl of blood than the multigravidae with a mean parasite</w:t>
      </w:r>
      <w:r>
        <w:rPr>
          <w:spacing w:val="-1"/>
        </w:rPr>
        <w:t> </w:t>
      </w:r>
      <w:r>
        <w:rPr/>
        <w:t>density</w:t>
      </w:r>
      <w:r>
        <w:rPr>
          <w:spacing w:val="-5"/>
        </w:rPr>
        <w:t> </w:t>
      </w:r>
      <w:r>
        <w:rPr/>
        <w:t>of 446.7 ± 296 parasite/μl. Malaria</w:t>
      </w:r>
      <w:r>
        <w:rPr>
          <w:spacing w:val="-1"/>
        </w:rPr>
        <w:t> </w:t>
      </w:r>
      <w:r>
        <w:rPr/>
        <w:t>parasite</w:t>
      </w:r>
      <w:r>
        <w:rPr>
          <w:spacing w:val="-1"/>
        </w:rPr>
        <w:t> </w:t>
      </w:r>
      <w:r>
        <w:rPr/>
        <w:t>increased significantly</w:t>
      </w:r>
      <w:r>
        <w:rPr>
          <w:spacing w:val="-5"/>
        </w:rPr>
        <w:t> </w:t>
      </w:r>
      <w:r>
        <w:rPr/>
        <w:t>with gestational age but anaemia was more prevalent in 2</w:t>
      </w:r>
      <w:r>
        <w:rPr>
          <w:vertAlign w:val="superscript"/>
        </w:rPr>
        <w:t>nd</w:t>
      </w:r>
      <w:r>
        <w:rPr>
          <w:vertAlign w:val="baseline"/>
        </w:rPr>
        <w:t> trimester than the other trimesters. There was a negative correlation between haemoglobin and parasite density in both pregnant and non-pregnant women. They</w:t>
      </w:r>
      <w:r>
        <w:rPr>
          <w:spacing w:val="-3"/>
          <w:vertAlign w:val="baseline"/>
        </w:rPr>
        <w:t> </w:t>
      </w:r>
      <w:r>
        <w:rPr>
          <w:vertAlign w:val="baseline"/>
        </w:rPr>
        <w:t>concluded that malaria anaemia caused by</w:t>
      </w:r>
      <w:r>
        <w:rPr>
          <w:spacing w:val="-2"/>
          <w:vertAlign w:val="baseline"/>
        </w:rPr>
        <w:t> </w:t>
      </w:r>
      <w:r>
        <w:rPr>
          <w:i/>
          <w:vertAlign w:val="baseline"/>
        </w:rPr>
        <w:t>P. falciparum </w:t>
      </w:r>
      <w:r>
        <w:rPr>
          <w:vertAlign w:val="baseline"/>
        </w:rPr>
        <w:t>had serious effect on pregnant women living in the study area. Two other different reports, recorded malaria anaemia at 20.3% and 71.6% (Buseri </w:t>
      </w:r>
      <w:r>
        <w:rPr>
          <w:i/>
          <w:vertAlign w:val="baseline"/>
        </w:rPr>
        <w:t>et al.,</w:t>
      </w:r>
      <w:r>
        <w:rPr>
          <w:vertAlign w:val="baseline"/>
        </w:rPr>
        <w:t>2008; Jumbo</w:t>
      </w:r>
      <w:r>
        <w:rPr>
          <w:i/>
          <w:vertAlign w:val="baseline"/>
        </w:rPr>
        <w:t>et al.,</w:t>
      </w:r>
      <w:r>
        <w:rPr>
          <w:vertAlign w:val="baseline"/>
        </w:rPr>
        <w:t>2011).</w:t>
      </w:r>
    </w:p>
    <w:p>
      <w:pPr>
        <w:pStyle w:val="BodyText"/>
        <w:spacing w:before="1"/>
      </w:pPr>
    </w:p>
    <w:p>
      <w:pPr>
        <w:pStyle w:val="BodyText"/>
        <w:spacing w:line="480" w:lineRule="auto"/>
        <w:ind w:left="560" w:right="793"/>
        <w:jc w:val="both"/>
      </w:pPr>
      <w:r>
        <w:rPr/>
        <w:t>A study in three rural or semi-rural areas in South Benin, and on 3591 pregnant women from 1</w:t>
      </w:r>
      <w:r>
        <w:rPr>
          <w:vertAlign w:val="superscript"/>
        </w:rPr>
        <w:t>st</w:t>
      </w:r>
      <w:r>
        <w:rPr>
          <w:vertAlign w:val="baseline"/>
        </w:rPr>
        <w:t> trimester to delivery, Ouedraogo </w:t>
      </w:r>
      <w:r>
        <w:rPr>
          <w:i/>
          <w:vertAlign w:val="baseline"/>
        </w:rPr>
        <w:t>et al.,</w:t>
      </w:r>
      <w:r>
        <w:rPr>
          <w:vertAlign w:val="baseline"/>
        </w:rPr>
        <w:t>(2012) reporteda constant association between haemoglobin concentration and gravidity. They reported that haemoglobin concentration was significantly lower in primigravidae than multigravidae at first antenatal visit (P&lt;0.01). Again, iron deficiency anaemia was morein multigravidae which also decreased slightly as pregnancy progresses from first antenatal visit till delivery. Moreover, an association has</w:t>
      </w:r>
      <w:r>
        <w:rPr>
          <w:spacing w:val="40"/>
          <w:vertAlign w:val="baseline"/>
        </w:rPr>
        <w:t> </w:t>
      </w:r>
      <w:r>
        <w:rPr>
          <w:vertAlign w:val="baseline"/>
        </w:rPr>
        <w:t>been suggested to exist between the parasite density and anaemia.This was shown in a study by Onyenekwe </w:t>
      </w:r>
      <w:r>
        <w:rPr>
          <w:i/>
          <w:vertAlign w:val="baseline"/>
        </w:rPr>
        <w:t>et al.,</w:t>
      </w:r>
      <w:r>
        <w:rPr>
          <w:vertAlign w:val="baseline"/>
        </w:rPr>
        <w:t>(2004). They recorded mean parasite density of 262</w:t>
      </w:r>
      <w:r>
        <w:rPr>
          <w:rFonts w:ascii="Symbol" w:hAnsi="Symbol"/>
          <w:vertAlign w:val="baseline"/>
        </w:rPr>
        <w:t></w:t>
      </w:r>
      <w:r>
        <w:rPr>
          <w:vertAlign w:val="baseline"/>
        </w:rPr>
        <w:t>190 parasites/</w:t>
      </w:r>
      <w:r>
        <w:rPr>
          <w:rFonts w:ascii="Symbol" w:hAnsi="Symbol"/>
          <w:vertAlign w:val="baseline"/>
        </w:rPr>
        <w:t></w:t>
      </w:r>
      <w:r>
        <w:rPr>
          <w:vertAlign w:val="baseline"/>
        </w:rPr>
        <w:t>l of blood in the blood of asymptomatic pregnant women and mean packed cell volume of 33.6 </w:t>
      </w:r>
      <w:r>
        <w:rPr>
          <w:rFonts w:ascii="Symbol" w:hAnsi="Symbol"/>
          <w:vertAlign w:val="baseline"/>
        </w:rPr>
        <w:t></w:t>
      </w:r>
      <w:r>
        <w:rPr>
          <w:vertAlign w:val="baseline"/>
        </w:rPr>
        <w:t> </w:t>
      </w:r>
      <w:r>
        <w:rPr>
          <w:spacing w:val="-4"/>
          <w:vertAlign w:val="baseline"/>
        </w:rPr>
        <w:t>41.</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Apart</w:t>
      </w:r>
      <w:r>
        <w:rPr>
          <w:spacing w:val="-2"/>
        </w:rPr>
        <w:t> </w:t>
      </w:r>
      <w:r>
        <w:rPr/>
        <w:t>from</w:t>
      </w:r>
      <w:r>
        <w:rPr>
          <w:spacing w:val="-1"/>
        </w:rPr>
        <w:t> </w:t>
      </w:r>
      <w:r>
        <w:rPr/>
        <w:t>anaemia, some</w:t>
      </w:r>
      <w:r>
        <w:rPr>
          <w:spacing w:val="-2"/>
        </w:rPr>
        <w:t> </w:t>
      </w:r>
      <w:r>
        <w:rPr/>
        <w:t>investigators</w:t>
      </w:r>
      <w:r>
        <w:rPr>
          <w:spacing w:val="-1"/>
        </w:rPr>
        <w:t> </w:t>
      </w:r>
      <w:r>
        <w:rPr/>
        <w:t>have</w:t>
      </w:r>
      <w:r>
        <w:rPr>
          <w:spacing w:val="-2"/>
        </w:rPr>
        <w:t> </w:t>
      </w:r>
      <w:r>
        <w:rPr/>
        <w:t>reported</w:t>
      </w:r>
      <w:r>
        <w:rPr>
          <w:spacing w:val="-1"/>
        </w:rPr>
        <w:t> </w:t>
      </w:r>
      <w:r>
        <w:rPr/>
        <w:t>that</w:t>
      </w:r>
      <w:r>
        <w:rPr>
          <w:spacing w:val="-1"/>
        </w:rPr>
        <w:t> </w:t>
      </w:r>
      <w:r>
        <w:rPr/>
        <w:t>women</w:t>
      </w:r>
      <w:r>
        <w:rPr>
          <w:spacing w:val="-1"/>
        </w:rPr>
        <w:t> </w:t>
      </w:r>
      <w:r>
        <w:rPr/>
        <w:t>who become</w:t>
      </w:r>
      <w:r>
        <w:rPr>
          <w:spacing w:val="-2"/>
        </w:rPr>
        <w:t> </w:t>
      </w:r>
      <w:r>
        <w:rPr/>
        <w:t>infected</w:t>
      </w:r>
      <w:r>
        <w:rPr>
          <w:spacing w:val="-2"/>
        </w:rPr>
        <w:t> </w:t>
      </w:r>
      <w:r>
        <w:rPr/>
        <w:t>with malaria during pregnancy have an increased risk of delivering low birth weight babies following preterm delivery or intra-uterine growth retardation (Suguitan</w:t>
      </w:r>
      <w:r>
        <w:rPr>
          <w:i/>
        </w:rPr>
        <w:t>et al.,</w:t>
      </w:r>
      <w:r>
        <w:rPr/>
        <w:t>2003; Cottrell</w:t>
      </w:r>
      <w:r>
        <w:rPr>
          <w:spacing w:val="40"/>
        </w:rPr>
        <w:t> </w:t>
      </w:r>
      <w:r>
        <w:rPr>
          <w:i/>
        </w:rPr>
        <w:t>et al.,</w:t>
      </w:r>
      <w:r>
        <w:rPr/>
        <w:t>2007). Cases of perinatal mortality, spontaneous abortion or still birth due to malaria have been persistently reported (Coulibaly </w:t>
      </w:r>
      <w:r>
        <w:rPr>
          <w:i/>
        </w:rPr>
        <w:t>et al.,</w:t>
      </w:r>
      <w:r>
        <w:rPr/>
        <w:t>2007, Ukaga </w:t>
      </w:r>
      <w:r>
        <w:rPr>
          <w:i/>
        </w:rPr>
        <w:t>et al.,</w:t>
      </w:r>
      <w:r>
        <w:rPr/>
        <w:t>2007, Saba </w:t>
      </w:r>
      <w:r>
        <w:rPr>
          <w:i/>
        </w:rPr>
        <w:t>et al.,</w:t>
      </w:r>
      <w:r>
        <w:rPr/>
        <w:t>2008).</w:t>
      </w:r>
    </w:p>
    <w:p>
      <w:pPr>
        <w:pStyle w:val="BodyText"/>
        <w:spacing w:line="480" w:lineRule="auto" w:before="1"/>
        <w:ind w:left="560" w:right="794"/>
        <w:jc w:val="both"/>
      </w:pPr>
      <w:r>
        <w:rPr/>
        <w:t>The foetus is not spared from the effect of maternal malaria as it causes the delivery of low birth weight babies (&lt;2.5kg or 2500g) (Uneke </w:t>
      </w:r>
      <w:r>
        <w:rPr>
          <w:i/>
        </w:rPr>
        <w:t>et al.,</w:t>
      </w:r>
      <w:r>
        <w:rPr/>
        <w:t>2007). Low birth weight is either caused by preterm delivery (PTD) or foetal growth restriction (intra-uterine growth retardation). The molecular mechanisms underlying PTD differs from that of foetal growth restriction (FGR).</w:t>
      </w:r>
      <w:r>
        <w:rPr>
          <w:spacing w:val="40"/>
        </w:rPr>
        <w:t> </w:t>
      </w:r>
      <w:r>
        <w:rPr/>
        <w:t>It is suggested that acute infection, high parasitaemia and malaria anaemia areassociated with PTD (Menedez </w:t>
      </w:r>
      <w:r>
        <w:rPr>
          <w:i/>
        </w:rPr>
        <w:t>et al.,</w:t>
      </w:r>
      <w:r>
        <w:rPr/>
        <w:t>2000) whereas either maternal anaemia, chronic placental infiltrate or both factors and increased levels ofinflammatory cytokines such as TNF</w:t>
      </w:r>
      <w:r>
        <w:rPr>
          <w:rFonts w:ascii="Symbol" w:hAnsi="Symbol"/>
        </w:rPr>
        <w:t></w:t>
      </w:r>
      <w:r>
        <w:rPr/>
        <w:t> and IL-8 are associated with FGR (Menedez, 1995; Steketee </w:t>
      </w:r>
      <w:r>
        <w:rPr>
          <w:i/>
        </w:rPr>
        <w:t>et al.,</w:t>
      </w:r>
      <w:r>
        <w:rPr/>
        <w:t>1996; Fried and Duffy, 1998). Mooremann</w:t>
      </w:r>
      <w:r>
        <w:rPr>
          <w:i/>
        </w:rPr>
        <w:t>et al.,</w:t>
      </w:r>
      <w:r>
        <w:rPr/>
        <w:t>(1999) showed that elevated TNF</w:t>
      </w:r>
      <w:r>
        <w:rPr>
          <w:rFonts w:ascii="Symbol" w:hAnsi="Symbol"/>
        </w:rPr>
        <w:t></w:t>
      </w:r>
      <w:r>
        <w:rPr/>
        <w:t> and Interleukin-8 (IL-8) expression in placenta were associated with low birth weight. Low birth weight is a documented risk factor for poor neuro-sensory, cognitive and behavioural development, limited school performance and academic achievement (Taylor </w:t>
      </w:r>
      <w:r>
        <w:rPr>
          <w:i/>
        </w:rPr>
        <w:t>et al.,</w:t>
      </w:r>
      <w:r>
        <w:rPr/>
        <w:t>2000). Low birth weight infants have higher risk of dying during the post neonatal period than normal weight babies (Yasmin </w:t>
      </w:r>
      <w:r>
        <w:rPr>
          <w:i/>
        </w:rPr>
        <w:t>et al., </w:t>
      </w:r>
      <w:r>
        <w:rPr/>
        <w:t>2001; Bloland </w:t>
      </w:r>
      <w:r>
        <w:rPr>
          <w:i/>
        </w:rPr>
        <w:t>et al., </w:t>
      </w:r>
      <w:r>
        <w:rPr/>
        <w:t>1995).</w:t>
      </w:r>
    </w:p>
    <w:p>
      <w:pPr>
        <w:pStyle w:val="BodyText"/>
        <w:spacing w:before="6"/>
      </w:pPr>
    </w:p>
    <w:p>
      <w:pPr>
        <w:pStyle w:val="Heading2"/>
        <w:numPr>
          <w:ilvl w:val="3"/>
          <w:numId w:val="5"/>
        </w:numPr>
        <w:tabs>
          <w:tab w:pos="1339" w:val="left" w:leader="none"/>
        </w:tabs>
        <w:spacing w:line="240" w:lineRule="auto" w:before="1" w:after="0"/>
        <w:ind w:left="1339" w:right="0" w:hanging="779"/>
        <w:jc w:val="left"/>
      </w:pPr>
      <w:r>
        <w:rPr/>
        <w:t>ADAPTIVE</w:t>
      </w:r>
      <w:r>
        <w:rPr>
          <w:spacing w:val="-3"/>
        </w:rPr>
        <w:t> </w:t>
      </w:r>
      <w:r>
        <w:rPr/>
        <w:t>IMMUNE</w:t>
      </w:r>
      <w:r>
        <w:rPr>
          <w:spacing w:val="-1"/>
        </w:rPr>
        <w:t> </w:t>
      </w:r>
      <w:r>
        <w:rPr/>
        <w:t>RESPONSE</w:t>
      </w:r>
      <w:r>
        <w:rPr>
          <w:spacing w:val="-1"/>
        </w:rPr>
        <w:t> </w:t>
      </w:r>
      <w:r>
        <w:rPr/>
        <w:t>IN MALARIA</w:t>
      </w:r>
      <w:r>
        <w:rPr>
          <w:spacing w:val="-1"/>
        </w:rPr>
        <w:t> </w:t>
      </w:r>
      <w:r>
        <w:rPr/>
        <w:t>IN </w:t>
      </w:r>
      <w:r>
        <w:rPr>
          <w:spacing w:val="-2"/>
        </w:rPr>
        <w:t>PREGNANCY</w:t>
      </w:r>
    </w:p>
    <w:p>
      <w:pPr>
        <w:pStyle w:val="BodyText"/>
        <w:spacing w:line="480" w:lineRule="auto" w:before="271"/>
        <w:ind w:left="560" w:right="791"/>
        <w:jc w:val="both"/>
      </w:pPr>
      <w:r>
        <w:rPr/>
        <w:t>In pregnancy, immune response to plasmodium is reduced or depressed and this has been attributed to immunological and hormonal changes (Rogerson</w:t>
      </w:r>
      <w:r>
        <w:rPr>
          <w:i/>
        </w:rPr>
        <w:t>et al.,</w:t>
      </w:r>
      <w:r>
        <w:rPr/>
        <w:t>2007). The cell-mediated immunity is reduced by the inhibition of type-1 cytokines;as such protection to diseases by way of killing intracellular microbes such as malaria, tuberculosis, Human Immuodeficiecy Virus</w:t>
      </w:r>
      <w:r>
        <w:rPr>
          <w:spacing w:val="16"/>
        </w:rPr>
        <w:t> </w:t>
      </w:r>
      <w:r>
        <w:rPr/>
        <w:t>(HIV)</w:t>
      </w:r>
      <w:r>
        <w:rPr>
          <w:spacing w:val="20"/>
        </w:rPr>
        <w:t> </w:t>
      </w:r>
      <w:r>
        <w:rPr/>
        <w:t>and</w:t>
      </w:r>
      <w:r>
        <w:rPr>
          <w:spacing w:val="18"/>
        </w:rPr>
        <w:t> </w:t>
      </w:r>
      <w:r>
        <w:rPr/>
        <w:t>leshmaniasis</w:t>
      </w:r>
      <w:r>
        <w:rPr>
          <w:spacing w:val="19"/>
        </w:rPr>
        <w:t> </w:t>
      </w:r>
      <w:r>
        <w:rPr/>
        <w:t>is</w:t>
      </w:r>
      <w:r>
        <w:rPr>
          <w:spacing w:val="19"/>
        </w:rPr>
        <w:t> </w:t>
      </w:r>
      <w:r>
        <w:rPr/>
        <w:t>lost</w:t>
      </w:r>
      <w:r>
        <w:rPr>
          <w:spacing w:val="19"/>
        </w:rPr>
        <w:t> </w:t>
      </w:r>
      <w:r>
        <w:rPr/>
        <w:t>hence</w:t>
      </w:r>
      <w:r>
        <w:rPr>
          <w:spacing w:val="18"/>
        </w:rPr>
        <w:t> </w:t>
      </w:r>
      <w:r>
        <w:rPr/>
        <w:t>the</w:t>
      </w:r>
      <w:r>
        <w:rPr>
          <w:spacing w:val="20"/>
        </w:rPr>
        <w:t> </w:t>
      </w:r>
      <w:r>
        <w:rPr/>
        <w:t>risk</w:t>
      </w:r>
      <w:r>
        <w:rPr>
          <w:spacing w:val="19"/>
        </w:rPr>
        <w:t> </w:t>
      </w:r>
      <w:r>
        <w:rPr/>
        <w:t>of</w:t>
      </w:r>
      <w:r>
        <w:rPr>
          <w:spacing w:val="18"/>
        </w:rPr>
        <w:t> </w:t>
      </w:r>
      <w:r>
        <w:rPr/>
        <w:t>malaria</w:t>
      </w:r>
      <w:r>
        <w:rPr>
          <w:spacing w:val="19"/>
        </w:rPr>
        <w:t> </w:t>
      </w:r>
      <w:r>
        <w:rPr/>
        <w:t>and</w:t>
      </w:r>
      <w:r>
        <w:rPr>
          <w:spacing w:val="24"/>
        </w:rPr>
        <w:t> </w:t>
      </w:r>
      <w:r>
        <w:rPr/>
        <w:t>other</w:t>
      </w:r>
      <w:r>
        <w:rPr>
          <w:spacing w:val="18"/>
        </w:rPr>
        <w:t> </w:t>
      </w:r>
      <w:r>
        <w:rPr/>
        <w:t>infection</w:t>
      </w:r>
      <w:r>
        <w:rPr>
          <w:spacing w:val="18"/>
        </w:rPr>
        <w:t> </w:t>
      </w:r>
      <w:r>
        <w:rPr>
          <w:spacing w:val="-2"/>
        </w:rPr>
        <w:t>increases</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(Matteelli </w:t>
      </w:r>
      <w:r>
        <w:rPr>
          <w:i/>
        </w:rPr>
        <w:t>et al.,</w:t>
      </w:r>
      <w:r>
        <w:rPr/>
        <w:t>1994). Moreso,malaria causes anaemia (Ekejindu 2006; Buseri, 2008; Saba, 2008) and anaemia further depresses the immune system of pregnant women (Mor and Cardenas</w:t>
      </w:r>
      <w:r>
        <w:rPr>
          <w:i/>
        </w:rPr>
        <w:t>, </w:t>
      </w:r>
      <w:r>
        <w:rPr/>
        <w:t>2010). In addition, the humoral arm</w:t>
      </w:r>
      <w:r>
        <w:rPr>
          <w:spacing w:val="-1"/>
        </w:rPr>
        <w:t> </w:t>
      </w:r>
      <w:r>
        <w:rPr/>
        <w:t>seems not to mount efficient immune</w:t>
      </w:r>
      <w:r>
        <w:rPr>
          <w:spacing w:val="-1"/>
        </w:rPr>
        <w:t> </w:t>
      </w:r>
      <w:r>
        <w:rPr/>
        <w:t>response to malaria because antibodies produced are directedagainst the surface of infected erythrocytes whereas the parasite</w:t>
      </w:r>
      <w:r>
        <w:rPr>
          <w:spacing w:val="-1"/>
        </w:rPr>
        <w:t> </w:t>
      </w:r>
      <w:r>
        <w:rPr/>
        <w:t>is intracellularly located (Venugopal, 2007). Moreover,</w:t>
      </w:r>
      <w:r>
        <w:rPr>
          <w:spacing w:val="-1"/>
        </w:rPr>
        <w:t> </w:t>
      </w:r>
      <w:r>
        <w:rPr/>
        <w:t>it is reported thatantibody synthesis occurs latein pregnancy. It is evensuggested to be absent mostly</w:t>
      </w:r>
      <w:r>
        <w:rPr>
          <w:spacing w:val="-3"/>
        </w:rPr>
        <w:t> </w:t>
      </w:r>
      <w:r>
        <w:rPr/>
        <w:t>in the first trimester (Ismail </w:t>
      </w:r>
      <w:r>
        <w:rPr>
          <w:i/>
        </w:rPr>
        <w:t>et al.,</w:t>
      </w:r>
      <w:r>
        <w:rPr/>
        <w:t>2000). The issue becomes clearer with the report on gravidity dependent increased protection against developing severe placental malaria which stipulated that both primigravidae and multigravidae have antibodies at term and that</w:t>
      </w:r>
      <w:r>
        <w:rPr>
          <w:spacing w:val="40"/>
        </w:rPr>
        <w:t> </w:t>
      </w:r>
      <w:r>
        <w:rPr/>
        <w:t>antibody production increases with increasing gravidity (Ricke </w:t>
      </w:r>
      <w:r>
        <w:rPr>
          <w:i/>
        </w:rPr>
        <w:t>et al.,</w:t>
      </w:r>
      <w:r>
        <w:rPr/>
        <w:t>2000). The postulation wasstronger with the contribution that most primigravidae have low levels of antibodies prior to </w:t>
      </w:r>
      <w:r>
        <w:rPr>
          <w:rFonts w:ascii="Symbol" w:hAnsi="Symbol"/>
        </w:rPr>
        <w:t></w:t>
      </w:r>
      <w:r>
        <w:rPr>
          <w:spacing w:val="-2"/>
        </w:rPr>
        <w:t> </w:t>
      </w:r>
      <w:r>
        <w:rPr/>
        <w:t>20 weeks of gestation while multigravidae lacks antibodies until </w:t>
      </w:r>
      <w:r>
        <w:rPr>
          <w:rFonts w:ascii="Symbol" w:hAnsi="Symbol"/>
        </w:rPr>
        <w:t></w:t>
      </w:r>
      <w:r>
        <w:rPr/>
        <w:t>12 weeks of gestation; and afterwards produces antibodies (Iona</w:t>
      </w:r>
      <w:r>
        <w:rPr>
          <w:i/>
        </w:rPr>
        <w:t>et al.,</w:t>
      </w:r>
      <w:r>
        <w:rPr/>
        <w:t>2001). Conclusively, the early onset of efficient antibody response in multigravidae and the delayed production in primigravidae appear to account for the gravidity dependent differential susceptibilities of pregnant women to placental malaria (Iona</w:t>
      </w:r>
      <w:r>
        <w:rPr>
          <w:i/>
        </w:rPr>
        <w:t>et al.,</w:t>
      </w:r>
      <w:r>
        <w:rPr/>
        <w:t>2001).The hallmark of the depressed immune system in pregnancy points to the importance of protective immunity that is specific for parasite</w:t>
      </w:r>
      <w:r>
        <w:rPr>
          <w:spacing w:val="40"/>
        </w:rPr>
        <w:t> </w:t>
      </w:r>
      <w:r>
        <w:rPr/>
        <w:t>variants to ensure the well-being of the mother and the foetus (Ricke </w:t>
      </w:r>
      <w:r>
        <w:rPr>
          <w:i/>
        </w:rPr>
        <w:t>et al.,</w:t>
      </w:r>
      <w:r>
        <w:rPr/>
        <w:t>2000).</w:t>
      </w:r>
    </w:p>
    <w:p>
      <w:pPr>
        <w:pStyle w:val="BodyText"/>
        <w:spacing w:before="7"/>
      </w:pPr>
    </w:p>
    <w:p>
      <w:pPr>
        <w:pStyle w:val="Heading2"/>
        <w:numPr>
          <w:ilvl w:val="1"/>
          <w:numId w:val="6"/>
        </w:numPr>
        <w:tabs>
          <w:tab w:pos="1280" w:val="left" w:leader="none"/>
        </w:tabs>
        <w:spacing w:line="240" w:lineRule="auto" w:before="1" w:after="0"/>
        <w:ind w:left="1280" w:right="0" w:hanging="720"/>
        <w:jc w:val="left"/>
      </w:pPr>
      <w:r>
        <w:rPr>
          <w:spacing w:val="-2"/>
        </w:rPr>
        <w:t>CYTOKINES</w:t>
      </w:r>
    </w:p>
    <w:p>
      <w:pPr>
        <w:pStyle w:val="BodyText"/>
        <w:spacing w:line="480" w:lineRule="auto" w:before="271"/>
        <w:ind w:left="560" w:right="796"/>
        <w:jc w:val="both"/>
      </w:pPr>
      <w:r>
        <w:rPr/>
        <w:t>Cytokines have been defined as small, non structural glycosylated or non-glycosylated multifunctional molecules (polypeptides and proteins) that are transiently secreted by cells in response to stimulus. They modulate the behaviour of target cells and mediate various physiological responses primarily that of host defence mechanism (Ikram </w:t>
      </w:r>
      <w:r>
        <w:rPr>
          <w:i/>
        </w:rPr>
        <w:t>et al.,</w:t>
      </w:r>
      <w:r>
        <w:rPr/>
        <w:t>2004).</w:t>
      </w:r>
      <w:r>
        <w:rPr>
          <w:spacing w:val="40"/>
        </w:rPr>
        <w:t> </w:t>
      </w:r>
      <w:r>
        <w:rPr/>
        <w:t>Similar</w:t>
      </w:r>
      <w:r>
        <w:rPr>
          <w:spacing w:val="-3"/>
        </w:rPr>
        <w:t> </w:t>
      </w:r>
      <w:r>
        <w:rPr/>
        <w:t>definition</w:t>
      </w:r>
      <w:r>
        <w:rPr>
          <w:spacing w:val="1"/>
        </w:rPr>
        <w:t> </w:t>
      </w:r>
      <w:r>
        <w:rPr/>
        <w:t>is</w:t>
      </w:r>
      <w:r>
        <w:rPr>
          <w:spacing w:val="1"/>
        </w:rPr>
        <w:t> </w:t>
      </w:r>
      <w:r>
        <w:rPr/>
        <w:t>that</w:t>
      </w:r>
      <w:r>
        <w:rPr>
          <w:spacing w:val="-1"/>
        </w:rPr>
        <w:t> </w:t>
      </w:r>
      <w:r>
        <w:rPr/>
        <w:t>cytokines</w:t>
      </w:r>
      <w:r>
        <w:rPr>
          <w:spacing w:val="7"/>
        </w:rPr>
        <w:t> </w:t>
      </w:r>
      <w:r>
        <w:rPr/>
        <w:t>are</w:t>
      </w:r>
      <w:r>
        <w:rPr>
          <w:spacing w:val="-1"/>
        </w:rPr>
        <w:t> </w:t>
      </w:r>
      <w:r>
        <w:rPr/>
        <w:t>non-antibody</w:t>
      </w:r>
      <w:r>
        <w:rPr>
          <w:spacing w:val="-4"/>
        </w:rPr>
        <w:t> </w:t>
      </w:r>
      <w:r>
        <w:rPr/>
        <w:t>molecules</w:t>
      </w:r>
      <w:r>
        <w:rPr>
          <w:spacing w:val="3"/>
        </w:rPr>
        <w:t> </w:t>
      </w:r>
      <w:r>
        <w:rPr/>
        <w:t>with</w:t>
      </w:r>
      <w:r>
        <w:rPr>
          <w:spacing w:val="1"/>
        </w:rPr>
        <w:t> </w:t>
      </w:r>
      <w:r>
        <w:rPr/>
        <w:t>multiple and</w:t>
      </w:r>
      <w:r>
        <w:rPr>
          <w:spacing w:val="1"/>
        </w:rPr>
        <w:t> </w:t>
      </w:r>
      <w:r>
        <w:rPr>
          <w:spacing w:val="-2"/>
        </w:rPr>
        <w:t>overlapping</w:t>
      </w:r>
    </w:p>
    <w:p>
      <w:pPr>
        <w:spacing w:after="0" w:line="480" w:lineRule="auto"/>
        <w:jc w:val="both"/>
        <w:sectPr>
          <w:pgSz w:w="11910" w:h="16840"/>
          <w:pgMar w:header="0" w:footer="1067" w:top="1060" w:bottom="1260" w:left="880" w:right="640"/>
        </w:sectPr>
      </w:pPr>
    </w:p>
    <w:p>
      <w:pPr>
        <w:pStyle w:val="BodyText"/>
        <w:spacing w:line="480" w:lineRule="auto" w:before="70"/>
        <w:ind w:left="560" w:right="800"/>
        <w:jc w:val="both"/>
      </w:pPr>
      <w:r>
        <w:rPr/>
        <w:t>functions. Such functions include activation, proliferation, differentiation and maturation of many different immune cells (Dinarello, 2007, Elgert, 2009).</w:t>
      </w:r>
    </w:p>
    <w:p>
      <w:pPr>
        <w:pStyle w:val="BodyText"/>
      </w:pPr>
    </w:p>
    <w:p>
      <w:pPr>
        <w:pStyle w:val="BodyText"/>
        <w:spacing w:line="480" w:lineRule="auto" w:before="1"/>
        <w:ind w:left="560" w:right="791"/>
        <w:jc w:val="both"/>
      </w:pPr>
      <w:r>
        <w:rPr/>
        <w:t>Cytokines are classified into three distinct functional classes although they may belong to multiple categories (Kumar, </w:t>
      </w:r>
      <w:r>
        <w:rPr>
          <w:i/>
        </w:rPr>
        <w:t>et al.,</w:t>
      </w:r>
      <w:r>
        <w:rPr/>
        <w:t>2004). They are cytokines of the innate immunity, the adaptive immune response and those that stimulate haemopoiesis. Cytokines of the innate immunity are produced principally by macrophages, dendritic cells and NK cells. They mediate inflammation and antiviral defense in response to microbes and other stimuli. The cytokines in this group include TNFα, IL-1, IL-12 and IFNγ. Those of the adaptive immune response are produced primarily by CD4</w:t>
      </w:r>
      <w:r>
        <w:rPr>
          <w:vertAlign w:val="superscript"/>
        </w:rPr>
        <w:t>+</w:t>
      </w:r>
      <w:r>
        <w:rPr>
          <w:vertAlign w:val="baseline"/>
        </w:rPr>
        <w:t> lymphocytes in response to antigen or other</w:t>
      </w:r>
      <w:r>
        <w:rPr>
          <w:spacing w:val="40"/>
          <w:vertAlign w:val="baseline"/>
        </w:rPr>
        <w:t> </w:t>
      </w:r>
      <w:r>
        <w:rPr>
          <w:vertAlign w:val="baseline"/>
        </w:rPr>
        <w:t>signals. They function to promote lymphocyte proliferation, activation and differentiation of effector cells. The main ones in this group are IL-2, IL-4, IL-5, IL-17 and IFNγ. The cytokines that stimulate haemopoiesis are called colony stimulating factors because they are assayed by their ability to stimulate formation of blood cell colonies from bone marrow progenators. Their functions are to increase leukocyte numbers during immune and inflammatory responses and to replace leukocytes that are consumed during such responses (Kumar, </w:t>
      </w:r>
      <w:r>
        <w:rPr>
          <w:i/>
          <w:vertAlign w:val="baseline"/>
        </w:rPr>
        <w:t>et al.,</w:t>
      </w:r>
      <w:r>
        <w:rPr>
          <w:vertAlign w:val="baseline"/>
        </w:rPr>
        <w:t>2004).Still on functional aspect, cytokines are also classified aspro and anti inflammatory cytokines. The pro-inflammatory cytokines promote inflammation. They include IFN</w:t>
      </w:r>
      <w:r>
        <w:rPr>
          <w:rFonts w:ascii="Symbol" w:hAnsi="Symbol"/>
          <w:vertAlign w:val="baseline"/>
        </w:rPr>
        <w:t></w:t>
      </w:r>
      <w:r>
        <w:rPr>
          <w:vertAlign w:val="baseline"/>
        </w:rPr>
        <w:t>, interleukin-2 [IL-2], and TNF</w:t>
      </w:r>
      <w:r>
        <w:rPr>
          <w:rFonts w:ascii="Symbol" w:hAnsi="Symbol"/>
          <w:vertAlign w:val="baseline"/>
        </w:rPr>
        <w:t></w:t>
      </w:r>
      <w:r>
        <w:rPr>
          <w:vertAlign w:val="baseline"/>
        </w:rPr>
        <w:t> whereas the anti-inflammatory or regulatory cytokines suppresses or inhibit inflammatory response. These include interleukin 4 [IL-4], interleukin 10 [IL-10] and transforming growth factor beta [TGF-</w:t>
      </w:r>
      <w:r>
        <w:rPr>
          <w:rFonts w:ascii="Symbol" w:hAnsi="Symbol"/>
          <w:vertAlign w:val="baseline"/>
        </w:rPr>
        <w:t></w:t>
      </w:r>
      <w:r>
        <w:rPr>
          <w:vertAlign w:val="baseline"/>
        </w:rPr>
        <w:t>]. Pro-inflammatory cytokines, also known as type-1 (T</w:t>
      </w:r>
      <w:r>
        <w:rPr>
          <w:vertAlign w:val="subscript"/>
        </w:rPr>
        <w:t>H</w:t>
      </w:r>
      <w:r>
        <w:rPr>
          <w:vertAlign w:val="baseline"/>
        </w:rPr>
        <w:t>1) cytokines, drive immunity to cell mediated response whereas regulatory cytokines, also known as type-2 (T</w:t>
      </w:r>
      <w:r>
        <w:rPr>
          <w:vertAlign w:val="subscript"/>
        </w:rPr>
        <w:t>H</w:t>
      </w:r>
      <w:r>
        <w:rPr>
          <w:vertAlign w:val="baseline"/>
        </w:rPr>
        <w:t>2), drive immunity to humoral response with subsequent production of antibodies (Venugopal, 2007).</w:t>
      </w:r>
    </w:p>
    <w:p>
      <w:pPr>
        <w:pStyle w:val="BodyText"/>
        <w:spacing w:line="588" w:lineRule="exact" w:before="51"/>
        <w:ind w:left="560" w:right="796"/>
        <w:jc w:val="both"/>
      </w:pPr>
      <w:r>
        <w:rPr/>
        <w:t>Few cytokines induce the differentiation of sub-types. For instance;IFN</w:t>
      </w:r>
      <w:r>
        <w:rPr>
          <w:rFonts w:ascii="Symbol" w:hAnsi="Symbol"/>
        </w:rPr>
        <w:t></w:t>
      </w:r>
      <w:r>
        <w:rPr/>
        <w:t> and IL-12 are responsible</w:t>
      </w:r>
      <w:r>
        <w:rPr>
          <w:spacing w:val="46"/>
        </w:rPr>
        <w:t> </w:t>
      </w:r>
      <w:r>
        <w:rPr/>
        <w:t>for</w:t>
      </w:r>
      <w:r>
        <w:rPr>
          <w:spacing w:val="46"/>
        </w:rPr>
        <w:t> </w:t>
      </w:r>
      <w:r>
        <w:rPr/>
        <w:t>the</w:t>
      </w:r>
      <w:r>
        <w:rPr>
          <w:spacing w:val="46"/>
        </w:rPr>
        <w:t> </w:t>
      </w:r>
      <w:r>
        <w:rPr/>
        <w:t>differentiation</w:t>
      </w:r>
      <w:r>
        <w:rPr>
          <w:spacing w:val="47"/>
        </w:rPr>
        <w:t> </w:t>
      </w:r>
      <w:r>
        <w:rPr/>
        <w:t>of</w:t>
      </w:r>
      <w:r>
        <w:rPr>
          <w:spacing w:val="47"/>
        </w:rPr>
        <w:t> </w:t>
      </w:r>
      <w:r>
        <w:rPr/>
        <w:t>T</w:t>
      </w:r>
      <w:r>
        <w:rPr>
          <w:vertAlign w:val="subscript"/>
        </w:rPr>
        <w:t>H</w:t>
      </w:r>
      <w:r>
        <w:rPr>
          <w:spacing w:val="46"/>
          <w:vertAlign w:val="baseline"/>
        </w:rPr>
        <w:t> </w:t>
      </w:r>
      <w:r>
        <w:rPr>
          <w:vertAlign w:val="baseline"/>
        </w:rPr>
        <w:t>cells</w:t>
      </w:r>
      <w:r>
        <w:rPr>
          <w:spacing w:val="48"/>
          <w:vertAlign w:val="baseline"/>
        </w:rPr>
        <w:t> </w:t>
      </w:r>
      <w:r>
        <w:rPr>
          <w:vertAlign w:val="baseline"/>
        </w:rPr>
        <w:t>(T</w:t>
      </w:r>
      <w:r>
        <w:rPr>
          <w:vertAlign w:val="subscript"/>
        </w:rPr>
        <w:t>H</w:t>
      </w:r>
      <w:r>
        <w:rPr>
          <w:vertAlign w:val="baseline"/>
        </w:rPr>
        <w:t>0)</w:t>
      </w:r>
      <w:r>
        <w:rPr>
          <w:spacing w:val="47"/>
          <w:vertAlign w:val="baseline"/>
        </w:rPr>
        <w:t> </w:t>
      </w:r>
      <w:r>
        <w:rPr>
          <w:vertAlign w:val="baseline"/>
        </w:rPr>
        <w:t>into</w:t>
      </w:r>
      <w:r>
        <w:rPr>
          <w:spacing w:val="47"/>
          <w:vertAlign w:val="baseline"/>
        </w:rPr>
        <w:t> </w:t>
      </w:r>
      <w:r>
        <w:rPr>
          <w:vertAlign w:val="baseline"/>
        </w:rPr>
        <w:t>T</w:t>
      </w:r>
      <w:r>
        <w:rPr>
          <w:vertAlign w:val="subscript"/>
        </w:rPr>
        <w:t>H</w:t>
      </w:r>
      <w:r>
        <w:rPr>
          <w:vertAlign w:val="baseline"/>
        </w:rPr>
        <w:t>1</w:t>
      </w:r>
      <w:r>
        <w:rPr>
          <w:spacing w:val="47"/>
          <w:vertAlign w:val="baseline"/>
        </w:rPr>
        <w:t> </w:t>
      </w:r>
      <w:r>
        <w:rPr>
          <w:vertAlign w:val="baseline"/>
        </w:rPr>
        <w:t>subset;</w:t>
      </w:r>
      <w:r>
        <w:rPr>
          <w:spacing w:val="48"/>
          <w:vertAlign w:val="baseline"/>
        </w:rPr>
        <w:t> </w:t>
      </w:r>
      <w:r>
        <w:rPr>
          <w:vertAlign w:val="baseline"/>
        </w:rPr>
        <w:t>(IL-2,</w:t>
      </w:r>
      <w:r>
        <w:rPr>
          <w:spacing w:val="50"/>
          <w:vertAlign w:val="baseline"/>
        </w:rPr>
        <w:t> </w:t>
      </w:r>
      <w:r>
        <w:rPr>
          <w:vertAlign w:val="baseline"/>
        </w:rPr>
        <w:t>IL-12,</w:t>
      </w:r>
      <w:r>
        <w:rPr>
          <w:spacing w:val="52"/>
          <w:vertAlign w:val="baseline"/>
        </w:rPr>
        <w:t> </w:t>
      </w:r>
      <w:r>
        <w:rPr>
          <w:spacing w:val="-2"/>
          <w:vertAlign w:val="baseline"/>
        </w:rPr>
        <w:t>IFN</w:t>
      </w:r>
      <w:r>
        <w:rPr>
          <w:rFonts w:ascii="Symbol" w:hAnsi="Symbol"/>
          <w:spacing w:val="-2"/>
          <w:vertAlign w:val="baseline"/>
        </w:rPr>
        <w:t></w:t>
      </w:r>
      <w:r>
        <w:rPr>
          <w:spacing w:val="-2"/>
          <w:vertAlign w:val="baseline"/>
        </w:rPr>
        <w:t>,</w:t>
      </w:r>
    </w:p>
    <w:p>
      <w:pPr>
        <w:spacing w:after="0" w:line="588" w:lineRule="exact"/>
        <w:jc w:val="both"/>
        <w:sectPr>
          <w:pgSz w:w="11910" w:h="16840"/>
          <w:pgMar w:header="0" w:footer="1067" w:top="1060" w:bottom="1260" w:left="880" w:right="640"/>
        </w:sectPr>
      </w:pPr>
    </w:p>
    <w:p>
      <w:pPr>
        <w:pStyle w:val="BodyText"/>
        <w:spacing w:line="480" w:lineRule="auto" w:before="72"/>
        <w:ind w:left="560" w:right="792"/>
        <w:jc w:val="both"/>
      </w:pPr>
      <w:r>
        <w:rPr/>
        <w:t>TNF</w:t>
      </w:r>
      <w:r>
        <w:rPr>
          <w:rFonts w:ascii="Symbol" w:hAnsi="Symbol"/>
        </w:rPr>
        <w:t></w:t>
      </w:r>
      <w:r>
        <w:rPr/>
        <w:t>) while IL-4 is responsible for the differentiation of T</w:t>
      </w:r>
      <w:r>
        <w:rPr>
          <w:vertAlign w:val="subscript"/>
        </w:rPr>
        <w:t>H</w:t>
      </w:r>
      <w:r>
        <w:rPr>
          <w:vertAlign w:val="baseline"/>
        </w:rPr>
        <w:t>0 to T</w:t>
      </w:r>
      <w:r>
        <w:rPr>
          <w:vertAlign w:val="subscript"/>
        </w:rPr>
        <w:t>H</w:t>
      </w:r>
      <w:r>
        <w:rPr>
          <w:vertAlign w:val="baseline"/>
        </w:rPr>
        <w:t>2 subset; (IL-4, interleukin 5 [IL-5], IL-10, IL-13)(Venugopal, 2007). The third subset is called T</w:t>
      </w:r>
      <w:r>
        <w:rPr>
          <w:vertAlign w:val="subscript"/>
        </w:rPr>
        <w:t>H</w:t>
      </w:r>
      <w:r>
        <w:rPr>
          <w:vertAlign w:val="baseline"/>
        </w:rPr>
        <w:t>17 subset. Interleukin- 17 (IL-17) is the major cytokine responsible for such differentiation. These include IL-6, IL-17, TNFα and TGFβ. T</w:t>
      </w:r>
      <w:r>
        <w:rPr>
          <w:vertAlign w:val="subscript"/>
        </w:rPr>
        <w:t>H</w:t>
      </w:r>
      <w:r>
        <w:rPr>
          <w:vertAlign w:val="baseline"/>
        </w:rPr>
        <w:t>17 cytokines are powerful recruiters of neutrophils, eosinophil and monocytes (Steinmann, 2007). T</w:t>
      </w:r>
      <w:r>
        <w:rPr>
          <w:vertAlign w:val="subscript"/>
        </w:rPr>
        <w:t>H</w:t>
      </w:r>
      <w:r>
        <w:rPr>
          <w:vertAlign w:val="baseline"/>
        </w:rPr>
        <w:t>17 cytokine subset plays a major role in several inflammatory diseases and profersa defense barrier against bacterial and fungal infections in which multiple inflammation is a prominent feature (Kumar </w:t>
      </w:r>
      <w:r>
        <w:rPr>
          <w:i/>
          <w:vertAlign w:val="baseline"/>
        </w:rPr>
        <w:t>et al.,</w:t>
      </w:r>
      <w:r>
        <w:rPr>
          <w:vertAlign w:val="baseline"/>
        </w:rPr>
        <w:t>2004).The</w:t>
      </w:r>
      <w:r>
        <w:rPr>
          <w:spacing w:val="80"/>
          <w:vertAlign w:val="baseline"/>
        </w:rPr>
        <w:t> </w:t>
      </w:r>
      <w:r>
        <w:rPr>
          <w:vertAlign w:val="baseline"/>
        </w:rPr>
        <w:t>rate at which cytokines drive immune response depends on their concentration. They are extremely potent even at very low concentration (10</w:t>
      </w:r>
      <w:r>
        <w:rPr>
          <w:vertAlign w:val="superscript"/>
        </w:rPr>
        <w:t>-9</w:t>
      </w:r>
      <w:r>
        <w:rPr>
          <w:vertAlign w:val="baseline"/>
        </w:rPr>
        <w:t> – 10</w:t>
      </w:r>
      <w:r>
        <w:rPr>
          <w:vertAlign w:val="superscript"/>
        </w:rPr>
        <w:t>-15</w:t>
      </w:r>
      <w:r>
        <w:rPr>
          <w:vertAlign w:val="baseline"/>
        </w:rPr>
        <w:t>M) (Venugopal, 2007). For example, at low concentration, IL-1, IFN</w:t>
      </w:r>
      <w:r>
        <w:rPr>
          <w:rFonts w:ascii="Symbol" w:hAnsi="Symbol"/>
          <w:vertAlign w:val="baseline"/>
        </w:rPr>
        <w:t></w:t>
      </w:r>
      <w:r>
        <w:rPr>
          <w:vertAlign w:val="baseline"/>
        </w:rPr>
        <w:t> and TNF</w:t>
      </w:r>
      <w:r>
        <w:rPr>
          <w:rFonts w:ascii="Symbol" w:hAnsi="Symbol"/>
          <w:vertAlign w:val="baseline"/>
        </w:rPr>
        <w:t></w:t>
      </w:r>
      <w:r>
        <w:rPr>
          <w:vertAlign w:val="baseline"/>
        </w:rPr>
        <w:t> induce the expression of adhesion molecules on endothelial cells causing leucocytes in the circulation to adhere to the walls of the blood vessels at the site of infection (Elgert, 2009;Carl </w:t>
      </w:r>
      <w:r>
        <w:rPr>
          <w:i/>
          <w:vertAlign w:val="baseline"/>
        </w:rPr>
        <w:t>et al.,</w:t>
      </w:r>
      <w:r>
        <w:rPr>
          <w:vertAlign w:val="baseline"/>
        </w:rPr>
        <w:t>2006). But at higher concentration, TNFα or in conjunction with other inflammatory cytokines induce cachexia and intense fever (Warren, 2010). It has been reported that TNF</w:t>
      </w:r>
      <w:r>
        <w:rPr>
          <w:rFonts w:ascii="Symbol" w:hAnsi="Symbol"/>
          <w:vertAlign w:val="baseline"/>
        </w:rPr>
        <w:t></w:t>
      </w:r>
      <w:r>
        <w:rPr>
          <w:vertAlign w:val="baseline"/>
        </w:rPr>
        <w:t> or IL-1 at an increased concentration is responsible for hypogylcaemia, anaemia and apoptosis (Venugopal, 2007).</w:t>
      </w:r>
    </w:p>
    <w:p>
      <w:pPr>
        <w:pStyle w:val="BodyText"/>
      </w:pPr>
    </w:p>
    <w:p>
      <w:pPr>
        <w:pStyle w:val="BodyText"/>
        <w:spacing w:line="480" w:lineRule="auto"/>
        <w:ind w:left="560" w:right="794"/>
        <w:jc w:val="both"/>
      </w:pPr>
      <w:r>
        <w:rPr/>
        <w:t>In</w:t>
      </w:r>
      <w:r>
        <w:rPr>
          <w:spacing w:val="-1"/>
        </w:rPr>
        <w:t> </w:t>
      </w:r>
      <w:r>
        <w:rPr/>
        <w:t>some pathological</w:t>
      </w:r>
      <w:r>
        <w:rPr>
          <w:spacing w:val="-1"/>
        </w:rPr>
        <w:t> </w:t>
      </w:r>
      <w:r>
        <w:rPr/>
        <w:t>conditions,</w:t>
      </w:r>
      <w:r>
        <w:rPr>
          <w:spacing w:val="-1"/>
        </w:rPr>
        <w:t> </w:t>
      </w:r>
      <w:r>
        <w:rPr/>
        <w:t>production</w:t>
      </w:r>
      <w:r>
        <w:rPr>
          <w:spacing w:val="-1"/>
        </w:rPr>
        <w:t> </w:t>
      </w:r>
      <w:r>
        <w:rPr/>
        <w:t>of</w:t>
      </w:r>
      <w:r>
        <w:rPr>
          <w:spacing w:val="-2"/>
        </w:rPr>
        <w:t> </w:t>
      </w:r>
      <w:r>
        <w:rPr/>
        <w:t>most cytokines is</w:t>
      </w:r>
      <w:r>
        <w:rPr>
          <w:spacing w:val="-1"/>
        </w:rPr>
        <w:t> </w:t>
      </w:r>
      <w:r>
        <w:rPr/>
        <w:t>increased. This may</w:t>
      </w:r>
      <w:r>
        <w:rPr>
          <w:spacing w:val="-6"/>
        </w:rPr>
        <w:t> </w:t>
      </w:r>
      <w:r>
        <w:rPr/>
        <w:t>directly or indirectly account to their rate of involvement andreflectsin the severity of the disease(s) and could serve as prognostic marker in disease conditions (Carl </w:t>
      </w:r>
      <w:r>
        <w:rPr>
          <w:i/>
        </w:rPr>
        <w:t>et al.,</w:t>
      </w:r>
      <w:r>
        <w:rPr/>
        <w:t>2006). For instance, excess production of TNFα and other cytokines depresseserythropoietic activity by inhibiting the growth of erythroid progenitor cells resulting in bone marrow suppression, ineffective erythropoiesis and dys-erythropoiesis and further increasing the severity of anaemia. In addition, it is also believed that excess secretion of TNFα in malaria parasitaemia causes acidosis by inducing changes in the body carbohydrate metabolism (Elgert, 2009).</w:t>
      </w:r>
    </w:p>
    <w:p>
      <w:pPr>
        <w:pStyle w:val="BodyText"/>
        <w:spacing w:line="480" w:lineRule="auto" w:before="1"/>
        <w:ind w:left="560" w:right="797"/>
        <w:jc w:val="both"/>
      </w:pPr>
      <w:r>
        <w:rPr/>
        <w:t>Marked local inflammatory response causes cytokine to spill into the general circulation culminating</w:t>
      </w:r>
      <w:r>
        <w:rPr>
          <w:spacing w:val="5"/>
        </w:rPr>
        <w:t> </w:t>
      </w:r>
      <w:r>
        <w:rPr/>
        <w:t>in</w:t>
      </w:r>
      <w:r>
        <w:rPr>
          <w:spacing w:val="7"/>
        </w:rPr>
        <w:t> </w:t>
      </w:r>
      <w:r>
        <w:rPr/>
        <w:t>detectable</w:t>
      </w:r>
      <w:r>
        <w:rPr>
          <w:spacing w:val="5"/>
        </w:rPr>
        <w:t> </w:t>
      </w:r>
      <w:r>
        <w:rPr/>
        <w:t>levels</w:t>
      </w:r>
      <w:r>
        <w:rPr>
          <w:spacing w:val="6"/>
        </w:rPr>
        <w:t> </w:t>
      </w:r>
      <w:r>
        <w:rPr/>
        <w:t>in</w:t>
      </w:r>
      <w:r>
        <w:rPr>
          <w:spacing w:val="6"/>
        </w:rPr>
        <w:t> </w:t>
      </w:r>
      <w:r>
        <w:rPr/>
        <w:t>biological</w:t>
      </w:r>
      <w:r>
        <w:rPr>
          <w:spacing w:val="6"/>
        </w:rPr>
        <w:t> </w:t>
      </w:r>
      <w:r>
        <w:rPr/>
        <w:t>fluids</w:t>
      </w:r>
      <w:r>
        <w:rPr>
          <w:spacing w:val="5"/>
        </w:rPr>
        <w:t> </w:t>
      </w:r>
      <w:r>
        <w:rPr/>
        <w:t>such</w:t>
      </w:r>
      <w:r>
        <w:rPr>
          <w:spacing w:val="5"/>
        </w:rPr>
        <w:t> </w:t>
      </w:r>
      <w:r>
        <w:rPr/>
        <w:t>as</w:t>
      </w:r>
      <w:r>
        <w:rPr>
          <w:spacing w:val="6"/>
        </w:rPr>
        <w:t> </w:t>
      </w:r>
      <w:r>
        <w:rPr/>
        <w:t>serum,</w:t>
      </w:r>
      <w:r>
        <w:rPr>
          <w:spacing w:val="5"/>
        </w:rPr>
        <w:t> </w:t>
      </w:r>
      <w:r>
        <w:rPr/>
        <w:t>plasma</w:t>
      </w:r>
      <w:r>
        <w:rPr>
          <w:spacing w:val="5"/>
        </w:rPr>
        <w:t> </w:t>
      </w:r>
      <w:r>
        <w:rPr/>
        <w:t>and</w:t>
      </w:r>
      <w:r>
        <w:rPr>
          <w:spacing w:val="5"/>
        </w:rPr>
        <w:t> </w:t>
      </w:r>
      <w:r>
        <w:rPr/>
        <w:t>amniotic</w:t>
      </w:r>
      <w:r>
        <w:rPr>
          <w:spacing w:val="5"/>
        </w:rPr>
        <w:t> </w:t>
      </w:r>
      <w:r>
        <w:rPr>
          <w:spacing w:val="-2"/>
        </w:rPr>
        <w:t>fluid</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(Carl </w:t>
      </w:r>
      <w:r>
        <w:rPr>
          <w:i/>
        </w:rPr>
        <w:t>et al.,</w:t>
      </w:r>
      <w:r>
        <w:rPr/>
        <w:t>2006; Venugopal, 2007). Cytokine analysis provides useful information that establishes the presence of an activated immune response or asinflammatory marker as well</w:t>
      </w:r>
      <w:r>
        <w:rPr>
          <w:spacing w:val="40"/>
        </w:rPr>
        <w:t> </w:t>
      </w:r>
      <w:r>
        <w:rPr/>
        <w:t>as guide targeted to therapeutic regimen designed to reduce inflammation.</w:t>
      </w:r>
    </w:p>
    <w:p>
      <w:pPr>
        <w:pStyle w:val="BodyText"/>
      </w:pPr>
    </w:p>
    <w:p>
      <w:pPr>
        <w:pStyle w:val="BodyText"/>
        <w:spacing w:line="480" w:lineRule="auto" w:before="1"/>
        <w:ind w:left="560" w:right="793"/>
        <w:jc w:val="both"/>
      </w:pPr>
      <w:r>
        <w:rPr/>
        <w:t>The cytokines secreted during malaria infection mediates the killing of malaria parasite and are critical intermediates for clinical manifestations(Mendis </w:t>
      </w:r>
      <w:r>
        <w:rPr>
          <w:i/>
        </w:rPr>
        <w:t>et al.,</w:t>
      </w:r>
      <w:r>
        <w:rPr/>
        <w:t>1990; Torre </w:t>
      </w:r>
      <w:r>
        <w:rPr>
          <w:i/>
        </w:rPr>
        <w:t>et al.,</w:t>
      </w:r>
      <w:r>
        <w:rPr/>
        <w:t>2002).Themechanisms whereby cytokines affect killing of malaria differ in intra- erythrocytic and intra-hepatic stages of the infection. For instance, it is reported that unidentified serum complementary factors mediates intra-erythrocytic stage involing TNF</w:t>
      </w:r>
      <w:r>
        <w:rPr>
          <w:rFonts w:ascii="Symbol" w:hAnsi="Symbol"/>
        </w:rPr>
        <w:t></w:t>
      </w:r>
      <w:r>
        <w:rPr/>
        <w:t> and IFN</w:t>
      </w:r>
      <w:r>
        <w:rPr>
          <w:rFonts w:ascii="Symbol" w:hAnsi="Symbol"/>
        </w:rPr>
        <w:t></w:t>
      </w:r>
      <w:r>
        <w:rPr/>
        <w:t> while intra-hepatic stage mainlywith IFN</w:t>
      </w:r>
      <w:r>
        <w:rPr>
          <w:rFonts w:ascii="Symbol" w:hAnsi="Symbol"/>
        </w:rPr>
        <w:t></w:t>
      </w:r>
      <w:r>
        <w:rPr/>
        <w:t> is independent of serum complementary factors (Mendis </w:t>
      </w:r>
      <w:r>
        <w:rPr>
          <w:i/>
        </w:rPr>
        <w:t>et al.,</w:t>
      </w:r>
      <w:r>
        <w:rPr/>
        <w:t>1990).It is evident that the pathological alterations and outcome of diseases depend on reciprocal regulation of the pro and anti-inflammatory cytokines; high levels of pro-inflammatory (type 1) cytokines for example, in malaria, TNFα and IFNγ have been associated with severe pathologies whereas low levels of regulatory (type-2) cytokines such as TGFβ and IL-10 have been associated with acute malaria. Also, marked imbalance between type-1 and type-2 cytokines found in the blood could determine the severity of the infection (Perkins </w:t>
      </w:r>
      <w:r>
        <w:rPr>
          <w:i/>
        </w:rPr>
        <w:t>et al.,</w:t>
      </w:r>
      <w:r>
        <w:rPr/>
        <w:t>2000, Medina </w:t>
      </w:r>
      <w:r>
        <w:rPr>
          <w:i/>
        </w:rPr>
        <w:t>et al.,</w:t>
      </w:r>
      <w:r>
        <w:rPr/>
        <w:t>2011).</w:t>
      </w:r>
    </w:p>
    <w:p>
      <w:pPr>
        <w:pStyle w:val="BodyText"/>
        <w:spacing w:before="6"/>
      </w:pPr>
    </w:p>
    <w:p>
      <w:pPr>
        <w:pStyle w:val="Heading3"/>
        <w:numPr>
          <w:ilvl w:val="2"/>
          <w:numId w:val="6"/>
        </w:numPr>
        <w:tabs>
          <w:tab w:pos="1279" w:val="left" w:leader="none"/>
        </w:tabs>
        <w:spacing w:line="240" w:lineRule="auto" w:before="0" w:after="0"/>
        <w:ind w:left="1279" w:right="0" w:hanging="719"/>
        <w:jc w:val="both"/>
      </w:pPr>
      <w:r>
        <w:rPr/>
        <w:t>Interleukin-4</w:t>
      </w:r>
      <w:r>
        <w:rPr>
          <w:spacing w:val="-3"/>
        </w:rPr>
        <w:t> </w:t>
      </w:r>
      <w:r>
        <w:rPr/>
        <w:t>(IL-</w:t>
      </w:r>
      <w:r>
        <w:rPr>
          <w:spacing w:val="-5"/>
        </w:rPr>
        <w:t>4)</w:t>
      </w:r>
    </w:p>
    <w:p>
      <w:pPr>
        <w:pStyle w:val="BodyText"/>
        <w:spacing w:line="480" w:lineRule="auto" w:before="272"/>
        <w:ind w:left="560" w:right="794"/>
        <w:jc w:val="both"/>
      </w:pPr>
      <w:r>
        <w:rPr/>
        <w:t>IL-4 is a glycoprotein with molecular weight of about 15,000 – 20,000 Daltons. It is secreted by activatedT</w:t>
      </w:r>
      <w:r>
        <w:rPr>
          <w:vertAlign w:val="subscript"/>
        </w:rPr>
        <w:t>H</w:t>
      </w:r>
      <w:r>
        <w:rPr>
          <w:vertAlign w:val="baseline"/>
        </w:rPr>
        <w:t>2 and mast cells. IL-4 is a regulatory cytokine and suppresses the cytokine secretion of T</w:t>
      </w:r>
      <w:r>
        <w:rPr>
          <w:vertAlign w:val="subscript"/>
        </w:rPr>
        <w:t>H</w:t>
      </w:r>
      <w:r>
        <w:rPr>
          <w:vertAlign w:val="baseline"/>
        </w:rPr>
        <w:t>1 cells. It enhances the proliferation and activities of eosinophils and mast cells. As a result of its role in proliferation and activities of eosinophils and mast cells, it is suggested to play a central role in allergic reaction. Besides it induces class switching to IgE (Venugopal, 2007).</w:t>
      </w:r>
    </w:p>
    <w:p>
      <w:pPr>
        <w:spacing w:after="0" w:line="480" w:lineRule="auto"/>
        <w:jc w:val="both"/>
        <w:sectPr>
          <w:pgSz w:w="11910" w:h="16840"/>
          <w:pgMar w:header="0" w:footer="1067" w:top="1060" w:bottom="1260" w:left="880" w:right="640"/>
        </w:sectPr>
      </w:pPr>
    </w:p>
    <w:p>
      <w:pPr>
        <w:pStyle w:val="Heading3"/>
        <w:numPr>
          <w:ilvl w:val="2"/>
          <w:numId w:val="6"/>
        </w:numPr>
        <w:tabs>
          <w:tab w:pos="1279" w:val="left" w:leader="none"/>
        </w:tabs>
        <w:spacing w:line="240" w:lineRule="auto" w:before="75" w:after="0"/>
        <w:ind w:left="1279" w:right="0" w:hanging="719"/>
        <w:jc w:val="both"/>
      </w:pPr>
      <w:r>
        <w:rPr/>
        <w:t>Interleukin-6</w:t>
      </w:r>
      <w:r>
        <w:rPr>
          <w:spacing w:val="-3"/>
        </w:rPr>
        <w:t> </w:t>
      </w:r>
      <w:r>
        <w:rPr/>
        <w:t>(IL-</w:t>
      </w:r>
      <w:r>
        <w:rPr>
          <w:spacing w:val="-5"/>
        </w:rPr>
        <w:t>6)</w:t>
      </w:r>
    </w:p>
    <w:p>
      <w:pPr>
        <w:pStyle w:val="BodyText"/>
        <w:spacing w:line="480" w:lineRule="auto" w:before="271"/>
        <w:ind w:left="560" w:right="795"/>
        <w:jc w:val="both"/>
      </w:pPr>
      <w:r>
        <w:rPr/>
        <w:t>IL-6 has a molecular weight of about 22,000 – 30,000 Daltons. It is produced primarily by macrophages (Warren 2010) and lots of other activated T-cells (Venugopal, 2007). It is a multifunctional cytokine andis involved in various biological processes eitheras pro or regulatory activities. However, it plays essential role in the hepatic synthesis of acute phase reactants (Warren. 2010), the regulation of inflammation as well as final differentiation of blood cells. Currently, it is known to induce the synthesis of hepcidin by the hepatocytes (Neimeth</w:t>
      </w:r>
      <w:r>
        <w:rPr>
          <w:i/>
        </w:rPr>
        <w:t>et al.,</w:t>
      </w:r>
      <w:r>
        <w:rPr/>
        <w:t>2003)</w:t>
      </w:r>
    </w:p>
    <w:p>
      <w:pPr>
        <w:pStyle w:val="BodyText"/>
        <w:spacing w:before="6"/>
      </w:pPr>
    </w:p>
    <w:p>
      <w:pPr>
        <w:pStyle w:val="Heading3"/>
        <w:numPr>
          <w:ilvl w:val="2"/>
          <w:numId w:val="6"/>
        </w:numPr>
        <w:tabs>
          <w:tab w:pos="1279" w:val="left" w:leader="none"/>
        </w:tabs>
        <w:spacing w:line="240" w:lineRule="auto" w:before="0" w:after="0"/>
        <w:ind w:left="1279" w:right="0" w:hanging="719"/>
        <w:jc w:val="both"/>
      </w:pPr>
      <w:r>
        <w:rPr/>
        <w:t>Interleukin</w:t>
      </w:r>
      <w:r>
        <w:rPr>
          <w:spacing w:val="-3"/>
        </w:rPr>
        <w:t> </w:t>
      </w:r>
      <w:r>
        <w:rPr/>
        <w:t>10</w:t>
      </w:r>
      <w:r>
        <w:rPr>
          <w:spacing w:val="-1"/>
        </w:rPr>
        <w:t> </w:t>
      </w:r>
      <w:r>
        <w:rPr/>
        <w:t>(IL-</w:t>
      </w:r>
      <w:r>
        <w:rPr>
          <w:spacing w:val="-5"/>
        </w:rPr>
        <w:t>10)</w:t>
      </w:r>
    </w:p>
    <w:p>
      <w:pPr>
        <w:pStyle w:val="BodyText"/>
        <w:spacing w:line="480" w:lineRule="auto" w:before="271"/>
        <w:ind w:left="560" w:right="795"/>
        <w:jc w:val="both"/>
      </w:pPr>
      <w:r>
        <w:rPr/>
        <w:t>IL-10 has a molecular weight of about 18,000 Daltons. It is produced by activated T</w:t>
      </w:r>
      <w:r>
        <w:rPr>
          <w:vertAlign w:val="subscript"/>
        </w:rPr>
        <w:t>H</w:t>
      </w:r>
      <w:r>
        <w:rPr>
          <w:vertAlign w:val="baseline"/>
        </w:rPr>
        <w:t>2 cells, CD8+, Monocyte and B-cell. It is a potent anti-inflammatory</w:t>
      </w:r>
      <w:r>
        <w:rPr>
          <w:spacing w:val="-1"/>
          <w:vertAlign w:val="baseline"/>
        </w:rPr>
        <w:t> </w:t>
      </w:r>
      <w:r>
        <w:rPr>
          <w:vertAlign w:val="baseline"/>
        </w:rPr>
        <w:t>cytokine that inhibits the action of most proinflammatory cytokines. It is the principal type-2 cytokine that attenuates cell mediated immune reaction and regulates a balance in favour of T</w:t>
      </w:r>
      <w:r>
        <w:rPr>
          <w:vertAlign w:val="subscript"/>
        </w:rPr>
        <w:t>H</w:t>
      </w:r>
      <w:r>
        <w:rPr>
          <w:vertAlign w:val="baseline"/>
        </w:rPr>
        <w:t>2 or humoral immune response (Venugopal, 2007). IL-10 is known to inhibit the protective immune response against malaria parasites or suppressing severe pathology during plasmodial infection (Mamoru </w:t>
      </w:r>
      <w:r>
        <w:rPr>
          <w:i/>
          <w:vertAlign w:val="baseline"/>
        </w:rPr>
        <w:t>et al.,</w:t>
      </w:r>
      <w:r>
        <w:rPr>
          <w:vertAlign w:val="baseline"/>
        </w:rPr>
        <w:t>2011)</w:t>
      </w:r>
    </w:p>
    <w:p>
      <w:pPr>
        <w:pStyle w:val="BodyText"/>
        <w:spacing w:before="8"/>
      </w:pPr>
    </w:p>
    <w:p>
      <w:pPr>
        <w:pStyle w:val="Heading3"/>
        <w:numPr>
          <w:ilvl w:val="2"/>
          <w:numId w:val="6"/>
        </w:numPr>
        <w:tabs>
          <w:tab w:pos="1280" w:val="left" w:leader="none"/>
        </w:tabs>
        <w:spacing w:line="240" w:lineRule="auto" w:before="1" w:after="0"/>
        <w:ind w:left="1280" w:right="0" w:hanging="720"/>
        <w:jc w:val="left"/>
      </w:pPr>
      <w:r>
        <w:rPr/>
        <w:t>Interferon</w:t>
      </w:r>
      <w:r>
        <w:rPr>
          <w:spacing w:val="-3"/>
        </w:rPr>
        <w:t> </w:t>
      </w:r>
      <w:r>
        <w:rPr/>
        <w:t>Gamma</w:t>
      </w:r>
      <w:r>
        <w:rPr>
          <w:spacing w:val="-2"/>
        </w:rPr>
        <w:t> (IFN</w:t>
      </w:r>
      <w:r>
        <w:rPr>
          <w:rFonts w:ascii="Symbol" w:hAnsi="Symbol"/>
          <w:b w:val="0"/>
          <w:spacing w:val="-2"/>
        </w:rPr>
        <w:t></w:t>
      </w:r>
      <w:r>
        <w:rPr>
          <w:spacing w:val="-2"/>
        </w:rPr>
        <w:t>)</w:t>
      </w:r>
    </w:p>
    <w:p>
      <w:pPr>
        <w:pStyle w:val="BodyText"/>
        <w:spacing w:before="13"/>
        <w:rPr>
          <w:b/>
        </w:rPr>
      </w:pPr>
    </w:p>
    <w:p>
      <w:pPr>
        <w:pStyle w:val="BodyText"/>
        <w:spacing w:line="480" w:lineRule="auto"/>
        <w:ind w:left="560" w:right="793"/>
        <w:jc w:val="both"/>
      </w:pPr>
      <w:r>
        <w:rPr/>
        <w:t>IFN</w:t>
      </w:r>
      <w:r>
        <w:rPr>
          <w:rFonts w:ascii="Symbol" w:hAnsi="Symbol"/>
        </w:rPr>
        <w:t></w:t>
      </w:r>
      <w:r>
        <w:rPr/>
        <w:t> is an 18,000 Dalton polypeptide that is secreted by activated T</w:t>
      </w:r>
      <w:r>
        <w:rPr>
          <w:vertAlign w:val="subscript"/>
        </w:rPr>
        <w:t>H</w:t>
      </w:r>
      <w:r>
        <w:rPr>
          <w:vertAlign w:val="baseline"/>
        </w:rPr>
        <w:t>1 subset and NK cells (Venugopal, 2007).</w:t>
      </w:r>
      <w:r>
        <w:rPr>
          <w:spacing w:val="40"/>
          <w:vertAlign w:val="baseline"/>
        </w:rPr>
        <w:t> </w:t>
      </w:r>
      <w:r>
        <w:rPr>
          <w:vertAlign w:val="baseline"/>
        </w:rPr>
        <w:t>It is a potent activator of the phagocytic activity of macrophages, NK cells and neutrophils. It plays a crucial role in the clearance of intracellular pathogen (Stevenson </w:t>
      </w:r>
      <w:r>
        <w:rPr>
          <w:i/>
          <w:vertAlign w:val="baseline"/>
        </w:rPr>
        <w:t>et al.,</w:t>
      </w:r>
      <w:r>
        <w:rPr>
          <w:vertAlign w:val="baseline"/>
        </w:rPr>
        <w:t>1990;Gazzinelli </w:t>
      </w:r>
      <w:r>
        <w:rPr>
          <w:i/>
          <w:vertAlign w:val="baseline"/>
        </w:rPr>
        <w:t>et al.,</w:t>
      </w:r>
      <w:r>
        <w:rPr>
          <w:vertAlign w:val="baseline"/>
        </w:rPr>
        <w:t>1994) and tumour cells (Warren, 2010). Again IFN</w:t>
      </w:r>
      <w:r>
        <w:rPr>
          <w:rFonts w:ascii="Symbol" w:hAnsi="Symbol"/>
          <w:vertAlign w:val="baseline"/>
        </w:rPr>
        <w:t></w:t>
      </w:r>
      <w:r>
        <w:rPr>
          <w:spacing w:val="80"/>
          <w:vertAlign w:val="baseline"/>
        </w:rPr>
        <w:t> </w:t>
      </w:r>
      <w:r>
        <w:rPr>
          <w:vertAlign w:val="baseline"/>
        </w:rPr>
        <w:t>is required in the differentiation of T</w:t>
      </w:r>
      <w:r>
        <w:rPr>
          <w:vertAlign w:val="subscript"/>
        </w:rPr>
        <w:t>H</w:t>
      </w:r>
      <w:r>
        <w:rPr>
          <w:vertAlign w:val="baseline"/>
        </w:rPr>
        <w:t>0 cells into T</w:t>
      </w:r>
      <w:r>
        <w:rPr>
          <w:vertAlign w:val="subscript"/>
        </w:rPr>
        <w:t>H</w:t>
      </w:r>
      <w:r>
        <w:rPr>
          <w:vertAlign w:val="baseline"/>
        </w:rPr>
        <w:t>1 (Warren, 2010).</w:t>
      </w:r>
      <w:r>
        <w:rPr>
          <w:spacing w:val="40"/>
          <w:vertAlign w:val="baseline"/>
        </w:rPr>
        <w:t> </w:t>
      </w:r>
      <w:r>
        <w:rPr>
          <w:vertAlign w:val="baseline"/>
        </w:rPr>
        <w:t>IFN</w:t>
      </w:r>
      <w:r>
        <w:rPr>
          <w:rFonts w:ascii="Symbol" w:hAnsi="Symbol"/>
          <w:vertAlign w:val="baseline"/>
        </w:rPr>
        <w:t></w:t>
      </w:r>
      <w:r>
        <w:rPr>
          <w:vertAlign w:val="baseline"/>
        </w:rPr>
        <w:t> mediated responses have been shown to be involved in protection against infection with </w:t>
      </w:r>
      <w:r>
        <w:rPr>
          <w:i/>
          <w:vertAlign w:val="baseline"/>
        </w:rPr>
        <w:t>P. falciparum </w:t>
      </w:r>
      <w:r>
        <w:rPr>
          <w:vertAlign w:val="baseline"/>
        </w:rPr>
        <w:t>(Luty</w:t>
      </w:r>
      <w:r>
        <w:rPr>
          <w:spacing w:val="6"/>
          <w:vertAlign w:val="baseline"/>
        </w:rPr>
        <w:t> </w:t>
      </w:r>
      <w:r>
        <w:rPr>
          <w:i/>
          <w:vertAlign w:val="baseline"/>
        </w:rPr>
        <w:t>et</w:t>
      </w:r>
      <w:r>
        <w:rPr>
          <w:i/>
          <w:spacing w:val="14"/>
          <w:vertAlign w:val="baseline"/>
        </w:rPr>
        <w:t> </w:t>
      </w:r>
      <w:r>
        <w:rPr>
          <w:i/>
          <w:vertAlign w:val="baseline"/>
        </w:rPr>
        <w:t>al.,</w:t>
      </w:r>
      <w:r>
        <w:rPr>
          <w:vertAlign w:val="baseline"/>
        </w:rPr>
        <w:t>1999).It</w:t>
      </w:r>
      <w:r>
        <w:rPr>
          <w:spacing w:val="14"/>
          <w:vertAlign w:val="baseline"/>
        </w:rPr>
        <w:t> </w:t>
      </w:r>
      <w:r>
        <w:rPr>
          <w:vertAlign w:val="baseline"/>
        </w:rPr>
        <w:t>is</w:t>
      </w:r>
      <w:r>
        <w:rPr>
          <w:spacing w:val="14"/>
          <w:vertAlign w:val="baseline"/>
        </w:rPr>
        <w:t> </w:t>
      </w:r>
      <w:r>
        <w:rPr>
          <w:vertAlign w:val="baseline"/>
        </w:rPr>
        <w:t>a</w:t>
      </w:r>
      <w:r>
        <w:rPr>
          <w:spacing w:val="15"/>
          <w:vertAlign w:val="baseline"/>
        </w:rPr>
        <w:t> </w:t>
      </w:r>
      <w:r>
        <w:rPr>
          <w:vertAlign w:val="baseline"/>
        </w:rPr>
        <w:t>critical</w:t>
      </w:r>
      <w:r>
        <w:rPr>
          <w:spacing w:val="14"/>
          <w:vertAlign w:val="baseline"/>
        </w:rPr>
        <w:t> </w:t>
      </w:r>
      <w:r>
        <w:rPr>
          <w:vertAlign w:val="baseline"/>
        </w:rPr>
        <w:t>mediator</w:t>
      </w:r>
      <w:r>
        <w:rPr>
          <w:spacing w:val="13"/>
          <w:vertAlign w:val="baseline"/>
        </w:rPr>
        <w:t> </w:t>
      </w:r>
      <w:r>
        <w:rPr>
          <w:vertAlign w:val="baseline"/>
        </w:rPr>
        <w:t>of</w:t>
      </w:r>
      <w:r>
        <w:rPr>
          <w:spacing w:val="13"/>
          <w:vertAlign w:val="baseline"/>
        </w:rPr>
        <w:t> </w:t>
      </w:r>
      <w:r>
        <w:rPr>
          <w:vertAlign w:val="baseline"/>
        </w:rPr>
        <w:t>immunity</w:t>
      </w:r>
      <w:r>
        <w:rPr>
          <w:spacing w:val="6"/>
          <w:vertAlign w:val="baseline"/>
        </w:rPr>
        <w:t> </w:t>
      </w:r>
      <w:r>
        <w:rPr>
          <w:vertAlign w:val="baseline"/>
        </w:rPr>
        <w:t>to</w:t>
      </w:r>
      <w:r>
        <w:rPr>
          <w:spacing w:val="14"/>
          <w:vertAlign w:val="baseline"/>
        </w:rPr>
        <w:t> </w:t>
      </w:r>
      <w:r>
        <w:rPr>
          <w:vertAlign w:val="baseline"/>
        </w:rPr>
        <w:t>malaria</w:t>
      </w:r>
      <w:r>
        <w:rPr>
          <w:spacing w:val="16"/>
          <w:vertAlign w:val="baseline"/>
        </w:rPr>
        <w:t> </w:t>
      </w:r>
      <w:r>
        <w:rPr>
          <w:vertAlign w:val="baseline"/>
        </w:rPr>
        <w:t>and</w:t>
      </w:r>
      <w:r>
        <w:rPr>
          <w:spacing w:val="14"/>
          <w:vertAlign w:val="baseline"/>
        </w:rPr>
        <w:t> </w:t>
      </w:r>
      <w:r>
        <w:rPr>
          <w:vertAlign w:val="baseline"/>
        </w:rPr>
        <w:t>is</w:t>
      </w:r>
      <w:r>
        <w:rPr>
          <w:spacing w:val="14"/>
          <w:vertAlign w:val="baseline"/>
        </w:rPr>
        <w:t> </w:t>
      </w:r>
      <w:r>
        <w:rPr>
          <w:vertAlign w:val="baseline"/>
        </w:rPr>
        <w:t>generally</w:t>
      </w:r>
      <w:r>
        <w:rPr>
          <w:spacing w:val="9"/>
          <w:vertAlign w:val="baseline"/>
        </w:rPr>
        <w:t> </w:t>
      </w:r>
      <w:r>
        <w:rPr>
          <w:spacing w:val="-2"/>
          <w:vertAlign w:val="baseline"/>
        </w:rPr>
        <w:t>associated</w:t>
      </w:r>
    </w:p>
    <w:p>
      <w:pPr>
        <w:spacing w:after="0" w:line="480" w:lineRule="auto"/>
        <w:jc w:val="both"/>
        <w:sectPr>
          <w:pgSz w:w="11910" w:h="16840"/>
          <w:pgMar w:header="0" w:footer="1067" w:top="1060" w:bottom="1260" w:left="880" w:right="640"/>
        </w:sectPr>
      </w:pPr>
    </w:p>
    <w:p>
      <w:pPr>
        <w:pStyle w:val="BodyText"/>
        <w:spacing w:line="482" w:lineRule="auto" w:before="70"/>
        <w:ind w:left="560" w:right="796"/>
        <w:jc w:val="both"/>
      </w:pPr>
      <w:r>
        <w:rPr/>
        <w:t>with protective mechanisms (Ferreira </w:t>
      </w:r>
      <w:r>
        <w:rPr>
          <w:i/>
        </w:rPr>
        <w:t>et al.,</w:t>
      </w:r>
      <w:r>
        <w:rPr/>
        <w:t>1986; Herrera </w:t>
      </w:r>
      <w:r>
        <w:rPr>
          <w:i/>
        </w:rPr>
        <w:t>et al.,</w:t>
      </w:r>
      <w:r>
        <w:rPr/>
        <w:t>1992</w:t>
      </w:r>
      <w:r>
        <w:rPr>
          <w:i/>
        </w:rPr>
        <w:t>)</w:t>
      </w:r>
      <w:r>
        <w:rPr/>
        <w:t>. It is established that IFN</w:t>
      </w:r>
      <w:r>
        <w:rPr>
          <w:rFonts w:ascii="Symbol" w:hAnsi="Symbol"/>
        </w:rPr>
        <w:t></w:t>
      </w:r>
      <w:r>
        <w:rPr/>
        <w:t> has antiviral, anti-proliferative and immuo-modulatory</w:t>
      </w:r>
      <w:r>
        <w:rPr>
          <w:spacing w:val="-1"/>
        </w:rPr>
        <w:t> </w:t>
      </w:r>
      <w:r>
        <w:rPr/>
        <w:t>activity</w:t>
      </w:r>
      <w:r>
        <w:rPr>
          <w:spacing w:val="-1"/>
        </w:rPr>
        <w:t> </w:t>
      </w:r>
      <w:r>
        <w:rPr/>
        <w:t>(Kishimoto </w:t>
      </w:r>
      <w:r>
        <w:rPr>
          <w:i/>
        </w:rPr>
        <w:t>et al.,</w:t>
      </w:r>
      <w:r>
        <w:rPr/>
        <w:t>2002).</w:t>
      </w:r>
    </w:p>
    <w:p>
      <w:pPr>
        <w:pStyle w:val="BodyText"/>
        <w:spacing w:before="1"/>
      </w:pPr>
    </w:p>
    <w:p>
      <w:pPr>
        <w:pStyle w:val="Heading3"/>
        <w:numPr>
          <w:ilvl w:val="2"/>
          <w:numId w:val="6"/>
        </w:numPr>
        <w:tabs>
          <w:tab w:pos="1280" w:val="left" w:leader="none"/>
        </w:tabs>
        <w:spacing w:line="240" w:lineRule="auto" w:before="1" w:after="0"/>
        <w:ind w:left="1280" w:right="0" w:hanging="720"/>
        <w:jc w:val="left"/>
      </w:pPr>
      <w:r>
        <w:rPr/>
        <w:t>Tumour</w:t>
      </w:r>
      <w:r>
        <w:rPr>
          <w:spacing w:val="-3"/>
        </w:rPr>
        <w:t> </w:t>
      </w:r>
      <w:r>
        <w:rPr/>
        <w:t>Necrosis</w:t>
      </w:r>
      <w:r>
        <w:rPr>
          <w:spacing w:val="-1"/>
        </w:rPr>
        <w:t> </w:t>
      </w:r>
      <w:r>
        <w:rPr/>
        <w:t>factor</w:t>
      </w:r>
      <w:r>
        <w:rPr>
          <w:spacing w:val="1"/>
        </w:rPr>
        <w:t> </w:t>
      </w:r>
      <w:r>
        <w:rPr/>
        <w:t>alpha</w:t>
      </w:r>
      <w:r>
        <w:rPr>
          <w:spacing w:val="-1"/>
        </w:rPr>
        <w:t> </w:t>
      </w:r>
      <w:r>
        <w:rPr>
          <w:spacing w:val="-2"/>
        </w:rPr>
        <w:t>(TNF</w:t>
      </w:r>
      <w:r>
        <w:rPr>
          <w:rFonts w:ascii="Symbol" w:hAnsi="Symbol"/>
          <w:b w:val="0"/>
          <w:spacing w:val="-2"/>
        </w:rPr>
        <w:t></w:t>
      </w:r>
      <w:r>
        <w:rPr>
          <w:spacing w:val="-2"/>
        </w:rPr>
        <w:t>)</w:t>
      </w:r>
    </w:p>
    <w:p>
      <w:pPr>
        <w:pStyle w:val="BodyText"/>
        <w:spacing w:before="11"/>
        <w:rPr>
          <w:b/>
        </w:rPr>
      </w:pPr>
    </w:p>
    <w:p>
      <w:pPr>
        <w:pStyle w:val="BodyText"/>
        <w:spacing w:line="480" w:lineRule="auto"/>
        <w:ind w:left="560" w:right="793"/>
        <w:jc w:val="both"/>
      </w:pPr>
      <w:r>
        <w:rPr/>
        <w:t>Tumour Necrosis Factor alphais a proinflammatory cytokine produced predominantly by macrophages.</w:t>
      </w:r>
      <w:r>
        <w:rPr>
          <w:spacing w:val="40"/>
        </w:rPr>
        <w:t> </w:t>
      </w:r>
      <w:r>
        <w:rPr/>
        <w:t>It enhances the killing of intracellular parasites and may induce cachexia. The induction of cachexia is by</w:t>
      </w:r>
      <w:r>
        <w:rPr>
          <w:spacing w:val="-4"/>
        </w:rPr>
        <w:t> </w:t>
      </w:r>
      <w:r>
        <w:rPr/>
        <w:t>inhibiting lipoprotein lipase in adipose tissue thereby</w:t>
      </w:r>
      <w:r>
        <w:rPr>
          <w:spacing w:val="-2"/>
        </w:rPr>
        <w:t> </w:t>
      </w:r>
      <w:r>
        <w:rPr/>
        <w:t>reducing the utilization of fatty acids. In addition, it is a potent pyrogeninducing fever and septic shock (Warren, 2010). It is suggested</w:t>
      </w:r>
      <w:r>
        <w:rPr>
          <w:spacing w:val="-1"/>
        </w:rPr>
        <w:t> </w:t>
      </w:r>
      <w:r>
        <w:rPr/>
        <w:t>that TNF</w:t>
      </w:r>
      <w:r>
        <w:rPr>
          <w:rFonts w:ascii="Symbol" w:hAnsi="Symbol"/>
        </w:rPr>
        <w:t></w:t>
      </w:r>
      <w:r>
        <w:rPr>
          <w:spacing w:val="-5"/>
        </w:rPr>
        <w:t> </w:t>
      </w:r>
      <w:r>
        <w:rPr/>
        <w:t>plays an important role</w:t>
      </w:r>
      <w:r>
        <w:rPr>
          <w:spacing w:val="-2"/>
        </w:rPr>
        <w:t> </w:t>
      </w:r>
      <w:r>
        <w:rPr/>
        <w:t>in rheumatoid arthritis as it is elevated in such disorder (Venugopal, 2007).</w:t>
      </w:r>
    </w:p>
    <w:p>
      <w:pPr>
        <w:pStyle w:val="BodyText"/>
      </w:pPr>
    </w:p>
    <w:p>
      <w:pPr>
        <w:pStyle w:val="BodyText"/>
        <w:spacing w:before="5"/>
      </w:pPr>
    </w:p>
    <w:p>
      <w:pPr>
        <w:pStyle w:val="Heading2"/>
        <w:tabs>
          <w:tab w:pos="1280" w:val="left" w:leader="none"/>
        </w:tabs>
      </w:pPr>
      <w:r>
        <w:rPr>
          <w:spacing w:val="-5"/>
        </w:rPr>
        <w:t>2.3</w:t>
      </w:r>
      <w:r>
        <w:rPr/>
        <w:tab/>
        <w:t>CYTOKINES</w:t>
      </w:r>
      <w:r>
        <w:rPr>
          <w:spacing w:val="-2"/>
        </w:rPr>
        <w:t> </w:t>
      </w:r>
      <w:r>
        <w:rPr/>
        <w:t>AND</w:t>
      </w:r>
      <w:r>
        <w:rPr>
          <w:spacing w:val="-1"/>
        </w:rPr>
        <w:t> </w:t>
      </w:r>
      <w:r>
        <w:rPr>
          <w:spacing w:val="-2"/>
        </w:rPr>
        <w:t>PREGNANCY</w:t>
      </w:r>
    </w:p>
    <w:p>
      <w:pPr>
        <w:pStyle w:val="BodyText"/>
        <w:spacing w:line="480" w:lineRule="auto" w:before="272"/>
        <w:ind w:left="560" w:right="791"/>
        <w:jc w:val="both"/>
      </w:pPr>
      <w:r>
        <w:rPr/>
        <w:t>Report exists that under normal condition changes occur in the cytokine profile of the pregnant women and in transformations that take placein the maternal systemic and at thematernal-foetal interface to ensure successful delivery of healthy infants (Sacks, </w:t>
      </w:r>
      <w:r>
        <w:rPr>
          <w:i/>
        </w:rPr>
        <w:t>et al.,</w:t>
      </w:r>
      <w:r>
        <w:rPr/>
        <w:t>2003; Kraus </w:t>
      </w:r>
      <w:r>
        <w:rPr>
          <w:i/>
        </w:rPr>
        <w:t>et al., </w:t>
      </w:r>
      <w:r>
        <w:rPr/>
        <w:t>2010). During pregnancy, semi-allogenic foetal tissue is directly exposed to the maternal blood which incidentally invades the maternal decidua. This may involve an attack on the foetus by the immune system of the mother. However, the foetus escapes attack or rejection; being tolerated by the induction of several agonist such as the secretion of cytokines.Theseresults in the alteration of the immune system of the mother (Lashley </w:t>
      </w:r>
      <w:r>
        <w:rPr>
          <w:i/>
        </w:rPr>
        <w:t>et al.,</w:t>
      </w:r>
      <w:r>
        <w:rPr/>
        <w:t>2011).The altered immune system primarily causes sensitization of the maternalcells by the foetal cells (Lashley </w:t>
      </w:r>
      <w:r>
        <w:rPr>
          <w:i/>
        </w:rPr>
        <w:t>et al.,</w:t>
      </w:r>
      <w:r>
        <w:rPr/>
        <w:t>2011). The sensitization of the maternal cells may occur locally at the maternal-foetal interface via processing of major histocompatibility complex (MHC) alloantigens by antigen presenting cells and/or in the systemic maternal circulation</w:t>
      </w:r>
      <w:r>
        <w:rPr>
          <w:spacing w:val="33"/>
        </w:rPr>
        <w:t>  </w:t>
      </w:r>
      <w:r>
        <w:rPr/>
        <w:t>via</w:t>
      </w:r>
      <w:r>
        <w:rPr>
          <w:spacing w:val="34"/>
        </w:rPr>
        <w:t>  </w:t>
      </w:r>
      <w:r>
        <w:rPr/>
        <w:t>the</w:t>
      </w:r>
      <w:r>
        <w:rPr>
          <w:spacing w:val="34"/>
        </w:rPr>
        <w:t>  </w:t>
      </w:r>
      <w:r>
        <w:rPr/>
        <w:t>entering</w:t>
      </w:r>
      <w:r>
        <w:rPr>
          <w:spacing w:val="34"/>
        </w:rPr>
        <w:t>  </w:t>
      </w:r>
      <w:r>
        <w:rPr/>
        <w:t>of</w:t>
      </w:r>
      <w:r>
        <w:rPr>
          <w:spacing w:val="34"/>
        </w:rPr>
        <w:t>  </w:t>
      </w:r>
      <w:r>
        <w:rPr/>
        <w:t>foetal</w:t>
      </w:r>
      <w:r>
        <w:rPr>
          <w:spacing w:val="34"/>
        </w:rPr>
        <w:t>  </w:t>
      </w:r>
      <w:r>
        <w:rPr/>
        <w:t>cells.</w:t>
      </w:r>
      <w:r>
        <w:rPr>
          <w:spacing w:val="34"/>
        </w:rPr>
        <w:t>  </w:t>
      </w:r>
      <w:r>
        <w:rPr/>
        <w:t>The</w:t>
      </w:r>
      <w:r>
        <w:rPr>
          <w:spacing w:val="34"/>
        </w:rPr>
        <w:t>  </w:t>
      </w:r>
      <w:r>
        <w:rPr/>
        <w:t>foetal</w:t>
      </w:r>
      <w:r>
        <w:rPr>
          <w:spacing w:val="34"/>
        </w:rPr>
        <w:t>  </w:t>
      </w:r>
      <w:r>
        <w:rPr/>
        <w:t>cells</w:t>
      </w:r>
      <w:r>
        <w:rPr>
          <w:spacing w:val="35"/>
        </w:rPr>
        <w:t>  </w:t>
      </w:r>
      <w:r>
        <w:rPr/>
        <w:t>may</w:t>
      </w:r>
      <w:r>
        <w:rPr>
          <w:spacing w:val="32"/>
        </w:rPr>
        <w:t>  </w:t>
      </w:r>
      <w:r>
        <w:rPr/>
        <w:t>consist</w:t>
      </w:r>
      <w:r>
        <w:rPr>
          <w:spacing w:val="35"/>
        </w:rPr>
        <w:t>  </w:t>
      </w:r>
      <w:r>
        <w:rPr/>
        <w:t>of</w:t>
      </w:r>
      <w:r>
        <w:rPr>
          <w:spacing w:val="34"/>
        </w:rPr>
        <w:t>  </w:t>
      </w:r>
      <w:r>
        <w:rPr>
          <w:spacing w:val="-5"/>
        </w:rPr>
        <w:t>the</w:t>
      </w:r>
    </w:p>
    <w:p>
      <w:pPr>
        <w:spacing w:after="0" w:line="480" w:lineRule="auto"/>
        <w:jc w:val="both"/>
        <w:sectPr>
          <w:pgSz w:w="11910" w:h="16840"/>
          <w:pgMar w:header="0" w:footer="1067" w:top="1060" w:bottom="1260" w:left="880" w:right="640"/>
        </w:sectPr>
      </w:pPr>
    </w:p>
    <w:p>
      <w:pPr>
        <w:pStyle w:val="BodyText"/>
        <w:spacing w:line="480" w:lineRule="auto" w:before="70"/>
        <w:ind w:left="560" w:right="799"/>
        <w:jc w:val="both"/>
      </w:pPr>
      <w:r>
        <w:rPr/>
        <w:t>syncytiotrophoblast</w:t>
      </w:r>
      <w:r>
        <w:rPr>
          <w:spacing w:val="-4"/>
        </w:rPr>
        <w:t> </w:t>
      </w:r>
      <w:r>
        <w:rPr/>
        <w:t>fragments,</w:t>
      </w:r>
      <w:r>
        <w:rPr>
          <w:spacing w:val="-4"/>
        </w:rPr>
        <w:t> </w:t>
      </w:r>
      <w:r>
        <w:rPr/>
        <w:t>feotal</w:t>
      </w:r>
      <w:r>
        <w:rPr>
          <w:spacing w:val="-3"/>
        </w:rPr>
        <w:t> </w:t>
      </w:r>
      <w:r>
        <w:rPr/>
        <w:t>deoxyribonucleic</w:t>
      </w:r>
      <w:r>
        <w:rPr>
          <w:spacing w:val="-5"/>
        </w:rPr>
        <w:t> </w:t>
      </w:r>
      <w:r>
        <w:rPr/>
        <w:t>acid</w:t>
      </w:r>
      <w:r>
        <w:rPr>
          <w:spacing w:val="-4"/>
        </w:rPr>
        <w:t> </w:t>
      </w:r>
      <w:r>
        <w:rPr/>
        <w:t>(DNA),</w:t>
      </w:r>
      <w:r>
        <w:rPr>
          <w:spacing w:val="-4"/>
        </w:rPr>
        <w:t> </w:t>
      </w:r>
      <w:r>
        <w:rPr/>
        <w:t>the</w:t>
      </w:r>
      <w:r>
        <w:rPr>
          <w:spacing w:val="-3"/>
        </w:rPr>
        <w:t> </w:t>
      </w:r>
      <w:r>
        <w:rPr/>
        <w:t>whole</w:t>
      </w:r>
      <w:r>
        <w:rPr>
          <w:spacing w:val="-4"/>
        </w:rPr>
        <w:t> </w:t>
      </w:r>
      <w:r>
        <w:rPr/>
        <w:t>cell</w:t>
      </w:r>
      <w:r>
        <w:rPr>
          <w:spacing w:val="-2"/>
        </w:rPr>
        <w:t> </w:t>
      </w:r>
      <w:r>
        <w:rPr/>
        <w:t>and</w:t>
      </w:r>
      <w:r>
        <w:rPr>
          <w:spacing w:val="-2"/>
        </w:rPr>
        <w:t> </w:t>
      </w:r>
      <w:r>
        <w:rPr/>
        <w:t>debris from apoptotic cells.</w:t>
      </w:r>
    </w:p>
    <w:p>
      <w:pPr>
        <w:pStyle w:val="BodyText"/>
        <w:spacing w:line="480" w:lineRule="auto" w:before="1"/>
        <w:ind w:left="560" w:right="795"/>
        <w:jc w:val="both"/>
      </w:pPr>
      <w:r>
        <w:rPr/>
        <w:t>Some reasons have been given to explain the changes that occur in cytokine profile during pregnancy. Firstly, it is stated that the cytokines in the plasma or serum initially are predominantly</w:t>
      </w:r>
      <w:r>
        <w:rPr>
          <w:spacing w:val="-6"/>
        </w:rPr>
        <w:t> </w:t>
      </w:r>
      <w:r>
        <w:rPr/>
        <w:t>pro-inflammatory</w:t>
      </w:r>
      <w:r>
        <w:rPr>
          <w:spacing w:val="-4"/>
        </w:rPr>
        <w:t> </w:t>
      </w:r>
      <w:r>
        <w:rPr/>
        <w:t>(Type1) where circulating</w:t>
      </w:r>
      <w:r>
        <w:rPr>
          <w:spacing w:val="-1"/>
        </w:rPr>
        <w:t> </w:t>
      </w:r>
      <w:r>
        <w:rPr/>
        <w:t>monocytes are</w:t>
      </w:r>
      <w:r>
        <w:rPr>
          <w:spacing w:val="-2"/>
        </w:rPr>
        <w:t> </w:t>
      </w:r>
      <w:r>
        <w:rPr/>
        <w:t>primed</w:t>
      </w:r>
      <w:r>
        <w:rPr>
          <w:spacing w:val="-1"/>
        </w:rPr>
        <w:t> </w:t>
      </w:r>
      <w:r>
        <w:rPr/>
        <w:t>to</w:t>
      </w:r>
      <w:r>
        <w:rPr>
          <w:spacing w:val="-1"/>
        </w:rPr>
        <w:t> </w:t>
      </w:r>
      <w:r>
        <w:rPr/>
        <w:t>produce more T</w:t>
      </w:r>
      <w:r>
        <w:rPr>
          <w:vertAlign w:val="subscript"/>
        </w:rPr>
        <w:t>H</w:t>
      </w:r>
      <w:r>
        <w:rPr>
          <w:vertAlign w:val="baseline"/>
        </w:rPr>
        <w:t>1 cytokines (Sacks, </w:t>
      </w:r>
      <w:r>
        <w:rPr>
          <w:i/>
          <w:vertAlign w:val="baseline"/>
        </w:rPr>
        <w:t>et al., </w:t>
      </w:r>
      <w:r>
        <w:rPr>
          <w:vertAlign w:val="baseline"/>
        </w:rPr>
        <w:t>2003). These are crucial in immuno-surveillance against pathogens (Szoba </w:t>
      </w:r>
      <w:r>
        <w:rPr>
          <w:i/>
          <w:vertAlign w:val="baseline"/>
        </w:rPr>
        <w:t>et al.,</w:t>
      </w:r>
      <w:r>
        <w:rPr>
          <w:vertAlign w:val="baseline"/>
        </w:rPr>
        <w:t>2003).</w:t>
      </w:r>
    </w:p>
    <w:p>
      <w:pPr>
        <w:pStyle w:val="BodyText"/>
      </w:pPr>
    </w:p>
    <w:p>
      <w:pPr>
        <w:pStyle w:val="BodyText"/>
        <w:spacing w:line="480" w:lineRule="auto"/>
        <w:ind w:left="560" w:right="794"/>
        <w:jc w:val="both"/>
      </w:pPr>
      <w:r>
        <w:rPr/>
        <w:t>As pregnancy progresses, the immune system especially at the maternal-foetal interface gradually</w:t>
      </w:r>
      <w:r>
        <w:rPr>
          <w:spacing w:val="-5"/>
        </w:rPr>
        <w:t> </w:t>
      </w:r>
      <w:r>
        <w:rPr/>
        <w:t>becomes biased towards</w:t>
      </w:r>
      <w:r>
        <w:rPr>
          <w:spacing w:val="40"/>
        </w:rPr>
        <w:t> </w:t>
      </w:r>
      <w:r>
        <w:rPr/>
        <w:t>humoral defence</w:t>
      </w:r>
      <w:r>
        <w:rPr>
          <w:spacing w:val="-1"/>
        </w:rPr>
        <w:t> </w:t>
      </w:r>
      <w:r>
        <w:rPr/>
        <w:t>mechanism, invert the</w:t>
      </w:r>
      <w:r>
        <w:rPr>
          <w:spacing w:val="-1"/>
        </w:rPr>
        <w:t> </w:t>
      </w:r>
      <w:r>
        <w:rPr/>
        <w:t>cytokine</w:t>
      </w:r>
      <w:r>
        <w:rPr>
          <w:spacing w:val="-1"/>
        </w:rPr>
        <w:t> </w:t>
      </w:r>
      <w:r>
        <w:rPr/>
        <w:t>ratio and becomes dominant with regulatory (Type 2) cytokines (Murphy </w:t>
      </w:r>
      <w:r>
        <w:rPr>
          <w:i/>
        </w:rPr>
        <w:t>et al.,</w:t>
      </w:r>
      <w:r>
        <w:rPr/>
        <w:t>2009). The systematic transition to type 2 cytokine is required to avoid overexpression of type 1 which could be harmful and may compromise the viability of the foetus (Wegmann </w:t>
      </w:r>
      <w:r>
        <w:rPr>
          <w:i/>
        </w:rPr>
        <w:t>et al.,</w:t>
      </w:r>
      <w:r>
        <w:rPr/>
        <w:t>1993). Also the</w:t>
      </w:r>
      <w:r>
        <w:rPr>
          <w:spacing w:val="40"/>
        </w:rPr>
        <w:t> </w:t>
      </w:r>
      <w:r>
        <w:rPr/>
        <w:t>shift to type-2 cytokine dominance</w:t>
      </w:r>
      <w:r>
        <w:rPr>
          <w:spacing w:val="-1"/>
        </w:rPr>
        <w:t> </w:t>
      </w:r>
      <w:r>
        <w:rPr/>
        <w:t>is most vital forthe</w:t>
      </w:r>
      <w:r>
        <w:rPr>
          <w:spacing w:val="-1"/>
        </w:rPr>
        <w:t> </w:t>
      </w:r>
      <w:r>
        <w:rPr/>
        <w:t>protection of</w:t>
      </w:r>
      <w:r>
        <w:rPr>
          <w:spacing w:val="-1"/>
        </w:rPr>
        <w:t> </w:t>
      </w:r>
      <w:r>
        <w:rPr/>
        <w:t>the foetal allograft which allows pregnancy to grow without rejection (Germain </w:t>
      </w:r>
      <w:r>
        <w:rPr>
          <w:i/>
        </w:rPr>
        <w:t>et al.,</w:t>
      </w:r>
      <w:r>
        <w:rPr/>
        <w:t>2007). These reasons could account to why the foetal trophoblasts and maternal leukocytes secrete predominantly Interleukin 10 (IL-10) and cytolytic type responses to prevent initiation of inflammatory responses and damage of the maternal-feotal placental barrier (Lin</w:t>
      </w:r>
      <w:r>
        <w:rPr>
          <w:i/>
        </w:rPr>
        <w:t>et al.,</w:t>
      </w:r>
      <w:r>
        <w:rPr/>
        <w:t>1993; Bennet</w:t>
      </w:r>
      <w:r>
        <w:rPr>
          <w:i/>
        </w:rPr>
        <w:t>et al.,</w:t>
      </w:r>
      <w:r>
        <w:rPr/>
        <w:t>1999). Consequently, asuccessful pregnancy is characterized by predominance of T</w:t>
      </w:r>
      <w:r>
        <w:rPr>
          <w:vertAlign w:val="subscript"/>
        </w:rPr>
        <w:t>H</w:t>
      </w:r>
      <w:r>
        <w:rPr>
          <w:vertAlign w:val="baseline"/>
        </w:rPr>
        <w:t>2 cytokines at the maternal foetal interphase which downregulates or suppresses the potential harmful effect of the T</w:t>
      </w:r>
      <w:r>
        <w:rPr>
          <w:vertAlign w:val="subscript"/>
        </w:rPr>
        <w:t>H</w:t>
      </w:r>
      <w:r>
        <w:rPr>
          <w:vertAlign w:val="baseline"/>
        </w:rPr>
        <w:t>1 cytokine profile (Fried </w:t>
      </w:r>
      <w:r>
        <w:rPr>
          <w:i/>
          <w:vertAlign w:val="baseline"/>
        </w:rPr>
        <w:t>et al.,</w:t>
      </w:r>
      <w:r>
        <w:rPr>
          <w:vertAlign w:val="baseline"/>
        </w:rPr>
        <w:t>1998).</w:t>
      </w:r>
    </w:p>
    <w:p>
      <w:pPr>
        <w:pStyle w:val="BodyText"/>
        <w:spacing w:before="2"/>
      </w:pPr>
    </w:p>
    <w:p>
      <w:pPr>
        <w:pStyle w:val="BodyText"/>
        <w:spacing w:line="480" w:lineRule="auto"/>
        <w:ind w:left="560" w:right="795"/>
        <w:jc w:val="both"/>
      </w:pPr>
      <w:r>
        <w:rPr/>
        <w:t>Furthermore, the changes that occur in the</w:t>
      </w:r>
      <w:r>
        <w:rPr>
          <w:spacing w:val="-1"/>
        </w:rPr>
        <w:t> </w:t>
      </w:r>
      <w:r>
        <w:rPr/>
        <w:t>cytokine</w:t>
      </w:r>
      <w:r>
        <w:rPr>
          <w:spacing w:val="-1"/>
        </w:rPr>
        <w:t> </w:t>
      </w:r>
      <w:r>
        <w:rPr/>
        <w:t>profile</w:t>
      </w:r>
      <w:r>
        <w:rPr>
          <w:spacing w:val="-1"/>
        </w:rPr>
        <w:t> </w:t>
      </w:r>
      <w:r>
        <w:rPr/>
        <w:t>of</w:t>
      </w:r>
      <w:r>
        <w:rPr>
          <w:spacing w:val="-1"/>
        </w:rPr>
        <w:t> </w:t>
      </w:r>
      <w:r>
        <w:rPr/>
        <w:t>normal pregnancy results in the balance in the ratio of T</w:t>
      </w:r>
      <w:r>
        <w:rPr>
          <w:vertAlign w:val="subscript"/>
        </w:rPr>
        <w:t>H</w:t>
      </w:r>
      <w:r>
        <w:rPr>
          <w:vertAlign w:val="baseline"/>
        </w:rPr>
        <w:t>1/T</w:t>
      </w:r>
      <w:r>
        <w:rPr>
          <w:vertAlign w:val="subscript"/>
        </w:rPr>
        <w:t>H</w:t>
      </w:r>
      <w:r>
        <w:rPr>
          <w:vertAlign w:val="baseline"/>
        </w:rPr>
        <w:t>2 cytokines. Some researchers posited that there is usually a balance in the level of T</w:t>
      </w:r>
      <w:r>
        <w:rPr>
          <w:vertAlign w:val="subscript"/>
        </w:rPr>
        <w:t>H</w:t>
      </w:r>
      <w:r>
        <w:rPr>
          <w:vertAlign w:val="baseline"/>
        </w:rPr>
        <w:t>1/T</w:t>
      </w:r>
      <w:r>
        <w:rPr>
          <w:vertAlign w:val="subscript"/>
        </w:rPr>
        <w:t>H</w:t>
      </w:r>
      <w:r>
        <w:rPr>
          <w:vertAlign w:val="baseline"/>
        </w:rPr>
        <w:t>2 cytokine in normal pregnancy (Bartha </w:t>
      </w:r>
      <w:r>
        <w:rPr>
          <w:i/>
          <w:vertAlign w:val="baseline"/>
        </w:rPr>
        <w:t>et al.,</w:t>
      </w:r>
      <w:r>
        <w:rPr>
          <w:vertAlign w:val="baseline"/>
        </w:rPr>
        <w:t>2003;Keelan </w:t>
      </w:r>
      <w:r>
        <w:rPr>
          <w:i/>
          <w:vertAlign w:val="baseline"/>
        </w:rPr>
        <w:t>et al.,</w:t>
      </w:r>
      <w:r>
        <w:rPr>
          <w:vertAlign w:val="baseline"/>
        </w:rPr>
        <w:t>2003; Parasisi </w:t>
      </w:r>
      <w:r>
        <w:rPr>
          <w:i/>
          <w:vertAlign w:val="baseline"/>
        </w:rPr>
        <w:t>et al.,</w:t>
      </w:r>
      <w:r>
        <w:rPr>
          <w:vertAlign w:val="baseline"/>
        </w:rPr>
        <w:t>2003). The balance between pro and anti-inflammatory cytokines is essential</w:t>
      </w:r>
      <w:r>
        <w:rPr>
          <w:spacing w:val="49"/>
          <w:w w:val="150"/>
          <w:vertAlign w:val="baseline"/>
        </w:rPr>
        <w:t> </w:t>
      </w:r>
      <w:r>
        <w:rPr>
          <w:vertAlign w:val="baseline"/>
        </w:rPr>
        <w:t>for</w:t>
      </w:r>
      <w:r>
        <w:rPr>
          <w:spacing w:val="52"/>
          <w:w w:val="150"/>
          <w:vertAlign w:val="baseline"/>
        </w:rPr>
        <w:t> </w:t>
      </w:r>
      <w:r>
        <w:rPr>
          <w:vertAlign w:val="baseline"/>
        </w:rPr>
        <w:t>implantation,</w:t>
      </w:r>
      <w:r>
        <w:rPr>
          <w:spacing w:val="51"/>
          <w:w w:val="150"/>
          <w:vertAlign w:val="baseline"/>
        </w:rPr>
        <w:t> </w:t>
      </w:r>
      <w:r>
        <w:rPr>
          <w:vertAlign w:val="baseline"/>
        </w:rPr>
        <w:t>placental</w:t>
      </w:r>
      <w:r>
        <w:rPr>
          <w:spacing w:val="54"/>
          <w:w w:val="150"/>
          <w:vertAlign w:val="baseline"/>
        </w:rPr>
        <w:t> </w:t>
      </w:r>
      <w:r>
        <w:rPr>
          <w:vertAlign w:val="baseline"/>
        </w:rPr>
        <w:t>development</w:t>
      </w:r>
      <w:r>
        <w:rPr>
          <w:spacing w:val="51"/>
          <w:w w:val="150"/>
          <w:vertAlign w:val="baseline"/>
        </w:rPr>
        <w:t> </w:t>
      </w:r>
      <w:r>
        <w:rPr>
          <w:vertAlign w:val="baseline"/>
        </w:rPr>
        <w:t>and</w:t>
      </w:r>
      <w:r>
        <w:rPr>
          <w:spacing w:val="51"/>
          <w:w w:val="150"/>
          <w:vertAlign w:val="baseline"/>
        </w:rPr>
        <w:t> </w:t>
      </w:r>
      <w:r>
        <w:rPr>
          <w:vertAlign w:val="baseline"/>
        </w:rPr>
        <w:t>pregnancy</w:t>
      </w:r>
      <w:r>
        <w:rPr>
          <w:spacing w:val="76"/>
          <w:vertAlign w:val="baseline"/>
        </w:rPr>
        <w:t> </w:t>
      </w:r>
      <w:r>
        <w:rPr>
          <w:vertAlign w:val="baseline"/>
        </w:rPr>
        <w:t>outcome</w:t>
      </w:r>
      <w:r>
        <w:rPr>
          <w:spacing w:val="55"/>
          <w:w w:val="150"/>
          <w:vertAlign w:val="baseline"/>
        </w:rPr>
        <w:t> </w:t>
      </w:r>
      <w:r>
        <w:rPr>
          <w:spacing w:val="-2"/>
          <w:vertAlign w:val="baseline"/>
        </w:rPr>
        <w:t>(Niederkorn,</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pPr>
      <w:r>
        <w:rPr/>
        <w:t>2006).</w:t>
      </w:r>
      <w:r>
        <w:rPr>
          <w:spacing w:val="80"/>
          <w:w w:val="150"/>
        </w:rPr>
        <w:t> </w:t>
      </w:r>
      <w:r>
        <w:rPr/>
        <w:t>Changes</w:t>
      </w:r>
      <w:r>
        <w:rPr>
          <w:spacing w:val="31"/>
        </w:rPr>
        <w:t> </w:t>
      </w:r>
      <w:r>
        <w:rPr/>
        <w:t>or</w:t>
      </w:r>
      <w:r>
        <w:rPr>
          <w:spacing w:val="30"/>
        </w:rPr>
        <w:t> </w:t>
      </w:r>
      <w:r>
        <w:rPr/>
        <w:t>imbalance</w:t>
      </w:r>
      <w:r>
        <w:rPr>
          <w:spacing w:val="30"/>
        </w:rPr>
        <w:t> </w:t>
      </w:r>
      <w:r>
        <w:rPr/>
        <w:t>in</w:t>
      </w:r>
      <w:r>
        <w:rPr>
          <w:spacing w:val="31"/>
        </w:rPr>
        <w:t> </w:t>
      </w:r>
      <w:r>
        <w:rPr/>
        <w:t>the</w:t>
      </w:r>
      <w:r>
        <w:rPr>
          <w:spacing w:val="30"/>
        </w:rPr>
        <w:t> </w:t>
      </w:r>
      <w:r>
        <w:rPr/>
        <w:t>ratio</w:t>
      </w:r>
      <w:r>
        <w:rPr>
          <w:spacing w:val="31"/>
        </w:rPr>
        <w:t> </w:t>
      </w:r>
      <w:r>
        <w:rPr/>
        <w:t>of</w:t>
      </w:r>
      <w:r>
        <w:rPr>
          <w:spacing w:val="30"/>
        </w:rPr>
        <w:t> </w:t>
      </w:r>
      <w:r>
        <w:rPr/>
        <w:t>T</w:t>
      </w:r>
      <w:r>
        <w:rPr>
          <w:vertAlign w:val="subscript"/>
        </w:rPr>
        <w:t>H</w:t>
      </w:r>
      <w:r>
        <w:rPr>
          <w:vertAlign w:val="baseline"/>
        </w:rPr>
        <w:t>1/T</w:t>
      </w:r>
      <w:r>
        <w:rPr>
          <w:vertAlign w:val="subscript"/>
        </w:rPr>
        <w:t>H</w:t>
      </w:r>
      <w:r>
        <w:rPr>
          <w:vertAlign w:val="baseline"/>
        </w:rPr>
        <w:t>2</w:t>
      </w:r>
      <w:r>
        <w:rPr>
          <w:spacing w:val="31"/>
          <w:vertAlign w:val="baseline"/>
        </w:rPr>
        <w:t> </w:t>
      </w:r>
      <w:r>
        <w:rPr>
          <w:vertAlign w:val="baseline"/>
        </w:rPr>
        <w:t>cytokine</w:t>
      </w:r>
      <w:r>
        <w:rPr>
          <w:spacing w:val="30"/>
          <w:vertAlign w:val="baseline"/>
        </w:rPr>
        <w:t> </w:t>
      </w:r>
      <w:r>
        <w:rPr>
          <w:vertAlign w:val="baseline"/>
        </w:rPr>
        <w:t>in</w:t>
      </w:r>
      <w:r>
        <w:rPr>
          <w:spacing w:val="31"/>
          <w:vertAlign w:val="baseline"/>
        </w:rPr>
        <w:t> </w:t>
      </w:r>
      <w:r>
        <w:rPr>
          <w:vertAlign w:val="baseline"/>
        </w:rPr>
        <w:t>favour</w:t>
      </w:r>
      <w:r>
        <w:rPr>
          <w:spacing w:val="30"/>
          <w:vertAlign w:val="baseline"/>
        </w:rPr>
        <w:t> </w:t>
      </w:r>
      <w:r>
        <w:rPr>
          <w:vertAlign w:val="baseline"/>
        </w:rPr>
        <w:t>of</w:t>
      </w:r>
      <w:r>
        <w:rPr>
          <w:spacing w:val="30"/>
          <w:vertAlign w:val="baseline"/>
        </w:rPr>
        <w:t> </w:t>
      </w:r>
      <w:r>
        <w:rPr>
          <w:vertAlign w:val="baseline"/>
        </w:rPr>
        <w:t>T</w:t>
      </w:r>
      <w:r>
        <w:rPr>
          <w:vertAlign w:val="subscript"/>
        </w:rPr>
        <w:t>H</w:t>
      </w:r>
      <w:r>
        <w:rPr>
          <w:vertAlign w:val="baseline"/>
        </w:rPr>
        <w:t>1</w:t>
      </w:r>
      <w:r>
        <w:rPr>
          <w:spacing w:val="31"/>
          <w:vertAlign w:val="baseline"/>
        </w:rPr>
        <w:t> </w:t>
      </w:r>
      <w:r>
        <w:rPr>
          <w:vertAlign w:val="baseline"/>
        </w:rPr>
        <w:t>cytokine could</w:t>
      </w:r>
      <w:r>
        <w:rPr>
          <w:spacing w:val="40"/>
          <w:vertAlign w:val="baseline"/>
        </w:rPr>
        <w:t> </w:t>
      </w:r>
      <w:r>
        <w:rPr>
          <w:vertAlign w:val="baseline"/>
        </w:rPr>
        <w:t>be</w:t>
      </w:r>
      <w:r>
        <w:rPr>
          <w:spacing w:val="40"/>
          <w:vertAlign w:val="baseline"/>
        </w:rPr>
        <w:t> </w:t>
      </w:r>
      <w:r>
        <w:rPr>
          <w:vertAlign w:val="baseline"/>
        </w:rPr>
        <w:t>associated</w:t>
      </w:r>
      <w:r>
        <w:rPr>
          <w:spacing w:val="40"/>
          <w:vertAlign w:val="baseline"/>
        </w:rPr>
        <w:t> </w:t>
      </w:r>
      <w:r>
        <w:rPr>
          <w:vertAlign w:val="baseline"/>
        </w:rPr>
        <w:t>with</w:t>
      </w:r>
      <w:r>
        <w:rPr>
          <w:spacing w:val="40"/>
          <w:vertAlign w:val="baseline"/>
        </w:rPr>
        <w:t> </w:t>
      </w:r>
      <w:r>
        <w:rPr>
          <w:vertAlign w:val="baseline"/>
        </w:rPr>
        <w:t>adverse</w:t>
      </w:r>
      <w:r>
        <w:rPr>
          <w:spacing w:val="40"/>
          <w:vertAlign w:val="baseline"/>
        </w:rPr>
        <w:t> </w:t>
      </w:r>
      <w:r>
        <w:rPr>
          <w:vertAlign w:val="baseline"/>
        </w:rPr>
        <w:t>pregnancy</w:t>
      </w:r>
      <w:r>
        <w:rPr>
          <w:spacing w:val="40"/>
          <w:vertAlign w:val="baseline"/>
        </w:rPr>
        <w:t> </w:t>
      </w:r>
      <w:r>
        <w:rPr>
          <w:vertAlign w:val="baseline"/>
        </w:rPr>
        <w:t>outcome</w:t>
      </w:r>
      <w:r>
        <w:rPr>
          <w:spacing w:val="40"/>
          <w:vertAlign w:val="baseline"/>
        </w:rPr>
        <w:t> </w:t>
      </w:r>
      <w:r>
        <w:rPr>
          <w:vertAlign w:val="baseline"/>
        </w:rPr>
        <w:t>such</w:t>
      </w:r>
      <w:r>
        <w:rPr>
          <w:spacing w:val="40"/>
          <w:vertAlign w:val="baseline"/>
        </w:rPr>
        <w:t> </w:t>
      </w:r>
      <w:r>
        <w:rPr>
          <w:vertAlign w:val="baseline"/>
        </w:rPr>
        <w:t>as</w:t>
      </w:r>
      <w:r>
        <w:rPr>
          <w:spacing w:val="40"/>
          <w:vertAlign w:val="baseline"/>
        </w:rPr>
        <w:t> </w:t>
      </w:r>
      <w:r>
        <w:rPr>
          <w:vertAlign w:val="baseline"/>
        </w:rPr>
        <w:t>gestational</w:t>
      </w:r>
      <w:r>
        <w:rPr>
          <w:spacing w:val="40"/>
          <w:vertAlign w:val="baseline"/>
        </w:rPr>
        <w:t> </w:t>
      </w:r>
      <w:r>
        <w:rPr>
          <w:vertAlign w:val="baseline"/>
        </w:rPr>
        <w:t>complication,</w:t>
      </w:r>
      <w:r>
        <w:rPr>
          <w:spacing w:val="80"/>
          <w:vertAlign w:val="baseline"/>
        </w:rPr>
        <w:t> </w:t>
      </w:r>
      <w:r>
        <w:rPr>
          <w:vertAlign w:val="baseline"/>
        </w:rPr>
        <w:t>spontaneous abortion, foetal loss, preterm delivery and ecclampsia (Raghupathy </w:t>
      </w:r>
      <w:r>
        <w:rPr>
          <w:i/>
          <w:vertAlign w:val="baseline"/>
        </w:rPr>
        <w:t>et al.,</w:t>
      </w:r>
      <w:r>
        <w:rPr>
          <w:vertAlign w:val="baseline"/>
        </w:rPr>
        <w:t>2000). In</w:t>
      </w:r>
      <w:r>
        <w:rPr>
          <w:spacing w:val="29"/>
          <w:vertAlign w:val="baseline"/>
        </w:rPr>
        <w:t> </w:t>
      </w:r>
      <w:r>
        <w:rPr>
          <w:vertAlign w:val="baseline"/>
        </w:rPr>
        <w:t>a</w:t>
      </w:r>
      <w:r>
        <w:rPr>
          <w:spacing w:val="25"/>
          <w:vertAlign w:val="baseline"/>
        </w:rPr>
        <w:t> </w:t>
      </w:r>
      <w:r>
        <w:rPr>
          <w:vertAlign w:val="baseline"/>
        </w:rPr>
        <w:t>study in</w:t>
      </w:r>
      <w:r>
        <w:rPr>
          <w:spacing w:val="27"/>
          <w:vertAlign w:val="baseline"/>
        </w:rPr>
        <w:t> </w:t>
      </w:r>
      <w:r>
        <w:rPr>
          <w:vertAlign w:val="baseline"/>
        </w:rPr>
        <w:t>Kuwait</w:t>
      </w:r>
      <w:r>
        <w:rPr>
          <w:spacing w:val="27"/>
          <w:vertAlign w:val="baseline"/>
        </w:rPr>
        <w:t> </w:t>
      </w:r>
      <w:r>
        <w:rPr>
          <w:vertAlign w:val="baseline"/>
        </w:rPr>
        <w:t>and</w:t>
      </w:r>
      <w:r>
        <w:rPr>
          <w:spacing w:val="26"/>
          <w:vertAlign w:val="baseline"/>
        </w:rPr>
        <w:t> </w:t>
      </w:r>
      <w:r>
        <w:rPr>
          <w:vertAlign w:val="baseline"/>
        </w:rPr>
        <w:t>in</w:t>
      </w:r>
      <w:r>
        <w:rPr>
          <w:spacing w:val="27"/>
          <w:vertAlign w:val="baseline"/>
        </w:rPr>
        <w:t> </w:t>
      </w:r>
      <w:r>
        <w:rPr>
          <w:vertAlign w:val="baseline"/>
        </w:rPr>
        <w:t>determining</w:t>
      </w:r>
      <w:r>
        <w:rPr>
          <w:spacing w:val="27"/>
          <w:vertAlign w:val="baseline"/>
        </w:rPr>
        <w:t> </w:t>
      </w:r>
      <w:r>
        <w:rPr>
          <w:vertAlign w:val="baseline"/>
        </w:rPr>
        <w:t>the</w:t>
      </w:r>
      <w:r>
        <w:rPr>
          <w:spacing w:val="26"/>
          <w:vertAlign w:val="baseline"/>
        </w:rPr>
        <w:t> </w:t>
      </w:r>
      <w:r>
        <w:rPr>
          <w:vertAlign w:val="baseline"/>
        </w:rPr>
        <w:t>cytokine</w:t>
      </w:r>
      <w:r>
        <w:rPr>
          <w:spacing w:val="26"/>
          <w:vertAlign w:val="baseline"/>
        </w:rPr>
        <w:t> </w:t>
      </w:r>
      <w:r>
        <w:rPr>
          <w:vertAlign w:val="baseline"/>
        </w:rPr>
        <w:t>production</w:t>
      </w:r>
      <w:r>
        <w:rPr>
          <w:spacing w:val="26"/>
          <w:vertAlign w:val="baseline"/>
        </w:rPr>
        <w:t> </w:t>
      </w:r>
      <w:r>
        <w:rPr>
          <w:vertAlign w:val="baseline"/>
        </w:rPr>
        <w:t>by maternal</w:t>
      </w:r>
      <w:r>
        <w:rPr>
          <w:spacing w:val="27"/>
          <w:vertAlign w:val="baseline"/>
        </w:rPr>
        <w:t> </w:t>
      </w:r>
      <w:r>
        <w:rPr>
          <w:vertAlign w:val="baseline"/>
        </w:rPr>
        <w:t>lymphocytes during normal pregnancy (Raghupathy </w:t>
      </w:r>
      <w:r>
        <w:rPr>
          <w:i/>
          <w:vertAlign w:val="baseline"/>
        </w:rPr>
        <w:t>et al.,</w:t>
      </w:r>
      <w:r>
        <w:rPr>
          <w:vertAlign w:val="baseline"/>
        </w:rPr>
        <w:t>2000) shows that T</w:t>
      </w:r>
      <w:r>
        <w:rPr>
          <w:vertAlign w:val="subscript"/>
        </w:rPr>
        <w:t>H</w:t>
      </w:r>
      <w:r>
        <w:rPr>
          <w:vertAlign w:val="baseline"/>
        </w:rPr>
        <w:t>2 cytokines (IL-4 and</w:t>
      </w:r>
      <w:r>
        <w:rPr>
          <w:spacing w:val="26"/>
          <w:vertAlign w:val="baseline"/>
        </w:rPr>
        <w:t> </w:t>
      </w:r>
      <w:r>
        <w:rPr>
          <w:vertAlign w:val="baseline"/>
        </w:rPr>
        <w:t>IL-</w:t>
      </w:r>
      <w:r>
        <w:rPr>
          <w:spacing w:val="80"/>
          <w:vertAlign w:val="baseline"/>
        </w:rPr>
        <w:t> </w:t>
      </w:r>
      <w:r>
        <w:rPr>
          <w:vertAlign w:val="baseline"/>
        </w:rPr>
        <w:t>10) were present at significantly greater concentration in women in first trimester of normal gestation</w:t>
      </w:r>
      <w:r>
        <w:rPr>
          <w:spacing w:val="29"/>
          <w:vertAlign w:val="baseline"/>
        </w:rPr>
        <w:t> </w:t>
      </w:r>
      <w:r>
        <w:rPr>
          <w:vertAlign w:val="baseline"/>
        </w:rPr>
        <w:t>than women</w:t>
      </w:r>
      <w:r>
        <w:rPr>
          <w:spacing w:val="29"/>
          <w:vertAlign w:val="baseline"/>
        </w:rPr>
        <w:t> </w:t>
      </w:r>
      <w:r>
        <w:rPr>
          <w:vertAlign w:val="baseline"/>
        </w:rPr>
        <w:t>undergoing</w:t>
      </w:r>
      <w:r>
        <w:rPr>
          <w:spacing w:val="29"/>
          <w:vertAlign w:val="baseline"/>
        </w:rPr>
        <w:t> </w:t>
      </w:r>
      <w:r>
        <w:rPr>
          <w:vertAlign w:val="baseline"/>
        </w:rPr>
        <w:t>unexplained</w:t>
      </w:r>
      <w:r>
        <w:rPr>
          <w:spacing w:val="31"/>
          <w:vertAlign w:val="baseline"/>
        </w:rPr>
        <w:t> </w:t>
      </w:r>
      <w:r>
        <w:rPr>
          <w:vertAlign w:val="baseline"/>
        </w:rPr>
        <w:t>recurrent</w:t>
      </w:r>
      <w:r>
        <w:rPr>
          <w:spacing w:val="29"/>
          <w:vertAlign w:val="baseline"/>
        </w:rPr>
        <w:t> </w:t>
      </w:r>
      <w:r>
        <w:rPr>
          <w:vertAlign w:val="baseline"/>
        </w:rPr>
        <w:t>spontaneous</w:t>
      </w:r>
      <w:r>
        <w:rPr>
          <w:spacing w:val="32"/>
          <w:vertAlign w:val="baseline"/>
        </w:rPr>
        <w:t> </w:t>
      </w:r>
      <w:r>
        <w:rPr>
          <w:vertAlign w:val="baseline"/>
        </w:rPr>
        <w:t>abortion.</w:t>
      </w:r>
      <w:r>
        <w:rPr>
          <w:spacing w:val="31"/>
          <w:vertAlign w:val="baseline"/>
        </w:rPr>
        <w:t> </w:t>
      </w:r>
      <w:r>
        <w:rPr>
          <w:vertAlign w:val="baseline"/>
        </w:rPr>
        <w:t>In</w:t>
      </w:r>
      <w:r>
        <w:rPr>
          <w:spacing w:val="31"/>
          <w:vertAlign w:val="baseline"/>
        </w:rPr>
        <w:t> </w:t>
      </w:r>
      <w:r>
        <w:rPr>
          <w:vertAlign w:val="baseline"/>
        </w:rPr>
        <w:t>contrast, the</w:t>
      </w:r>
      <w:r>
        <w:rPr>
          <w:spacing w:val="32"/>
          <w:vertAlign w:val="baseline"/>
        </w:rPr>
        <w:t> </w:t>
      </w:r>
      <w:r>
        <w:rPr>
          <w:vertAlign w:val="baseline"/>
        </w:rPr>
        <w:t>T</w:t>
      </w:r>
      <w:r>
        <w:rPr>
          <w:vertAlign w:val="subscript"/>
        </w:rPr>
        <w:t>H</w:t>
      </w:r>
      <w:r>
        <w:rPr>
          <w:vertAlign w:val="baseline"/>
        </w:rPr>
        <w:t>1</w:t>
      </w:r>
      <w:r>
        <w:rPr>
          <w:spacing w:val="33"/>
          <w:vertAlign w:val="baseline"/>
        </w:rPr>
        <w:t> </w:t>
      </w:r>
      <w:r>
        <w:rPr>
          <w:vertAlign w:val="baseline"/>
        </w:rPr>
        <w:t>cytokines</w:t>
      </w:r>
      <w:r>
        <w:rPr>
          <w:spacing w:val="33"/>
          <w:vertAlign w:val="baseline"/>
        </w:rPr>
        <w:t> </w:t>
      </w:r>
      <w:r>
        <w:rPr>
          <w:vertAlign w:val="baseline"/>
        </w:rPr>
        <w:t>(IL-2,</w:t>
      </w:r>
      <w:r>
        <w:rPr>
          <w:spacing w:val="37"/>
          <w:vertAlign w:val="baseline"/>
        </w:rPr>
        <w:t> </w:t>
      </w:r>
      <w:r>
        <w:rPr>
          <w:vertAlign w:val="baseline"/>
        </w:rPr>
        <w:t>IFN</w:t>
      </w:r>
      <w:r>
        <w:rPr>
          <w:rFonts w:ascii="Symbol" w:hAnsi="Symbol"/>
          <w:vertAlign w:val="baseline"/>
        </w:rPr>
        <w:t></w:t>
      </w:r>
      <w:r>
        <w:rPr>
          <w:vertAlign w:val="baseline"/>
        </w:rPr>
        <w:t>,</w:t>
      </w:r>
      <w:r>
        <w:rPr>
          <w:spacing w:val="32"/>
          <w:vertAlign w:val="baseline"/>
        </w:rPr>
        <w:t> </w:t>
      </w:r>
      <w:r>
        <w:rPr>
          <w:vertAlign w:val="baseline"/>
        </w:rPr>
        <w:t>TNF</w:t>
      </w:r>
      <w:r>
        <w:rPr>
          <w:rFonts w:ascii="Symbol" w:hAnsi="Symbol"/>
          <w:vertAlign w:val="baseline"/>
        </w:rPr>
        <w:t></w:t>
      </w:r>
      <w:r>
        <w:rPr>
          <w:spacing w:val="30"/>
          <w:vertAlign w:val="baseline"/>
        </w:rPr>
        <w:t> </w:t>
      </w:r>
      <w:r>
        <w:rPr>
          <w:vertAlign w:val="baseline"/>
        </w:rPr>
        <w:t>and</w:t>
      </w:r>
      <w:r>
        <w:rPr>
          <w:spacing w:val="32"/>
          <w:vertAlign w:val="baseline"/>
        </w:rPr>
        <w:t> </w:t>
      </w:r>
      <w:r>
        <w:rPr>
          <w:vertAlign w:val="baseline"/>
        </w:rPr>
        <w:t>TNF</w:t>
      </w:r>
      <w:r>
        <w:rPr>
          <w:rFonts w:ascii="Symbol" w:hAnsi="Symbol"/>
          <w:vertAlign w:val="baseline"/>
        </w:rPr>
        <w:t></w:t>
      </w:r>
      <w:r>
        <w:rPr>
          <w:vertAlign w:val="baseline"/>
        </w:rPr>
        <w:t>)</w:t>
      </w:r>
      <w:r>
        <w:rPr>
          <w:spacing w:val="32"/>
          <w:vertAlign w:val="baseline"/>
        </w:rPr>
        <w:t> </w:t>
      </w:r>
      <w:r>
        <w:rPr>
          <w:vertAlign w:val="baseline"/>
        </w:rPr>
        <w:t>production</w:t>
      </w:r>
      <w:r>
        <w:rPr>
          <w:spacing w:val="32"/>
          <w:vertAlign w:val="baseline"/>
        </w:rPr>
        <w:t> </w:t>
      </w:r>
      <w:r>
        <w:rPr>
          <w:vertAlign w:val="baseline"/>
        </w:rPr>
        <w:t>were</w:t>
      </w:r>
      <w:r>
        <w:rPr>
          <w:spacing w:val="31"/>
          <w:vertAlign w:val="baseline"/>
        </w:rPr>
        <w:t> </w:t>
      </w:r>
      <w:r>
        <w:rPr>
          <w:vertAlign w:val="baseline"/>
        </w:rPr>
        <w:t>higher</w:t>
      </w:r>
      <w:r>
        <w:rPr>
          <w:spacing w:val="31"/>
          <w:vertAlign w:val="baseline"/>
        </w:rPr>
        <w:t> </w:t>
      </w:r>
      <w:r>
        <w:rPr>
          <w:vertAlign w:val="baseline"/>
        </w:rPr>
        <w:t>and</w:t>
      </w:r>
      <w:r>
        <w:rPr>
          <w:spacing w:val="32"/>
          <w:vertAlign w:val="baseline"/>
        </w:rPr>
        <w:t> </w:t>
      </w:r>
      <w:r>
        <w:rPr>
          <w:vertAlign w:val="baseline"/>
        </w:rPr>
        <w:t>statistically significant</w:t>
      </w:r>
      <w:r>
        <w:rPr>
          <w:spacing w:val="40"/>
          <w:vertAlign w:val="baseline"/>
        </w:rPr>
        <w:t> </w:t>
      </w:r>
      <w:r>
        <w:rPr>
          <w:vertAlign w:val="baseline"/>
        </w:rPr>
        <w:t>in</w:t>
      </w:r>
      <w:r>
        <w:rPr>
          <w:spacing w:val="40"/>
          <w:vertAlign w:val="baseline"/>
        </w:rPr>
        <w:t> </w:t>
      </w:r>
      <w:r>
        <w:rPr>
          <w:vertAlign w:val="baseline"/>
        </w:rPr>
        <w:t>pregnant</w:t>
      </w:r>
      <w:r>
        <w:rPr>
          <w:spacing w:val="40"/>
          <w:vertAlign w:val="baseline"/>
        </w:rPr>
        <w:t> </w:t>
      </w:r>
      <w:r>
        <w:rPr>
          <w:vertAlign w:val="baseline"/>
        </w:rPr>
        <w:t>women</w:t>
      </w:r>
      <w:r>
        <w:rPr>
          <w:spacing w:val="40"/>
          <w:vertAlign w:val="baseline"/>
        </w:rPr>
        <w:t> </w:t>
      </w:r>
      <w:r>
        <w:rPr>
          <w:vertAlign w:val="baseline"/>
        </w:rPr>
        <w:t>in</w:t>
      </w:r>
      <w:r>
        <w:rPr>
          <w:spacing w:val="40"/>
          <w:vertAlign w:val="baseline"/>
        </w:rPr>
        <w:t> </w:t>
      </w:r>
      <w:r>
        <w:rPr>
          <w:vertAlign w:val="baseline"/>
        </w:rPr>
        <w:t>unexplained</w:t>
      </w:r>
      <w:r>
        <w:rPr>
          <w:spacing w:val="40"/>
          <w:vertAlign w:val="baseline"/>
        </w:rPr>
        <w:t> </w:t>
      </w:r>
      <w:r>
        <w:rPr>
          <w:vertAlign w:val="baseline"/>
        </w:rPr>
        <w:t>recurrent</w:t>
      </w:r>
      <w:r>
        <w:rPr>
          <w:spacing w:val="40"/>
          <w:vertAlign w:val="baseline"/>
        </w:rPr>
        <w:t> </w:t>
      </w:r>
      <w:r>
        <w:rPr>
          <w:vertAlign w:val="baseline"/>
        </w:rPr>
        <w:t>spontaneous</w:t>
      </w:r>
      <w:r>
        <w:rPr>
          <w:spacing w:val="40"/>
          <w:vertAlign w:val="baseline"/>
        </w:rPr>
        <w:t> </w:t>
      </w:r>
      <w:r>
        <w:rPr>
          <w:vertAlign w:val="baseline"/>
        </w:rPr>
        <w:t>abortion</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first trimester. Again, the ratio of</w:t>
      </w:r>
      <w:r>
        <w:rPr>
          <w:spacing w:val="-1"/>
          <w:vertAlign w:val="baseline"/>
        </w:rPr>
        <w:t> </w:t>
      </w:r>
      <w:r>
        <w:rPr>
          <w:vertAlign w:val="baseline"/>
        </w:rPr>
        <w:t>the</w:t>
      </w:r>
      <w:r>
        <w:rPr>
          <w:spacing w:val="-1"/>
          <w:vertAlign w:val="baseline"/>
        </w:rPr>
        <w:t> </w:t>
      </w:r>
      <w:r>
        <w:rPr>
          <w:vertAlign w:val="baseline"/>
        </w:rPr>
        <w:t>various T</w:t>
      </w:r>
      <w:r>
        <w:rPr>
          <w:vertAlign w:val="subscript"/>
        </w:rPr>
        <w:t>H</w:t>
      </w:r>
      <w:r>
        <w:rPr>
          <w:vertAlign w:val="baseline"/>
        </w:rPr>
        <w:t>1to T</w:t>
      </w:r>
      <w:r>
        <w:rPr>
          <w:vertAlign w:val="subscript"/>
        </w:rPr>
        <w:t>H</w:t>
      </w:r>
      <w:r>
        <w:rPr>
          <w:vertAlign w:val="baseline"/>
        </w:rPr>
        <w:t>2 cytokines showed thatT</w:t>
      </w:r>
      <w:r>
        <w:rPr>
          <w:vertAlign w:val="subscript"/>
        </w:rPr>
        <w:t>H</w:t>
      </w:r>
      <w:r>
        <w:rPr>
          <w:vertAlign w:val="baseline"/>
        </w:rPr>
        <w:t>1/T</w:t>
      </w:r>
      <w:r>
        <w:rPr>
          <w:vertAlign w:val="subscript"/>
        </w:rPr>
        <w:t>H</w:t>
      </w:r>
      <w:r>
        <w:rPr>
          <w:vertAlign w:val="baseline"/>
        </w:rPr>
        <w:t>2 ratio in all the</w:t>
      </w:r>
      <w:r>
        <w:rPr>
          <w:spacing w:val="32"/>
          <w:vertAlign w:val="baseline"/>
        </w:rPr>
        <w:t> </w:t>
      </w:r>
      <w:r>
        <w:rPr>
          <w:vertAlign w:val="baseline"/>
        </w:rPr>
        <w:t>combination</w:t>
      </w:r>
      <w:r>
        <w:rPr>
          <w:spacing w:val="32"/>
          <w:vertAlign w:val="baseline"/>
        </w:rPr>
        <w:t> </w:t>
      </w:r>
      <w:r>
        <w:rPr>
          <w:vertAlign w:val="baseline"/>
        </w:rPr>
        <w:t>were</w:t>
      </w:r>
      <w:r>
        <w:rPr>
          <w:spacing w:val="31"/>
          <w:vertAlign w:val="baseline"/>
        </w:rPr>
        <w:t> </w:t>
      </w:r>
      <w:r>
        <w:rPr>
          <w:vertAlign w:val="baseline"/>
        </w:rPr>
        <w:t>higher</w:t>
      </w:r>
      <w:r>
        <w:rPr>
          <w:spacing w:val="31"/>
          <w:vertAlign w:val="baseline"/>
        </w:rPr>
        <w:t> </w:t>
      </w:r>
      <w:r>
        <w:rPr>
          <w:vertAlign w:val="baseline"/>
        </w:rPr>
        <w:t>and</w:t>
      </w:r>
      <w:r>
        <w:rPr>
          <w:spacing w:val="32"/>
          <w:vertAlign w:val="baseline"/>
        </w:rPr>
        <w:t> </w:t>
      </w:r>
      <w:r>
        <w:rPr>
          <w:vertAlign w:val="baseline"/>
        </w:rPr>
        <w:t>in</w:t>
      </w:r>
      <w:r>
        <w:rPr>
          <w:spacing w:val="33"/>
          <w:vertAlign w:val="baseline"/>
        </w:rPr>
        <w:t> </w:t>
      </w:r>
      <w:r>
        <w:rPr>
          <w:vertAlign w:val="baseline"/>
        </w:rPr>
        <w:t>favor</w:t>
      </w:r>
      <w:r>
        <w:rPr>
          <w:spacing w:val="32"/>
          <w:vertAlign w:val="baseline"/>
        </w:rPr>
        <w:t> </w:t>
      </w:r>
      <w:r>
        <w:rPr>
          <w:vertAlign w:val="baseline"/>
        </w:rPr>
        <w:t>of</w:t>
      </w:r>
      <w:r>
        <w:rPr>
          <w:spacing w:val="32"/>
          <w:vertAlign w:val="baseline"/>
        </w:rPr>
        <w:t> </w:t>
      </w:r>
      <w:r>
        <w:rPr>
          <w:vertAlign w:val="baseline"/>
        </w:rPr>
        <w:t>T</w:t>
      </w:r>
      <w:r>
        <w:rPr>
          <w:vertAlign w:val="subscript"/>
        </w:rPr>
        <w:t>H</w:t>
      </w:r>
      <w:r>
        <w:rPr>
          <w:vertAlign w:val="baseline"/>
        </w:rPr>
        <w:t>1</w:t>
      </w:r>
      <w:r>
        <w:rPr>
          <w:spacing w:val="32"/>
          <w:vertAlign w:val="baseline"/>
        </w:rPr>
        <w:t> </w:t>
      </w:r>
      <w:r>
        <w:rPr>
          <w:vertAlign w:val="baseline"/>
        </w:rPr>
        <w:t>in</w:t>
      </w:r>
      <w:r>
        <w:rPr>
          <w:spacing w:val="33"/>
          <w:vertAlign w:val="baseline"/>
        </w:rPr>
        <w:t> </w:t>
      </w:r>
      <w:r>
        <w:rPr>
          <w:vertAlign w:val="baseline"/>
        </w:rPr>
        <w:t>recurrent</w:t>
      </w:r>
      <w:r>
        <w:rPr>
          <w:spacing w:val="33"/>
          <w:vertAlign w:val="baseline"/>
        </w:rPr>
        <w:t> </w:t>
      </w:r>
      <w:r>
        <w:rPr>
          <w:vertAlign w:val="baseline"/>
        </w:rPr>
        <w:t>spontaneous</w:t>
      </w:r>
      <w:r>
        <w:rPr>
          <w:spacing w:val="33"/>
          <w:vertAlign w:val="baseline"/>
        </w:rPr>
        <w:t> </w:t>
      </w:r>
      <w:r>
        <w:rPr>
          <w:vertAlign w:val="baseline"/>
        </w:rPr>
        <w:t>abortion</w:t>
      </w:r>
      <w:r>
        <w:rPr>
          <w:spacing w:val="33"/>
          <w:vertAlign w:val="baseline"/>
        </w:rPr>
        <w:t> </w:t>
      </w:r>
      <w:r>
        <w:rPr>
          <w:vertAlign w:val="baseline"/>
        </w:rPr>
        <w:t>group than</w:t>
      </w:r>
      <w:r>
        <w:rPr>
          <w:spacing w:val="40"/>
          <w:vertAlign w:val="baseline"/>
        </w:rPr>
        <w:t> </w:t>
      </w:r>
      <w:r>
        <w:rPr>
          <w:vertAlign w:val="baseline"/>
        </w:rPr>
        <w:t>in</w:t>
      </w:r>
      <w:r>
        <w:rPr>
          <w:spacing w:val="40"/>
          <w:vertAlign w:val="baseline"/>
        </w:rPr>
        <w:t> </w:t>
      </w:r>
      <w:r>
        <w:rPr>
          <w:vertAlign w:val="baseline"/>
        </w:rPr>
        <w:t>the</w:t>
      </w:r>
      <w:r>
        <w:rPr>
          <w:spacing w:val="40"/>
          <w:vertAlign w:val="baseline"/>
        </w:rPr>
        <w:t> </w:t>
      </w:r>
      <w:r>
        <w:rPr>
          <w:vertAlign w:val="baseline"/>
        </w:rPr>
        <w:t>first</w:t>
      </w:r>
      <w:r>
        <w:rPr>
          <w:spacing w:val="40"/>
          <w:vertAlign w:val="baseline"/>
        </w:rPr>
        <w:t> </w:t>
      </w:r>
      <w:r>
        <w:rPr>
          <w:vertAlign w:val="baseline"/>
        </w:rPr>
        <w:t>trimester</w:t>
      </w:r>
      <w:r>
        <w:rPr>
          <w:spacing w:val="40"/>
          <w:vertAlign w:val="baseline"/>
        </w:rPr>
        <w:t> </w:t>
      </w:r>
      <w:r>
        <w:rPr>
          <w:vertAlign w:val="baseline"/>
        </w:rPr>
        <w:t>normal</w:t>
      </w:r>
      <w:r>
        <w:rPr>
          <w:spacing w:val="40"/>
          <w:vertAlign w:val="baseline"/>
        </w:rPr>
        <w:t> </w:t>
      </w:r>
      <w:r>
        <w:rPr>
          <w:vertAlign w:val="baseline"/>
        </w:rPr>
        <w:t>group.</w:t>
      </w:r>
      <w:r>
        <w:rPr>
          <w:spacing w:val="40"/>
          <w:vertAlign w:val="baseline"/>
        </w:rPr>
        <w:t> </w:t>
      </w:r>
      <w:r>
        <w:rPr>
          <w:vertAlign w:val="baseline"/>
        </w:rPr>
        <w:t>Overall</w:t>
      </w:r>
      <w:r>
        <w:rPr>
          <w:spacing w:val="40"/>
          <w:vertAlign w:val="baseline"/>
        </w:rPr>
        <w:t> </w:t>
      </w:r>
      <w:r>
        <w:rPr>
          <w:vertAlign w:val="baseline"/>
        </w:rPr>
        <w:t>they</w:t>
      </w:r>
      <w:r>
        <w:rPr>
          <w:spacing w:val="40"/>
          <w:vertAlign w:val="baseline"/>
        </w:rPr>
        <w:t> </w:t>
      </w:r>
      <w:r>
        <w:rPr>
          <w:vertAlign w:val="baseline"/>
        </w:rPr>
        <w:t>suggested</w:t>
      </w:r>
      <w:r>
        <w:rPr>
          <w:spacing w:val="40"/>
          <w:vertAlign w:val="baseline"/>
        </w:rPr>
        <w:t> </w:t>
      </w:r>
      <w:r>
        <w:rPr>
          <w:vertAlign w:val="baseline"/>
        </w:rPr>
        <w:t>a</w:t>
      </w:r>
      <w:r>
        <w:rPr>
          <w:spacing w:val="40"/>
          <w:vertAlign w:val="baseline"/>
        </w:rPr>
        <w:t> </w:t>
      </w:r>
      <w:r>
        <w:rPr>
          <w:vertAlign w:val="baseline"/>
        </w:rPr>
        <w:t>bias</w:t>
      </w:r>
      <w:r>
        <w:rPr>
          <w:spacing w:val="40"/>
          <w:vertAlign w:val="baseline"/>
        </w:rPr>
        <w:t> </w:t>
      </w:r>
      <w:r>
        <w:rPr>
          <w:vertAlign w:val="baseline"/>
        </w:rPr>
        <w:t>towards</w:t>
      </w:r>
      <w:r>
        <w:rPr>
          <w:spacing w:val="40"/>
          <w:vertAlign w:val="baseline"/>
        </w:rPr>
        <w:t> </w:t>
      </w:r>
      <w:r>
        <w:rPr>
          <w:vertAlign w:val="baseline"/>
        </w:rPr>
        <w:t>T</w:t>
      </w:r>
      <w:r>
        <w:rPr>
          <w:vertAlign w:val="subscript"/>
        </w:rPr>
        <w:t>H</w:t>
      </w:r>
      <w:r>
        <w:rPr>
          <w:vertAlign w:val="baseline"/>
        </w:rPr>
        <w:t>1</w:t>
      </w:r>
      <w:r>
        <w:rPr>
          <w:spacing w:val="40"/>
          <w:vertAlign w:val="baseline"/>
        </w:rPr>
        <w:t> </w:t>
      </w:r>
      <w:r>
        <w:rPr>
          <w:vertAlign w:val="baseline"/>
        </w:rPr>
        <w:t>in</w:t>
      </w:r>
      <w:r>
        <w:rPr>
          <w:spacing w:val="80"/>
          <w:vertAlign w:val="baseline"/>
        </w:rPr>
        <w:t> </w:t>
      </w:r>
      <w:r>
        <w:rPr>
          <w:vertAlign w:val="baseline"/>
        </w:rPr>
        <w:t>recurrent spontaneous abortion group.</w:t>
      </w:r>
    </w:p>
    <w:p>
      <w:pPr>
        <w:pStyle w:val="BodyText"/>
        <w:spacing w:before="2"/>
      </w:pPr>
    </w:p>
    <w:p>
      <w:pPr>
        <w:pStyle w:val="BodyText"/>
        <w:spacing w:line="480" w:lineRule="auto"/>
        <w:ind w:left="560" w:right="793"/>
        <w:jc w:val="both"/>
      </w:pPr>
      <w:r>
        <w:rPr/>
        <w:t>The sources of plasma cytokines in pregnant women are the monocytes from the maternal circulation, uterus, endometrium and the trophoblast (Murphy </w:t>
      </w:r>
      <w:r>
        <w:rPr>
          <w:i/>
        </w:rPr>
        <w:t>et al.,</w:t>
      </w:r>
      <w:r>
        <w:rPr/>
        <w:t>2009). Other cells</w:t>
      </w:r>
      <w:r>
        <w:rPr>
          <w:spacing w:val="40"/>
        </w:rPr>
        <w:t> </w:t>
      </w:r>
      <w:r>
        <w:rPr/>
        <w:t>include activated cluster differentiation 4(CD4</w:t>
      </w:r>
      <w:r>
        <w:rPr>
          <w:vertAlign w:val="superscript"/>
        </w:rPr>
        <w:t>+</w:t>
      </w:r>
      <w:r>
        <w:rPr>
          <w:vertAlign w:val="baseline"/>
        </w:rPr>
        <w:t>) and cluster differentiation 8 (CD8</w:t>
      </w:r>
      <w:r>
        <w:rPr>
          <w:vertAlign w:val="superscript"/>
        </w:rPr>
        <w:t>+</w:t>
      </w:r>
      <w:r>
        <w:rPr>
          <w:vertAlign w:val="baseline"/>
        </w:rPr>
        <w:t>) T cell (Sargent </w:t>
      </w:r>
      <w:r>
        <w:rPr>
          <w:i/>
          <w:vertAlign w:val="baseline"/>
        </w:rPr>
        <w:t>et al.,</w:t>
      </w:r>
      <w:r>
        <w:rPr>
          <w:vertAlign w:val="baseline"/>
        </w:rPr>
        <w:t>2006; Germain </w:t>
      </w:r>
      <w:r>
        <w:rPr>
          <w:i/>
          <w:vertAlign w:val="baseline"/>
        </w:rPr>
        <w:t>et al.,</w:t>
      </w:r>
      <w:r>
        <w:rPr>
          <w:vertAlign w:val="baseline"/>
        </w:rPr>
        <w:t>2007). Two different opinions exist as to the contribution of natural killer (NK) cells on the secretion of cytokines.An aspect maintains that NK cells secretes cytokines that are found in increased number at the placentation site in early</w:t>
      </w:r>
      <w:r>
        <w:rPr>
          <w:spacing w:val="40"/>
          <w:vertAlign w:val="baseline"/>
        </w:rPr>
        <w:t> </w:t>
      </w:r>
      <w:r>
        <w:rPr>
          <w:vertAlign w:val="baseline"/>
        </w:rPr>
        <w:t>gestation (Croy </w:t>
      </w:r>
      <w:r>
        <w:rPr>
          <w:i/>
          <w:vertAlign w:val="baseline"/>
        </w:rPr>
        <w:t>et al.,</w:t>
      </w:r>
      <w:r>
        <w:rPr>
          <w:vertAlign w:val="baseline"/>
        </w:rPr>
        <w:t>2006, Murphy </w:t>
      </w:r>
      <w:r>
        <w:rPr>
          <w:i/>
          <w:vertAlign w:val="baseline"/>
        </w:rPr>
        <w:t>et al.,</w:t>
      </w:r>
      <w:r>
        <w:rPr>
          <w:vertAlign w:val="baseline"/>
        </w:rPr>
        <w:t>2009) while the other opinion reported complete absent of NK cell (Ordi </w:t>
      </w:r>
      <w:r>
        <w:rPr>
          <w:i/>
          <w:vertAlign w:val="baseline"/>
        </w:rPr>
        <w:t>et al.,</w:t>
      </w:r>
      <w:r>
        <w:rPr>
          <w:vertAlign w:val="baseline"/>
        </w:rPr>
        <w:t>2001) and adduced that the secretion of IFN</w:t>
      </w:r>
      <w:r>
        <w:rPr>
          <w:rFonts w:ascii="Symbol" w:hAnsi="Symbol"/>
          <w:vertAlign w:val="baseline"/>
        </w:rPr>
        <w:t></w:t>
      </w:r>
      <w:r>
        <w:rPr>
          <w:vertAlign w:val="baseline"/>
        </w:rPr>
        <w:t> may have originated</w:t>
      </w:r>
      <w:r>
        <w:rPr>
          <w:spacing w:val="-1"/>
          <w:vertAlign w:val="baseline"/>
        </w:rPr>
        <w:t> </w:t>
      </w:r>
      <w:r>
        <w:rPr>
          <w:vertAlign w:val="baseline"/>
        </w:rPr>
        <w:t>from other immune</w:t>
      </w:r>
      <w:r>
        <w:rPr>
          <w:spacing w:val="-1"/>
          <w:vertAlign w:val="baseline"/>
        </w:rPr>
        <w:t> </w:t>
      </w:r>
      <w:r>
        <w:rPr>
          <w:vertAlign w:val="baseline"/>
        </w:rPr>
        <w:t>cells. Perhaps, the secretion is by</w:t>
      </w:r>
      <w:r>
        <w:rPr>
          <w:spacing w:val="-2"/>
          <w:vertAlign w:val="baseline"/>
        </w:rPr>
        <w:t> </w:t>
      </w:r>
      <w:r>
        <w:rPr>
          <w:vertAlign w:val="baseline"/>
        </w:rPr>
        <w:t>NK</w:t>
      </w:r>
      <w:r>
        <w:rPr>
          <w:spacing w:val="-1"/>
          <w:vertAlign w:val="baseline"/>
        </w:rPr>
        <w:t> </w:t>
      </w:r>
      <w:r>
        <w:rPr>
          <w:vertAlign w:val="baseline"/>
        </w:rPr>
        <w:t>cells, it could have come from the innateresponse (Artavanis-Tsokona and Riley, 2002). Howeverthe modification,the alteration that culminates in the shift to type-2 bias commences during the first trimester.In Canada,</w:t>
      </w:r>
      <w:r>
        <w:rPr>
          <w:spacing w:val="14"/>
          <w:vertAlign w:val="baseline"/>
        </w:rPr>
        <w:t> </w:t>
      </w:r>
      <w:r>
        <w:rPr>
          <w:vertAlign w:val="baseline"/>
        </w:rPr>
        <w:t>Aris</w:t>
      </w:r>
      <w:r>
        <w:rPr>
          <w:spacing w:val="18"/>
          <w:vertAlign w:val="baseline"/>
        </w:rPr>
        <w:t> </w:t>
      </w:r>
      <w:r>
        <w:rPr>
          <w:i/>
          <w:vertAlign w:val="baseline"/>
        </w:rPr>
        <w:t>et</w:t>
      </w:r>
      <w:r>
        <w:rPr>
          <w:i/>
          <w:spacing w:val="17"/>
          <w:vertAlign w:val="baseline"/>
        </w:rPr>
        <w:t> </w:t>
      </w:r>
      <w:r>
        <w:rPr>
          <w:i/>
          <w:vertAlign w:val="baseline"/>
        </w:rPr>
        <w:t>al.,</w:t>
      </w:r>
      <w:r>
        <w:rPr>
          <w:vertAlign w:val="baseline"/>
        </w:rPr>
        <w:t>(2007)</w:t>
      </w:r>
      <w:r>
        <w:rPr>
          <w:spacing w:val="17"/>
          <w:vertAlign w:val="baseline"/>
        </w:rPr>
        <w:t> </w:t>
      </w:r>
      <w:r>
        <w:rPr>
          <w:vertAlign w:val="baseline"/>
        </w:rPr>
        <w:t>studied</w:t>
      </w:r>
      <w:r>
        <w:rPr>
          <w:spacing w:val="16"/>
          <w:vertAlign w:val="baseline"/>
        </w:rPr>
        <w:t> </w:t>
      </w:r>
      <w:r>
        <w:rPr>
          <w:vertAlign w:val="baseline"/>
        </w:rPr>
        <w:t>the</w:t>
      </w:r>
      <w:r>
        <w:rPr>
          <w:spacing w:val="16"/>
          <w:vertAlign w:val="baseline"/>
        </w:rPr>
        <w:t> </w:t>
      </w:r>
      <w:r>
        <w:rPr>
          <w:vertAlign w:val="baseline"/>
        </w:rPr>
        <w:t>secretion</w:t>
      </w:r>
      <w:r>
        <w:rPr>
          <w:spacing w:val="17"/>
          <w:vertAlign w:val="baseline"/>
        </w:rPr>
        <w:t> </w:t>
      </w:r>
      <w:r>
        <w:rPr>
          <w:vertAlign w:val="baseline"/>
        </w:rPr>
        <w:t>of</w:t>
      </w:r>
      <w:r>
        <w:rPr>
          <w:spacing w:val="19"/>
          <w:vertAlign w:val="baseline"/>
        </w:rPr>
        <w:t> </w:t>
      </w:r>
      <w:r>
        <w:rPr>
          <w:vertAlign w:val="baseline"/>
        </w:rPr>
        <w:t>IFN</w:t>
      </w:r>
      <w:r>
        <w:rPr>
          <w:rFonts w:ascii="Symbol" w:hAnsi="Symbol"/>
          <w:vertAlign w:val="baseline"/>
        </w:rPr>
        <w:t></w:t>
      </w:r>
      <w:r>
        <w:rPr>
          <w:spacing w:val="16"/>
          <w:vertAlign w:val="baseline"/>
        </w:rPr>
        <w:t> </w:t>
      </w:r>
      <w:r>
        <w:rPr>
          <w:vertAlign w:val="baseline"/>
        </w:rPr>
        <w:t>and</w:t>
      </w:r>
      <w:r>
        <w:rPr>
          <w:spacing w:val="19"/>
          <w:vertAlign w:val="baseline"/>
        </w:rPr>
        <w:t> </w:t>
      </w:r>
      <w:r>
        <w:rPr>
          <w:vertAlign w:val="baseline"/>
        </w:rPr>
        <w:t>IL-6</w:t>
      </w:r>
      <w:r>
        <w:rPr>
          <w:spacing w:val="16"/>
          <w:vertAlign w:val="baseline"/>
        </w:rPr>
        <w:t> </w:t>
      </w:r>
      <w:r>
        <w:rPr>
          <w:vertAlign w:val="baseline"/>
        </w:rPr>
        <w:t>as</w:t>
      </w:r>
      <w:r>
        <w:rPr>
          <w:spacing w:val="17"/>
          <w:vertAlign w:val="baseline"/>
        </w:rPr>
        <w:t> </w:t>
      </w:r>
      <w:r>
        <w:rPr>
          <w:vertAlign w:val="baseline"/>
        </w:rPr>
        <w:t>biomarkers</w:t>
      </w:r>
      <w:r>
        <w:rPr>
          <w:spacing w:val="16"/>
          <w:vertAlign w:val="baseline"/>
        </w:rPr>
        <w:t> </w:t>
      </w:r>
      <w:r>
        <w:rPr>
          <w:vertAlign w:val="baseline"/>
        </w:rPr>
        <w:t>of</w:t>
      </w:r>
      <w:r>
        <w:rPr>
          <w:spacing w:val="19"/>
          <w:vertAlign w:val="baseline"/>
        </w:rPr>
        <w:t> </w:t>
      </w:r>
      <w:r>
        <w:rPr>
          <w:spacing w:val="-2"/>
          <w:vertAlign w:val="baseline"/>
        </w:rPr>
        <w:t>T</w:t>
      </w:r>
      <w:r>
        <w:rPr>
          <w:spacing w:val="-2"/>
          <w:vertAlign w:val="subscript"/>
        </w:rPr>
        <w:t>H</w:t>
      </w:r>
      <w:r>
        <w:rPr>
          <w:spacing w:val="-2"/>
          <w:vertAlign w:val="baseline"/>
        </w:rPr>
        <w:t>1/T</w:t>
      </w:r>
      <w:r>
        <w:rPr>
          <w:spacing w:val="-2"/>
          <w:vertAlign w:val="subscript"/>
        </w:rPr>
        <w:t>H</w:t>
      </w:r>
      <w:r>
        <w:rPr>
          <w:spacing w:val="-2"/>
          <w:vertAlign w:val="baseline"/>
        </w:rPr>
        <w:t>2</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immune status through pregnancy in 35 healthy pregnant women from 10- 40 weeks of pregnancy. They contributed that throughout pregnancy, the concentration of IFN</w:t>
      </w:r>
      <w:r>
        <w:rPr>
          <w:rFonts w:ascii="Symbol" w:hAnsi="Symbol"/>
        </w:rPr>
        <w:t></w:t>
      </w:r>
      <w:r>
        <w:rPr/>
        <w:t> in maternal serum decreases significantly with increasing gestational age. The values mean and standard deviation (SD) were 3.4</w:t>
      </w:r>
      <w:r>
        <w:rPr>
          <w:rFonts w:ascii="Symbol" w:hAnsi="Symbol"/>
        </w:rPr>
        <w:t></w:t>
      </w:r>
      <w:r>
        <w:rPr/>
        <w:t>1.0pg/ml, 1.6</w:t>
      </w:r>
      <w:r>
        <w:rPr>
          <w:rFonts w:ascii="Symbol" w:hAnsi="Symbol"/>
        </w:rPr>
        <w:t></w:t>
      </w:r>
      <w:r>
        <w:rPr/>
        <w:t>0.6pg/ml, 0.35</w:t>
      </w:r>
      <w:r>
        <w:rPr>
          <w:rFonts w:ascii="Symbol" w:hAnsi="Symbol"/>
        </w:rPr>
        <w:t></w:t>
      </w:r>
      <w:r>
        <w:rPr/>
        <w:t>0.35pg/ml at 10-20 week, 20- 30 weeks and 30- 40 weeks respectively. IL-6 increased significantly during pregnancy 0.73</w:t>
      </w:r>
      <w:r>
        <w:rPr>
          <w:rFonts w:ascii="Symbol" w:hAnsi="Symbol"/>
        </w:rPr>
        <w:t></w:t>
      </w:r>
      <w:r>
        <w:rPr/>
        <w:t>0.42 pg/ml, 6.6</w:t>
      </w:r>
      <w:r>
        <w:rPr>
          <w:rFonts w:ascii="Symbol" w:hAnsi="Symbol"/>
        </w:rPr>
        <w:t></w:t>
      </w:r>
      <w:r>
        <w:rPr/>
        <w:t>1.9 pg/ml and 17.2</w:t>
      </w:r>
      <w:r>
        <w:rPr>
          <w:rFonts w:ascii="Symbol" w:hAnsi="Symbol"/>
        </w:rPr>
        <w:t></w:t>
      </w:r>
      <w:r>
        <w:rPr/>
        <w:t>5.2 pg/ml at 10-20, 20-30 and 30-40 weeks of pregnancy respectively p&lt;0.001. Furthermore, assessment of ratio of T</w:t>
      </w:r>
      <w:r>
        <w:rPr>
          <w:vertAlign w:val="subscript"/>
        </w:rPr>
        <w:t>H</w:t>
      </w:r>
      <w:r>
        <w:rPr>
          <w:vertAlign w:val="baseline"/>
        </w:rPr>
        <w:t>1/T</w:t>
      </w:r>
      <w:r>
        <w:rPr>
          <w:vertAlign w:val="subscript"/>
        </w:rPr>
        <w:t>H</w:t>
      </w:r>
      <w:r>
        <w:rPr>
          <w:vertAlign w:val="baseline"/>
        </w:rPr>
        <w:t>2 was done</w:t>
      </w:r>
      <w:r>
        <w:rPr>
          <w:spacing w:val="80"/>
          <w:vertAlign w:val="baseline"/>
        </w:rPr>
        <w:t> </w:t>
      </w:r>
      <w:r>
        <w:rPr>
          <w:vertAlign w:val="baseline"/>
        </w:rPr>
        <w:t>using IFN</w:t>
      </w:r>
      <w:r>
        <w:rPr>
          <w:rFonts w:ascii="Symbol" w:hAnsi="Symbol"/>
          <w:vertAlign w:val="baseline"/>
        </w:rPr>
        <w:t></w:t>
      </w:r>
      <w:r>
        <w:rPr>
          <w:vertAlign w:val="baseline"/>
        </w:rPr>
        <w:t>/ IL-6 which showed prevailing T</w:t>
      </w:r>
      <w:r>
        <w:rPr>
          <w:vertAlign w:val="subscript"/>
        </w:rPr>
        <w:t>H</w:t>
      </w:r>
      <w:r>
        <w:rPr>
          <w:vertAlign w:val="baseline"/>
        </w:rPr>
        <w:t>1 bias at the beginning of pregnancy and T</w:t>
      </w:r>
      <w:r>
        <w:rPr>
          <w:vertAlign w:val="subscript"/>
        </w:rPr>
        <w:t>H</w:t>
      </w:r>
      <w:r>
        <w:rPr>
          <w:vertAlign w:val="baseline"/>
        </w:rPr>
        <w:t>2 bias at the end of pregnancy, ratio were 4.7 and 0.02 respectively. The cytokine ratio at the middle of the pregnancy was 0.24. Moreover, switching from T</w:t>
      </w:r>
      <w:r>
        <w:rPr>
          <w:vertAlign w:val="subscript"/>
        </w:rPr>
        <w:t>H</w:t>
      </w:r>
      <w:r>
        <w:rPr>
          <w:vertAlign w:val="baseline"/>
        </w:rPr>
        <w:t>1 to T</w:t>
      </w:r>
      <w:r>
        <w:rPr>
          <w:vertAlign w:val="subscript"/>
        </w:rPr>
        <w:t>H</w:t>
      </w:r>
      <w:r>
        <w:rPr>
          <w:vertAlign w:val="baseline"/>
        </w:rPr>
        <w:t>2 occurred from the middle of pregnancy (week 19).</w:t>
      </w:r>
    </w:p>
    <w:p>
      <w:pPr>
        <w:pStyle w:val="BodyText"/>
        <w:spacing w:before="1"/>
      </w:pPr>
    </w:p>
    <w:p>
      <w:pPr>
        <w:pStyle w:val="BodyText"/>
        <w:spacing w:line="480" w:lineRule="auto" w:before="1"/>
        <w:ind w:left="560" w:right="794"/>
        <w:jc w:val="both"/>
      </w:pPr>
      <w:r>
        <w:rPr/>
        <w:t>In a study titled gestational age dependent expression of IL-10 and its receptor in human placental tissue and isolated cytotrophoblasts in Rhode Island(Sharma </w:t>
      </w:r>
      <w:r>
        <w:rPr>
          <w:i/>
        </w:rPr>
        <w:t>et al.,</w:t>
      </w:r>
      <w:r>
        <w:rPr/>
        <w:t>2000) reported that first and second trimester placental tissues from normal pregnancies expressed IL-10 predominantly whereas the levels of IL-2, IL-4 and TNFα were mostly below detection throughout pregnancy. Again, the IL-10 diminished significantly at term in placental tissues collected before the onset of labour and did not change appreciably after labour while TNFα and IL-1ß were significantly upregulated in response to labour associated conditions. In conclusion, IL-10 was expressed in the placenta in a gestational age dependent manner and</w:t>
      </w:r>
      <w:r>
        <w:rPr>
          <w:spacing w:val="80"/>
        </w:rPr>
        <w:t> </w:t>
      </w:r>
      <w:r>
        <w:rPr/>
        <w:t>its down regulation at term may be an important mechanism underlying the subtle changes associated with parturition. The samples were collected after elective pregnancy terminations in 1</w:t>
      </w:r>
      <w:r>
        <w:rPr>
          <w:vertAlign w:val="superscript"/>
        </w:rPr>
        <w:t>st</w:t>
      </w:r>
      <w:r>
        <w:rPr>
          <w:vertAlign w:val="baseline"/>
        </w:rPr>
        <w:t> and 2</w:t>
      </w:r>
      <w:r>
        <w:rPr>
          <w:vertAlign w:val="superscript"/>
        </w:rPr>
        <w:t>nd</w:t>
      </w:r>
      <w:r>
        <w:rPr>
          <w:vertAlign w:val="baseline"/>
        </w:rPr>
        <w:t> trimester, elective Cesarean Sectioning with no rupture of foetal membrane and after delivery via the vaginal route.Cytokine level varies with various cytokines in normal physiologic pregnancy and non-pregnant states. This is reported in a research study in Crete, Greece, on</w:t>
      </w:r>
      <w:r>
        <w:rPr>
          <w:spacing w:val="1"/>
          <w:vertAlign w:val="baseline"/>
        </w:rPr>
        <w:t> </w:t>
      </w:r>
      <w:r>
        <w:rPr>
          <w:vertAlign w:val="baseline"/>
        </w:rPr>
        <w:t>serum levels</w:t>
      </w:r>
      <w:r>
        <w:rPr>
          <w:spacing w:val="1"/>
          <w:vertAlign w:val="baseline"/>
        </w:rPr>
        <w:t> </w:t>
      </w:r>
      <w:r>
        <w:rPr>
          <w:vertAlign w:val="baseline"/>
        </w:rPr>
        <w:t>of</w:t>
      </w:r>
      <w:r>
        <w:rPr>
          <w:spacing w:val="-1"/>
          <w:vertAlign w:val="baseline"/>
        </w:rPr>
        <w:t> </w:t>
      </w:r>
      <w:r>
        <w:rPr>
          <w:vertAlign w:val="baseline"/>
        </w:rPr>
        <w:t>pro</w:t>
      </w:r>
      <w:r>
        <w:rPr>
          <w:spacing w:val="1"/>
          <w:vertAlign w:val="baseline"/>
        </w:rPr>
        <w:t> </w:t>
      </w:r>
      <w:r>
        <w:rPr>
          <w:vertAlign w:val="baseline"/>
        </w:rPr>
        <w:t>and</w:t>
      </w:r>
      <w:r>
        <w:rPr>
          <w:spacing w:val="1"/>
          <w:vertAlign w:val="baseline"/>
        </w:rPr>
        <w:t> </w:t>
      </w:r>
      <w:r>
        <w:rPr>
          <w:vertAlign w:val="baseline"/>
        </w:rPr>
        <w:t>anti-inflammatory</w:t>
      </w:r>
      <w:r>
        <w:rPr>
          <w:spacing w:val="-4"/>
          <w:vertAlign w:val="baseline"/>
        </w:rPr>
        <w:t> </w:t>
      </w:r>
      <w:r>
        <w:rPr>
          <w:vertAlign w:val="baseline"/>
        </w:rPr>
        <w:t>cytokines</w:t>
      </w:r>
      <w:r>
        <w:rPr>
          <w:spacing w:val="1"/>
          <w:vertAlign w:val="baseline"/>
        </w:rPr>
        <w:t> </w:t>
      </w:r>
      <w:r>
        <w:rPr>
          <w:vertAlign w:val="baseline"/>
        </w:rPr>
        <w:t>in non</w:t>
      </w:r>
      <w:r>
        <w:rPr>
          <w:spacing w:val="1"/>
          <w:vertAlign w:val="baseline"/>
        </w:rPr>
        <w:t> </w:t>
      </w:r>
      <w:r>
        <w:rPr>
          <w:vertAlign w:val="baseline"/>
        </w:rPr>
        <w:t>pregnant</w:t>
      </w:r>
      <w:r>
        <w:rPr>
          <w:spacing w:val="5"/>
          <w:vertAlign w:val="baseline"/>
        </w:rPr>
        <w:t> </w:t>
      </w:r>
      <w:r>
        <w:rPr>
          <w:vertAlign w:val="baseline"/>
        </w:rPr>
        <w:t>and</w:t>
      </w:r>
      <w:r>
        <w:rPr>
          <w:spacing w:val="1"/>
          <w:vertAlign w:val="baseline"/>
        </w:rPr>
        <w:t> </w:t>
      </w:r>
      <w:r>
        <w:rPr>
          <w:spacing w:val="-2"/>
          <w:vertAlign w:val="baseline"/>
        </w:rPr>
        <w:t>pregnant</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pPr>
      <w:r>
        <w:rPr/>
        <w:t>womenin labour and those that had abortion (Vassiliadis </w:t>
      </w:r>
      <w:r>
        <w:rPr>
          <w:i/>
        </w:rPr>
        <w:t>et al.,</w:t>
      </w:r>
      <w:r>
        <w:rPr/>
        <w:t>1998). The data showed that</w:t>
      </w:r>
      <w:r>
        <w:rPr>
          <w:spacing w:val="80"/>
        </w:rPr>
        <w:t> </w:t>
      </w:r>
      <w:r>
        <w:rPr/>
        <w:t>the</w:t>
      </w:r>
      <w:r>
        <w:rPr>
          <w:spacing w:val="31"/>
        </w:rPr>
        <w:t> </w:t>
      </w:r>
      <w:r>
        <w:rPr/>
        <w:t>cytokine</w:t>
      </w:r>
      <w:r>
        <w:rPr>
          <w:spacing w:val="30"/>
        </w:rPr>
        <w:t> </w:t>
      </w:r>
      <w:r>
        <w:rPr/>
        <w:t>levels</w:t>
      </w:r>
      <w:r>
        <w:rPr>
          <w:spacing w:val="32"/>
        </w:rPr>
        <w:t> </w:t>
      </w:r>
      <w:r>
        <w:rPr/>
        <w:t>differ</w:t>
      </w:r>
      <w:r>
        <w:rPr>
          <w:spacing w:val="31"/>
        </w:rPr>
        <w:t> </w:t>
      </w:r>
      <w:r>
        <w:rPr/>
        <w:t>in</w:t>
      </w:r>
      <w:r>
        <w:rPr>
          <w:spacing w:val="32"/>
        </w:rPr>
        <w:t> </w:t>
      </w:r>
      <w:r>
        <w:rPr/>
        <w:t>comparison</w:t>
      </w:r>
      <w:r>
        <w:rPr>
          <w:spacing w:val="32"/>
        </w:rPr>
        <w:t> </w:t>
      </w:r>
      <w:r>
        <w:rPr/>
        <w:t>to</w:t>
      </w:r>
      <w:r>
        <w:rPr>
          <w:spacing w:val="32"/>
        </w:rPr>
        <w:t> </w:t>
      </w:r>
      <w:r>
        <w:rPr/>
        <w:t>normal</w:t>
      </w:r>
      <w:r>
        <w:rPr>
          <w:spacing w:val="31"/>
        </w:rPr>
        <w:t> </w:t>
      </w:r>
      <w:r>
        <w:rPr/>
        <w:t>physiologic</w:t>
      </w:r>
      <w:r>
        <w:rPr>
          <w:spacing w:val="31"/>
        </w:rPr>
        <w:t> </w:t>
      </w:r>
      <w:r>
        <w:rPr/>
        <w:t>pregnant</w:t>
      </w:r>
      <w:r>
        <w:rPr>
          <w:spacing w:val="32"/>
        </w:rPr>
        <w:t> </w:t>
      </w:r>
      <w:r>
        <w:rPr/>
        <w:t>and</w:t>
      </w:r>
      <w:r>
        <w:rPr>
          <w:spacing w:val="31"/>
        </w:rPr>
        <w:t> </w:t>
      </w:r>
      <w:r>
        <w:rPr/>
        <w:t>non</w:t>
      </w:r>
      <w:r>
        <w:rPr>
          <w:spacing w:val="31"/>
        </w:rPr>
        <w:t> </w:t>
      </w:r>
      <w:r>
        <w:rPr/>
        <w:t>pregnant states</w:t>
      </w:r>
      <w:r>
        <w:rPr>
          <w:spacing w:val="40"/>
        </w:rPr>
        <w:t> </w:t>
      </w:r>
      <w:r>
        <w:rPr/>
        <w:t>and</w:t>
      </w:r>
      <w:r>
        <w:rPr>
          <w:spacing w:val="40"/>
        </w:rPr>
        <w:t> </w:t>
      </w:r>
      <w:r>
        <w:rPr/>
        <w:t>there</w:t>
      </w:r>
      <w:r>
        <w:rPr>
          <w:spacing w:val="40"/>
        </w:rPr>
        <w:t> </w:t>
      </w:r>
      <w:r>
        <w:rPr/>
        <w:t>exists</w:t>
      </w:r>
      <w:r>
        <w:rPr>
          <w:spacing w:val="40"/>
        </w:rPr>
        <w:t> </w:t>
      </w:r>
      <w:r>
        <w:rPr/>
        <w:t>a</w:t>
      </w:r>
      <w:r>
        <w:rPr>
          <w:spacing w:val="40"/>
        </w:rPr>
        <w:t> </w:t>
      </w:r>
      <w:r>
        <w:rPr/>
        <w:t>statistically</w:t>
      </w:r>
      <w:r>
        <w:rPr>
          <w:spacing w:val="39"/>
        </w:rPr>
        <w:t> </w:t>
      </w:r>
      <w:r>
        <w:rPr/>
        <w:t>significant</w:t>
      </w:r>
      <w:r>
        <w:rPr>
          <w:spacing w:val="40"/>
        </w:rPr>
        <w:t> </w:t>
      </w:r>
      <w:r>
        <w:rPr/>
        <w:t>differences</w:t>
      </w:r>
      <w:r>
        <w:rPr>
          <w:spacing w:val="40"/>
        </w:rPr>
        <w:t> </w:t>
      </w:r>
      <w:r>
        <w:rPr/>
        <w:t>(</w:t>
      </w:r>
      <w:r>
        <w:rPr>
          <w:i/>
        </w:rPr>
        <w:t>P</w:t>
      </w:r>
      <w:r>
        <w:rPr/>
        <w:t>&lt;</w:t>
      </w:r>
      <w:r>
        <w:rPr>
          <w:spacing w:val="40"/>
        </w:rPr>
        <w:t> </w:t>
      </w:r>
      <w:r>
        <w:rPr/>
        <w:t>0.05±0.001)</w:t>
      </w:r>
      <w:r>
        <w:rPr>
          <w:spacing w:val="40"/>
        </w:rPr>
        <w:t> </w:t>
      </w:r>
      <w:r>
        <w:rPr/>
        <w:t>in</w:t>
      </w:r>
      <w:r>
        <w:rPr>
          <w:spacing w:val="40"/>
        </w:rPr>
        <w:t> </w:t>
      </w:r>
      <w:r>
        <w:rPr/>
        <w:t>the</w:t>
      </w:r>
      <w:r>
        <w:rPr>
          <w:spacing w:val="40"/>
        </w:rPr>
        <w:t> </w:t>
      </w:r>
      <w:r>
        <w:rPr/>
        <w:t>mean values</w:t>
      </w:r>
      <w:r>
        <w:rPr>
          <w:spacing w:val="68"/>
        </w:rPr>
        <w:t> </w:t>
      </w:r>
      <w:r>
        <w:rPr/>
        <w:t>of</w:t>
      </w:r>
      <w:r>
        <w:rPr>
          <w:spacing w:val="70"/>
        </w:rPr>
        <w:t> </w:t>
      </w:r>
      <w:r>
        <w:rPr/>
        <w:t>IFN</w:t>
      </w:r>
      <w:r>
        <w:rPr>
          <w:rFonts w:ascii="Symbol" w:hAnsi="Symbol"/>
        </w:rPr>
        <w:t></w:t>
      </w:r>
      <w:r>
        <w:rPr>
          <w:spacing w:val="68"/>
        </w:rPr>
        <w:t> </w:t>
      </w:r>
      <w:r>
        <w:rPr/>
        <w:t>and</w:t>
      </w:r>
      <w:r>
        <w:rPr>
          <w:spacing w:val="71"/>
        </w:rPr>
        <w:t> </w:t>
      </w:r>
      <w:r>
        <w:rPr/>
        <w:t>IL-10.</w:t>
      </w:r>
      <w:r>
        <w:rPr>
          <w:spacing w:val="68"/>
        </w:rPr>
        <w:t> </w:t>
      </w:r>
      <w:r>
        <w:rPr/>
        <w:t>Also,</w:t>
      </w:r>
      <w:r>
        <w:rPr>
          <w:spacing w:val="71"/>
        </w:rPr>
        <w:t> </w:t>
      </w:r>
      <w:r>
        <w:rPr/>
        <w:t>IL-10</w:t>
      </w:r>
      <w:r>
        <w:rPr>
          <w:spacing w:val="68"/>
        </w:rPr>
        <w:t> </w:t>
      </w:r>
      <w:r>
        <w:rPr/>
        <w:t>increased</w:t>
      </w:r>
      <w:r>
        <w:rPr>
          <w:spacing w:val="68"/>
        </w:rPr>
        <w:t> </w:t>
      </w:r>
      <w:r>
        <w:rPr/>
        <w:t>significantly</w:t>
      </w:r>
      <w:r>
        <w:rPr>
          <w:spacing w:val="40"/>
        </w:rPr>
        <w:t> </w:t>
      </w:r>
      <w:r>
        <w:rPr/>
        <w:t>after</w:t>
      </w:r>
      <w:r>
        <w:rPr>
          <w:spacing w:val="68"/>
        </w:rPr>
        <w:t> </w:t>
      </w:r>
      <w:r>
        <w:rPr/>
        <w:t>the</w:t>
      </w:r>
      <w:r>
        <w:rPr>
          <w:spacing w:val="67"/>
        </w:rPr>
        <w:t> </w:t>
      </w:r>
      <w:r>
        <w:rPr/>
        <w:t>first</w:t>
      </w:r>
      <w:r>
        <w:rPr>
          <w:spacing w:val="69"/>
        </w:rPr>
        <w:t> </w:t>
      </w:r>
      <w:r>
        <w:rPr/>
        <w:t>trimester. Furthermore, TNF</w:t>
      </w:r>
      <w:r>
        <w:rPr>
          <w:rFonts w:ascii="Symbol" w:hAnsi="Symbol"/>
        </w:rPr>
        <w:t></w:t>
      </w:r>
      <w:r>
        <w:rPr/>
        <w:t>,thought to induce pregnancy failure,showed a stable production profile</w:t>
      </w:r>
      <w:r>
        <w:rPr>
          <w:spacing w:val="40"/>
        </w:rPr>
        <w:t> </w:t>
      </w:r>
      <w:r>
        <w:rPr/>
        <w:t>in</w:t>
      </w:r>
      <w:r>
        <w:rPr>
          <w:spacing w:val="33"/>
        </w:rPr>
        <w:t> </w:t>
      </w:r>
      <w:r>
        <w:rPr/>
        <w:t>all</w:t>
      </w:r>
      <w:r>
        <w:rPr>
          <w:spacing w:val="33"/>
        </w:rPr>
        <w:t> </w:t>
      </w:r>
      <w:r>
        <w:rPr/>
        <w:t>stages.</w:t>
      </w:r>
      <w:r>
        <w:rPr>
          <w:spacing w:val="33"/>
        </w:rPr>
        <w:t> </w:t>
      </w:r>
      <w:r>
        <w:rPr/>
        <w:t>Finally,</w:t>
      </w:r>
      <w:r>
        <w:rPr>
          <w:spacing w:val="35"/>
        </w:rPr>
        <w:t> </w:t>
      </w:r>
      <w:r>
        <w:rPr/>
        <w:t>IL-10</w:t>
      </w:r>
      <w:r>
        <w:rPr>
          <w:spacing w:val="32"/>
        </w:rPr>
        <w:t> </w:t>
      </w:r>
      <w:r>
        <w:rPr/>
        <w:t>and</w:t>
      </w:r>
      <w:r>
        <w:rPr>
          <w:spacing w:val="35"/>
        </w:rPr>
        <w:t> </w:t>
      </w:r>
      <w:r>
        <w:rPr/>
        <w:t>IL-4;</w:t>
      </w:r>
      <w:r>
        <w:rPr>
          <w:spacing w:val="33"/>
        </w:rPr>
        <w:t> </w:t>
      </w:r>
      <w:r>
        <w:rPr/>
        <w:t>regarded</w:t>
      </w:r>
      <w:r>
        <w:rPr>
          <w:spacing w:val="35"/>
        </w:rPr>
        <w:t> </w:t>
      </w:r>
      <w:r>
        <w:rPr/>
        <w:t>as</w:t>
      </w:r>
      <w:r>
        <w:rPr>
          <w:spacing w:val="33"/>
        </w:rPr>
        <w:t> </w:t>
      </w:r>
      <w:r>
        <w:rPr/>
        <w:t>protective</w:t>
      </w:r>
      <w:r>
        <w:rPr>
          <w:spacing w:val="31"/>
        </w:rPr>
        <w:t> </w:t>
      </w:r>
      <w:r>
        <w:rPr/>
        <w:t>agents</w:t>
      </w:r>
      <w:r>
        <w:rPr>
          <w:spacing w:val="33"/>
        </w:rPr>
        <w:t> </w:t>
      </w:r>
      <w:r>
        <w:rPr/>
        <w:t>during</w:t>
      </w:r>
      <w:r>
        <w:rPr>
          <w:spacing w:val="32"/>
        </w:rPr>
        <w:t> </w:t>
      </w:r>
      <w:r>
        <w:rPr/>
        <w:t>pregnancy</w:t>
      </w:r>
      <w:r>
        <w:rPr>
          <w:spacing w:val="31"/>
        </w:rPr>
        <w:t> </w:t>
      </w:r>
      <w:r>
        <w:rPr/>
        <w:t>had constant values at the first and second trimesters while IL-10showed a peak production </w:t>
      </w:r>
      <w:r>
        <w:rPr>
          <w:spacing w:val="-2"/>
        </w:rPr>
        <w:t>duringlabour.</w:t>
      </w:r>
    </w:p>
    <w:p>
      <w:pPr>
        <w:pStyle w:val="BodyText"/>
      </w:pPr>
    </w:p>
    <w:p>
      <w:pPr>
        <w:pStyle w:val="BodyText"/>
        <w:spacing w:before="6"/>
      </w:pPr>
    </w:p>
    <w:p>
      <w:pPr>
        <w:pStyle w:val="Heading2"/>
        <w:tabs>
          <w:tab w:pos="1280" w:val="left" w:leader="none"/>
        </w:tabs>
      </w:pPr>
      <w:r>
        <w:rPr>
          <w:spacing w:val="-4"/>
        </w:rPr>
        <w:t>2.4.</w:t>
      </w:r>
      <w:r>
        <w:rPr/>
        <w:tab/>
        <w:t>CYTOKINES</w:t>
      </w:r>
      <w:r>
        <w:rPr>
          <w:spacing w:val="-3"/>
        </w:rPr>
        <w:t> </w:t>
      </w:r>
      <w:r>
        <w:rPr/>
        <w:t>AND</w:t>
      </w:r>
      <w:r>
        <w:rPr>
          <w:spacing w:val="-1"/>
        </w:rPr>
        <w:t> </w:t>
      </w:r>
      <w:r>
        <w:rPr/>
        <w:t>MALARIA</w:t>
      </w:r>
      <w:r>
        <w:rPr>
          <w:spacing w:val="-1"/>
        </w:rPr>
        <w:t> </w:t>
      </w:r>
      <w:r>
        <w:rPr/>
        <w:t>IN</w:t>
      </w:r>
      <w:r>
        <w:rPr>
          <w:spacing w:val="-1"/>
        </w:rPr>
        <w:t> </w:t>
      </w:r>
      <w:r>
        <w:rPr>
          <w:spacing w:val="-2"/>
        </w:rPr>
        <w:t>PREGNANCY</w:t>
      </w:r>
    </w:p>
    <w:p>
      <w:pPr>
        <w:pStyle w:val="BodyText"/>
        <w:spacing w:line="480" w:lineRule="auto" w:before="271"/>
        <w:ind w:left="560" w:right="794"/>
        <w:jc w:val="both"/>
      </w:pPr>
      <w:r>
        <w:rPr/>
        <w:t>In response to invading pathogens, the normal changes in the cytokine profile are truncated and reversed to T</w:t>
      </w:r>
      <w:r>
        <w:rPr>
          <w:vertAlign w:val="subscript"/>
        </w:rPr>
        <w:t>H</w:t>
      </w:r>
      <w:r>
        <w:rPr>
          <w:vertAlign w:val="baseline"/>
        </w:rPr>
        <w:t>1 cytokine bias. The pro-inflammatory cytokines are up-regulated. One of such conditions that induce up-regulation or over-expression of pro-inflammatory cytokines, and change the T</w:t>
      </w:r>
      <w:r>
        <w:rPr>
          <w:vertAlign w:val="subscript"/>
        </w:rPr>
        <w:t>H</w:t>
      </w:r>
      <w:r>
        <w:rPr>
          <w:vertAlign w:val="baseline"/>
        </w:rPr>
        <w:t>1/T</w:t>
      </w:r>
      <w:r>
        <w:rPr>
          <w:vertAlign w:val="subscript"/>
        </w:rPr>
        <w:t>H</w:t>
      </w:r>
      <w:r>
        <w:rPr>
          <w:vertAlign w:val="baseline"/>
        </w:rPr>
        <w:t>2 cytokine balance with bias to T</w:t>
      </w:r>
      <w:r>
        <w:rPr>
          <w:vertAlign w:val="subscript"/>
        </w:rPr>
        <w:t>H</w:t>
      </w:r>
      <w:r>
        <w:rPr>
          <w:vertAlign w:val="baseline"/>
        </w:rPr>
        <w:t>1 is maternal malaria (Clark </w:t>
      </w:r>
      <w:r>
        <w:rPr>
          <w:i/>
          <w:vertAlign w:val="baseline"/>
        </w:rPr>
        <w:t>et al.,</w:t>
      </w:r>
      <w:r>
        <w:rPr>
          <w:vertAlign w:val="baseline"/>
        </w:rPr>
        <w:t>2006).Malaria</w:t>
      </w:r>
      <w:r>
        <w:rPr>
          <w:spacing w:val="-3"/>
          <w:vertAlign w:val="baseline"/>
        </w:rPr>
        <w:t> </w:t>
      </w:r>
      <w:r>
        <w:rPr>
          <w:vertAlign w:val="baseline"/>
        </w:rPr>
        <w:t>parasiteinfection</w:t>
      </w:r>
      <w:r>
        <w:rPr>
          <w:spacing w:val="-1"/>
          <w:vertAlign w:val="baseline"/>
        </w:rPr>
        <w:t> </w:t>
      </w:r>
      <w:r>
        <w:rPr>
          <w:vertAlign w:val="baseline"/>
        </w:rPr>
        <w:t>of</w:t>
      </w:r>
      <w:r>
        <w:rPr>
          <w:spacing w:val="-2"/>
          <w:vertAlign w:val="baseline"/>
        </w:rPr>
        <w:t> </w:t>
      </w:r>
      <w:r>
        <w:rPr>
          <w:vertAlign w:val="baseline"/>
        </w:rPr>
        <w:t>the peripheral blood</w:t>
      </w:r>
      <w:r>
        <w:rPr>
          <w:spacing w:val="-1"/>
          <w:vertAlign w:val="baseline"/>
        </w:rPr>
        <w:t> </w:t>
      </w:r>
      <w:r>
        <w:rPr>
          <w:vertAlign w:val="baseline"/>
        </w:rPr>
        <w:t>and</w:t>
      </w:r>
      <w:r>
        <w:rPr>
          <w:spacing w:val="-1"/>
          <w:vertAlign w:val="baseline"/>
        </w:rPr>
        <w:t> </w:t>
      </w:r>
      <w:r>
        <w:rPr>
          <w:vertAlign w:val="baseline"/>
        </w:rPr>
        <w:t>its</w:t>
      </w:r>
      <w:r>
        <w:rPr>
          <w:spacing w:val="-1"/>
          <w:vertAlign w:val="baseline"/>
        </w:rPr>
        <w:t> </w:t>
      </w:r>
      <w:r>
        <w:rPr>
          <w:vertAlign w:val="baseline"/>
        </w:rPr>
        <w:t>sequestrationin</w:t>
      </w:r>
      <w:r>
        <w:rPr>
          <w:spacing w:val="-1"/>
          <w:vertAlign w:val="baseline"/>
        </w:rPr>
        <w:t> </w:t>
      </w:r>
      <w:r>
        <w:rPr>
          <w:vertAlign w:val="baseline"/>
        </w:rPr>
        <w:t>the</w:t>
      </w:r>
      <w:r>
        <w:rPr>
          <w:spacing w:val="-2"/>
          <w:vertAlign w:val="baseline"/>
        </w:rPr>
        <w:t> </w:t>
      </w:r>
      <w:r>
        <w:rPr>
          <w:vertAlign w:val="baseline"/>
        </w:rPr>
        <w:t>placenta elicits immune activation with predominance in T</w:t>
      </w:r>
      <w:r>
        <w:rPr>
          <w:vertAlign w:val="subscript"/>
        </w:rPr>
        <w:t>H</w:t>
      </w:r>
      <w:r>
        <w:rPr>
          <w:vertAlign w:val="baseline"/>
        </w:rPr>
        <w:t>1 cytokine response (Suguitan Jnr </w:t>
      </w:r>
      <w:r>
        <w:rPr>
          <w:i/>
          <w:vertAlign w:val="baseline"/>
        </w:rPr>
        <w:t>et al.,</w:t>
      </w:r>
      <w:r>
        <w:rPr>
          <w:vertAlign w:val="baseline"/>
        </w:rPr>
        <w:t>2003). Itdisrupts the normal immune response in the systemic and in the placenta,</w:t>
      </w:r>
      <w:r>
        <w:rPr>
          <w:spacing w:val="40"/>
          <w:vertAlign w:val="baseline"/>
        </w:rPr>
        <w:t> </w:t>
      </w:r>
      <w:r>
        <w:rPr>
          <w:vertAlign w:val="baseline"/>
        </w:rPr>
        <w:t>inducing increased synthesis of pro-inflammatory cytokines such as TNF</w:t>
      </w:r>
      <w:r>
        <w:rPr>
          <w:rFonts w:ascii="Symbol" w:hAnsi="Symbol"/>
          <w:vertAlign w:val="baseline"/>
        </w:rPr>
        <w:t></w:t>
      </w:r>
      <w:r>
        <w:rPr>
          <w:vertAlign w:val="baseline"/>
        </w:rPr>
        <w:t>, IL-2 and IFN</w:t>
      </w:r>
      <w:r>
        <w:rPr>
          <w:rFonts w:ascii="Symbol" w:hAnsi="Symbol"/>
          <w:vertAlign w:val="baseline"/>
        </w:rPr>
        <w:t></w:t>
      </w:r>
      <w:r>
        <w:rPr>
          <w:vertAlign w:val="baseline"/>
        </w:rPr>
        <w:t>, contributing to adverse maternal and postnatal outcome.Several investigations have reported increased levels of pro-inflammatory cytokine (IFN</w:t>
      </w:r>
      <w:r>
        <w:rPr>
          <w:rFonts w:ascii="Symbol" w:hAnsi="Symbol"/>
          <w:vertAlign w:val="baseline"/>
        </w:rPr>
        <w:t></w:t>
      </w:r>
      <w:r>
        <w:rPr>
          <w:vertAlign w:val="baseline"/>
        </w:rPr>
        <w:t> and TNF</w:t>
      </w:r>
      <w:r>
        <w:rPr>
          <w:rFonts w:ascii="Symbol" w:hAnsi="Symbol"/>
          <w:vertAlign w:val="baseline"/>
        </w:rPr>
        <w:t></w:t>
      </w:r>
      <w:r>
        <w:rPr>
          <w:vertAlign w:val="baseline"/>
        </w:rPr>
        <w:t>) in women with malaria. Again, the condition is worsened because white blood cells; essentially important at controlling malaria parasite density, also induces the release of more inflammatory cytokines.Marked increase and persistent production of TNF</w:t>
      </w:r>
      <w:r>
        <w:rPr>
          <w:rFonts w:ascii="Symbol" w:hAnsi="Symbol"/>
          <w:vertAlign w:val="baseline"/>
        </w:rPr>
        <w:t></w:t>
      </w:r>
      <w:r>
        <w:rPr>
          <w:vertAlign w:val="baseline"/>
        </w:rPr>
        <w:t> paralleled by decreased production of IL-10 and TGF</w:t>
      </w:r>
      <w:r>
        <w:rPr>
          <w:rFonts w:ascii="Symbol" w:hAnsi="Symbol"/>
          <w:vertAlign w:val="baseline"/>
        </w:rPr>
        <w:t></w:t>
      </w:r>
      <w:r>
        <w:rPr>
          <w:vertAlign w:val="baseline"/>
        </w:rPr>
        <w:t> is observed in severe or complicated malaria (Torre </w:t>
      </w:r>
      <w:r>
        <w:rPr>
          <w:i/>
          <w:vertAlign w:val="baseline"/>
        </w:rPr>
        <w:t>et </w:t>
      </w:r>
      <w:r>
        <w:rPr>
          <w:i/>
          <w:spacing w:val="-2"/>
          <w:vertAlign w:val="baseline"/>
        </w:rPr>
        <w:t>al.,</w:t>
      </w:r>
      <w:r>
        <w:rPr>
          <w:spacing w:val="-2"/>
          <w:vertAlign w:val="baseline"/>
        </w:rPr>
        <w:t>2002).</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In a study</w:t>
      </w:r>
      <w:r>
        <w:rPr>
          <w:spacing w:val="-4"/>
        </w:rPr>
        <w:t> </w:t>
      </w:r>
      <w:r>
        <w:rPr/>
        <w:t>on cytokine profile among Human Immunodeficiency</w:t>
      </w:r>
      <w:r>
        <w:rPr>
          <w:spacing w:val="-3"/>
        </w:rPr>
        <w:t> </w:t>
      </w:r>
      <w:r>
        <w:rPr/>
        <w:t>Virus (HIV) and malaria co- infected pregnant mothers and their babies at post-delivery in Saki, Southwestern Nigeria, (Adeoti </w:t>
      </w:r>
      <w:r>
        <w:rPr>
          <w:i/>
        </w:rPr>
        <w:t>et al.,</w:t>
      </w:r>
      <w:r>
        <w:rPr/>
        <w:t>2012) reported prevalence of malaria at 57%. They indicated a direct relationship between cytokine (IFNγ, TNFα, IL-2 and IL-10) levels and malaria parasite infection. On</w:t>
      </w:r>
      <w:r>
        <w:rPr>
          <w:spacing w:val="-1"/>
        </w:rPr>
        <w:t> </w:t>
      </w:r>
      <w:r>
        <w:rPr/>
        <w:t>another</w:t>
      </w:r>
      <w:r>
        <w:rPr>
          <w:spacing w:val="-2"/>
        </w:rPr>
        <w:t> </w:t>
      </w:r>
      <w:r>
        <w:rPr/>
        <w:t>study</w:t>
      </w:r>
      <w:r>
        <w:rPr>
          <w:spacing w:val="-3"/>
        </w:rPr>
        <w:t> </w:t>
      </w:r>
      <w:r>
        <w:rPr/>
        <w:t>on pro-inflammatory</w:t>
      </w:r>
      <w:r>
        <w:rPr>
          <w:spacing w:val="-5"/>
        </w:rPr>
        <w:t> </w:t>
      </w:r>
      <w:r>
        <w:rPr/>
        <w:t>cytokine</w:t>
      </w:r>
      <w:r>
        <w:rPr>
          <w:spacing w:val="-1"/>
        </w:rPr>
        <w:t> </w:t>
      </w:r>
      <w:r>
        <w:rPr/>
        <w:t>profile,</w:t>
      </w:r>
      <w:r>
        <w:rPr>
          <w:spacing w:val="-1"/>
        </w:rPr>
        <w:t> </w:t>
      </w:r>
      <w:r>
        <w:rPr/>
        <w:t>in the</w:t>
      </w:r>
      <w:r>
        <w:rPr>
          <w:spacing w:val="-1"/>
        </w:rPr>
        <w:t> </w:t>
      </w:r>
      <w:r>
        <w:rPr/>
        <w:t>blood of</w:t>
      </w:r>
      <w:r>
        <w:rPr>
          <w:spacing w:val="-1"/>
        </w:rPr>
        <w:t> </w:t>
      </w:r>
      <w:r>
        <w:rPr/>
        <w:t>96 pregnant women infected with malaria in Ekpoma, Edo State, Nigeria, Nmorsi </w:t>
      </w:r>
      <w:r>
        <w:rPr>
          <w:i/>
        </w:rPr>
        <w:t>et al.,</w:t>
      </w:r>
      <w:r>
        <w:rPr/>
        <w:t>(2010) observed a significantly increased serum concentration of IFN</w:t>
      </w:r>
      <w:r>
        <w:rPr>
          <w:rFonts w:ascii="Symbol" w:hAnsi="Symbol"/>
        </w:rPr>
        <w:t></w:t>
      </w:r>
      <w:r>
        <w:rPr/>
        <w:t> in infected pregnant women than their uninfected counterparts and the differences were statistically significant </w:t>
      </w:r>
      <w:r>
        <w:rPr>
          <w:i/>
        </w:rPr>
        <w:t>P</w:t>
      </w:r>
      <w:r>
        <w:rPr/>
        <w:t>&lt;0.05. IL-12 was depressed in the infected than the uninfected but was not significant </w:t>
      </w:r>
      <w:r>
        <w:rPr>
          <w:i/>
        </w:rPr>
        <w:t>P</w:t>
      </w:r>
      <w:r>
        <w:rPr/>
        <w:t>&gt;0.05. IL-6 was significantly elevated in infected pregnant women than the uninfected pregnant women </w:t>
      </w:r>
      <w:r>
        <w:rPr>
          <w:i/>
        </w:rPr>
        <w:t>P</w:t>
      </w:r>
      <w:r>
        <w:rPr/>
        <w:t>&lt;0.05. In the placenta, the mean ± SD concentration of IL-6, IL-12 and IFN</w:t>
      </w:r>
      <w:r>
        <w:rPr>
          <w:rFonts w:ascii="Symbol" w:hAnsi="Symbol"/>
        </w:rPr>
        <w:t></w:t>
      </w:r>
      <w:r>
        <w:rPr/>
        <w:t> from infected pregnant women were significantly higher than the uninfected subjects. In addition, in the</w:t>
      </w:r>
      <w:r>
        <w:rPr>
          <w:spacing w:val="40"/>
        </w:rPr>
        <w:t> </w:t>
      </w:r>
      <w:r>
        <w:rPr/>
        <w:t>sera from peripheral blood, the mean concentration of IFN</w:t>
      </w:r>
      <w:r>
        <w:rPr>
          <w:rFonts w:ascii="Symbol" w:hAnsi="Symbol"/>
        </w:rPr>
        <w:t></w:t>
      </w:r>
      <w:r>
        <w:rPr/>
        <w:t> for multigravidae was</w:t>
      </w:r>
      <w:r>
        <w:rPr>
          <w:spacing w:val="80"/>
        </w:rPr>
        <w:t> </w:t>
      </w:r>
      <w:r>
        <w:rPr/>
        <w:t>statistically lower than primigravidae counterparts </w:t>
      </w:r>
      <w:r>
        <w:rPr>
          <w:i/>
        </w:rPr>
        <w:t>P</w:t>
      </w:r>
      <w:r>
        <w:rPr/>
        <w:t>&lt; 0.05. The mean ± SD concentration of IL-6 among the infected multigravidae was 52.5</w:t>
      </w:r>
      <w:r>
        <w:rPr>
          <w:rFonts w:ascii="Symbol" w:hAnsi="Symbol"/>
        </w:rPr>
        <w:t></w:t>
      </w:r>
      <w:r>
        <w:rPr/>
        <w:t>39.6 pg/ml while the primigravidae was 109.5</w:t>
      </w:r>
      <w:r>
        <w:rPr>
          <w:rFonts w:ascii="Symbol" w:hAnsi="Symbol"/>
        </w:rPr>
        <w:t></w:t>
      </w:r>
      <w:r>
        <w:rPr/>
        <w:t>38.8 pg/ml; the difference was statistically significant</w:t>
      </w:r>
      <w:r>
        <w:rPr>
          <w:i/>
        </w:rPr>
        <w:t>P</w:t>
      </w:r>
      <w:r>
        <w:rPr/>
        <w:t>&lt; 0.05. In Ghana, Wilson</w:t>
      </w:r>
      <w:r>
        <w:rPr>
          <w:i/>
        </w:rPr>
        <w:t>et al.,</w:t>
      </w:r>
      <w:r>
        <w:rPr/>
        <w:t>(2010) studied the level of 27 biomarkers in 30 healthy pregnant subjects, of which 27 were asymptomatic to malaria and fifteen (15) healthy uninfected subjectsserved as control. They showed that IL-10 and Granulocyte Colony Stimulating Factor(G-CSF) were elevated and statistically higher (</w:t>
      </w:r>
      <w:r>
        <w:rPr>
          <w:i/>
        </w:rPr>
        <w:t>P</w:t>
      </w:r>
      <w:r>
        <w:rPr/>
        <w:t>&lt;0.05) in the asymptomatic group when compared with the control group.</w:t>
      </w:r>
      <w:r>
        <w:rPr>
          <w:spacing w:val="40"/>
        </w:rPr>
        <w:t> </w:t>
      </w:r>
      <w:r>
        <w:rPr/>
        <w:t>On the other hand, IFN</w:t>
      </w:r>
      <w:r>
        <w:rPr>
          <w:rFonts w:ascii="Symbol" w:hAnsi="Symbol"/>
        </w:rPr>
        <w:t></w:t>
      </w:r>
      <w:r>
        <w:rPr/>
        <w:t> and TNF</w:t>
      </w:r>
      <w:r>
        <w:rPr>
          <w:rFonts w:ascii="Symbol" w:hAnsi="Symbol"/>
        </w:rPr>
        <w:t></w:t>
      </w:r>
      <w:r>
        <w:rPr/>
        <w:t> showed marginal changes though not </w:t>
      </w:r>
      <w:r>
        <w:rPr>
          <w:spacing w:val="-2"/>
        </w:rPr>
        <w:t>significant(P&gt;0.05).</w:t>
      </w:r>
    </w:p>
    <w:p>
      <w:pPr>
        <w:pStyle w:val="BodyText"/>
        <w:spacing w:before="3"/>
      </w:pPr>
    </w:p>
    <w:p>
      <w:pPr>
        <w:pStyle w:val="BodyText"/>
        <w:spacing w:line="480" w:lineRule="auto"/>
        <w:ind w:left="560" w:right="794"/>
        <w:jc w:val="both"/>
      </w:pPr>
      <w:r>
        <w:rPr/>
        <w:t>Another study on serum anti-inflammatory interleukin profile by Nmorsi </w:t>
      </w:r>
      <w:r>
        <w:rPr>
          <w:i/>
        </w:rPr>
        <w:t>et al.,</w:t>
      </w:r>
      <w:r>
        <w:rPr/>
        <w:t>(2010) in Ekpoma, Edo State, Nigeria and among 96 pregnant women showed the level of parasitaemiaas</w:t>
      </w:r>
      <w:r>
        <w:rPr>
          <w:spacing w:val="25"/>
        </w:rPr>
        <w:t> </w:t>
      </w:r>
      <w:r>
        <w:rPr/>
        <w:t>mild</w:t>
      </w:r>
      <w:r>
        <w:rPr>
          <w:spacing w:val="28"/>
        </w:rPr>
        <w:t> </w:t>
      </w:r>
      <w:r>
        <w:rPr/>
        <w:t>and</w:t>
      </w:r>
      <w:r>
        <w:rPr>
          <w:spacing w:val="29"/>
        </w:rPr>
        <w:t> </w:t>
      </w:r>
      <w:r>
        <w:rPr/>
        <w:t>moderate.</w:t>
      </w:r>
      <w:r>
        <w:rPr>
          <w:spacing w:val="30"/>
        </w:rPr>
        <w:t> </w:t>
      </w:r>
      <w:r>
        <w:rPr/>
        <w:t>The</w:t>
      </w:r>
      <w:r>
        <w:rPr>
          <w:spacing w:val="28"/>
        </w:rPr>
        <w:t> </w:t>
      </w:r>
      <w:r>
        <w:rPr/>
        <w:t>concentration</w:t>
      </w:r>
      <w:r>
        <w:rPr>
          <w:spacing w:val="27"/>
        </w:rPr>
        <w:t> </w:t>
      </w:r>
      <w:r>
        <w:rPr/>
        <w:t>of</w:t>
      </w:r>
      <w:r>
        <w:rPr>
          <w:spacing w:val="31"/>
        </w:rPr>
        <w:t> </w:t>
      </w:r>
      <w:r>
        <w:rPr/>
        <w:t>IL-10</w:t>
      </w:r>
      <w:r>
        <w:rPr>
          <w:spacing w:val="27"/>
        </w:rPr>
        <w:t> </w:t>
      </w:r>
      <w:r>
        <w:rPr/>
        <w:t>in</w:t>
      </w:r>
      <w:r>
        <w:rPr>
          <w:spacing w:val="30"/>
        </w:rPr>
        <w:t> </w:t>
      </w:r>
      <w:r>
        <w:rPr/>
        <w:t>the</w:t>
      </w:r>
      <w:r>
        <w:rPr>
          <w:spacing w:val="27"/>
        </w:rPr>
        <w:t> </w:t>
      </w:r>
      <w:r>
        <w:rPr/>
        <w:t>peripheral</w:t>
      </w:r>
      <w:r>
        <w:rPr>
          <w:spacing w:val="28"/>
        </w:rPr>
        <w:t> </w:t>
      </w:r>
      <w:r>
        <w:rPr/>
        <w:t>blood</w:t>
      </w:r>
      <w:r>
        <w:rPr>
          <w:spacing w:val="33"/>
        </w:rPr>
        <w:t> </w:t>
      </w:r>
      <w:r>
        <w:rPr>
          <w:spacing w:val="-5"/>
        </w:rPr>
        <w:t>was</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elevated in mild infection than moderate infection and the difference was statistically significant at P&lt;0.05.IL-4 was elevated in mild infection than moderate infection while depressed levels of IL-5 were observed with mild infection than moderate infection. In the placenta, increased concentration of IL-4 was recorded with moderate infection compared with mild infection (</w:t>
      </w:r>
      <w:r>
        <w:rPr>
          <w:i/>
        </w:rPr>
        <w:t>P</w:t>
      </w:r>
      <w:r>
        <w:rPr/>
        <w:t>&lt;0.05). A depressed level of IL-5 was seen in mild infection than moderate infection. On the other aspect, evaluation of iron by degree of parasitaemia showed the mean haemoglobin level to be higher in mild infection than moderate infection.</w:t>
      </w:r>
    </w:p>
    <w:p>
      <w:pPr>
        <w:pStyle w:val="BodyText"/>
        <w:spacing w:before="1"/>
      </w:pPr>
    </w:p>
    <w:p>
      <w:pPr>
        <w:pStyle w:val="BodyText"/>
        <w:spacing w:line="480" w:lineRule="auto"/>
        <w:ind w:left="560" w:right="789"/>
        <w:jc w:val="both"/>
      </w:pPr>
      <w:r>
        <w:rPr/>
        <w:t>In a work on cytokine profile in peripheral, placental and cord bloodamong 87 women in an area of unstable malaria transmission in Eastern Sudan, Bayoumi </w:t>
      </w:r>
      <w:r>
        <w:rPr>
          <w:i/>
        </w:rPr>
        <w:t>et al.,</w:t>
      </w:r>
      <w:r>
        <w:rPr/>
        <w:t>(2008) posited that IFNγ, IL-4 and IL-10 levels were significantly higher in peripheral and placental sera of uninfected than in the sera from infected women. The levels of these cytokines were not significantly different between primigravidae and multigravidae. However, strong positive correlation existed between peripheral and placental cytokines. Furthermore, IFNγ concentration was significantly lower in the cord sera from uninfected women in comparison to the infected ones. Also cord sera in all groups showed lower levels of the three cytokines</w:t>
      </w:r>
      <w:r>
        <w:rPr>
          <w:spacing w:val="40"/>
        </w:rPr>
        <w:t> </w:t>
      </w:r>
      <w:r>
        <w:rPr/>
        <w:t>of study. They concluded that the immune responses that occur in placental, peripheral and cord blood were influenced by the malaria infections irrespective of parity. Also the immune response during </w:t>
      </w:r>
      <w:r>
        <w:rPr>
          <w:i/>
        </w:rPr>
        <w:t>P. falciparum </w:t>
      </w:r>
      <w:r>
        <w:rPr/>
        <w:t>infection was not different in the peripheral and placental compartment.In Sudan, Bayoumi </w:t>
      </w:r>
      <w:r>
        <w:rPr>
          <w:i/>
        </w:rPr>
        <w:t>et al.,</w:t>
      </w:r>
      <w:r>
        <w:rPr/>
        <w:t>(2009) worked on the susceptibility to cortisol, prolactin, and cytokinein 82 pregnant study subjects. They showed that IL-10 was significantly higher in pregnancy in uncomplicated P. </w:t>
      </w:r>
      <w:r>
        <w:rPr>
          <w:i/>
        </w:rPr>
        <w:t>falciparum </w:t>
      </w:r>
      <w:r>
        <w:rPr/>
        <w:t>malaria than the control subjects while IFN</w:t>
      </w:r>
      <w:r>
        <w:rPr>
          <w:rFonts w:ascii="Symbol" w:hAnsi="Symbol"/>
        </w:rPr>
        <w:t></w:t>
      </w:r>
      <w:r>
        <w:rPr/>
        <w:t> was significantly lower. On parity, the values obtained shows that parity did not appear to influence the immune responsewhen compared with the control subjects </w:t>
      </w:r>
      <w:r>
        <w:rPr>
          <w:spacing w:val="-2"/>
        </w:rPr>
        <w:t>(P&gt;0.05).</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Again,in a study on 239 pregnant subjects in Yaounde, Cameroun, Suguitan</w:t>
      </w:r>
      <w:r>
        <w:rPr>
          <w:i/>
        </w:rPr>
        <w:t>et al.,</w:t>
      </w:r>
      <w:r>
        <w:rPr/>
        <w:t>(2003) showed the level of parasitaemiaas significantly higher in the placenta than in the peripheral blood (P&lt;0.05). In addition, the levels of IFN</w:t>
      </w:r>
      <w:r>
        <w:rPr>
          <w:rFonts w:ascii="Symbol" w:hAnsi="Symbol"/>
        </w:rPr>
        <w:t></w:t>
      </w:r>
      <w:r>
        <w:rPr/>
        <w:t>, TNF</w:t>
      </w:r>
      <w:r>
        <w:rPr>
          <w:rFonts w:ascii="Symbol" w:hAnsi="Symbol"/>
        </w:rPr>
        <w:t></w:t>
      </w:r>
      <w:r>
        <w:rPr/>
        <w:t> and IL-10 were significantly higher in the plasma from malaria positive placenta than in the plasma from uninfected placentas. The mean values of IFN</w:t>
      </w:r>
      <w:r>
        <w:rPr>
          <w:rFonts w:ascii="Symbol" w:hAnsi="Symbol"/>
        </w:rPr>
        <w:t></w:t>
      </w:r>
      <w:r>
        <w:rPr/>
        <w:t>, TNF</w:t>
      </w:r>
      <w:r>
        <w:rPr>
          <w:rFonts w:ascii="Symbol" w:hAnsi="Symbol"/>
        </w:rPr>
        <w:t></w:t>
      </w:r>
      <w:r>
        <w:rPr/>
        <w:t>, IL-10 and IL-4 were 9.7pg/ml, 10.6pg/ml, 16pg/ml and 9.0pg/ml respectively for uninfected placentas where as the mean values of IFN</w:t>
      </w:r>
      <w:r>
        <w:rPr>
          <w:rFonts w:ascii="Symbol" w:hAnsi="Symbol"/>
        </w:rPr>
        <w:t></w:t>
      </w:r>
      <w:r>
        <w:rPr/>
        <w:t>, TNF</w:t>
      </w:r>
      <w:r>
        <w:rPr>
          <w:rFonts w:ascii="Symbol" w:hAnsi="Symbol"/>
        </w:rPr>
        <w:t></w:t>
      </w:r>
      <w:r>
        <w:rPr/>
        <w:t>, IL- 10</w:t>
      </w:r>
      <w:r>
        <w:rPr>
          <w:spacing w:val="-4"/>
        </w:rPr>
        <w:t> </w:t>
      </w:r>
      <w:r>
        <w:rPr/>
        <w:t>and IL-4</w:t>
      </w:r>
      <w:r>
        <w:rPr>
          <w:spacing w:val="-2"/>
        </w:rPr>
        <w:t> </w:t>
      </w:r>
      <w:r>
        <w:rPr/>
        <w:t>(11.9pg/ml,</w:t>
      </w:r>
      <w:r>
        <w:rPr>
          <w:spacing w:val="-4"/>
        </w:rPr>
        <w:t> </w:t>
      </w:r>
      <w:r>
        <w:rPr/>
        <w:t>13.4pg/ml,</w:t>
      </w:r>
      <w:r>
        <w:rPr>
          <w:spacing w:val="-4"/>
        </w:rPr>
        <w:t> </w:t>
      </w:r>
      <w:r>
        <w:rPr/>
        <w:t>32.0pg/ml</w:t>
      </w:r>
      <w:r>
        <w:rPr>
          <w:spacing w:val="-4"/>
        </w:rPr>
        <w:t> </w:t>
      </w:r>
      <w:r>
        <w:rPr/>
        <w:t>and</w:t>
      </w:r>
      <w:r>
        <w:rPr>
          <w:spacing w:val="-4"/>
        </w:rPr>
        <w:t> </w:t>
      </w:r>
      <w:r>
        <w:rPr/>
        <w:t>8.3pg/ml</w:t>
      </w:r>
      <w:r>
        <w:rPr>
          <w:spacing w:val="-4"/>
        </w:rPr>
        <w:t> </w:t>
      </w:r>
      <w:r>
        <w:rPr/>
        <w:t>respectively) were</w:t>
      </w:r>
      <w:r>
        <w:rPr>
          <w:spacing w:val="-4"/>
        </w:rPr>
        <w:t> </w:t>
      </w:r>
      <w:r>
        <w:rPr/>
        <w:t>obtained</w:t>
      </w:r>
      <w:r>
        <w:rPr>
          <w:spacing w:val="-2"/>
        </w:rPr>
        <w:t> </w:t>
      </w:r>
      <w:r>
        <w:rPr/>
        <w:t>from infected</w:t>
      </w:r>
      <w:r>
        <w:rPr>
          <w:spacing w:val="-3"/>
        </w:rPr>
        <w:t> </w:t>
      </w:r>
      <w:r>
        <w:rPr/>
        <w:t>placentas.</w:t>
      </w:r>
      <w:r>
        <w:rPr>
          <w:spacing w:val="-2"/>
        </w:rPr>
        <w:t> </w:t>
      </w:r>
      <w:r>
        <w:rPr/>
        <w:t>However,</w:t>
      </w:r>
      <w:r>
        <w:rPr>
          <w:spacing w:val="-3"/>
        </w:rPr>
        <w:t> </w:t>
      </w:r>
      <w:r>
        <w:rPr/>
        <w:t>no</w:t>
      </w:r>
      <w:r>
        <w:rPr>
          <w:spacing w:val="-4"/>
        </w:rPr>
        <w:t> </w:t>
      </w:r>
      <w:r>
        <w:rPr/>
        <w:t>significant</w:t>
      </w:r>
      <w:r>
        <w:rPr>
          <w:spacing w:val="-3"/>
        </w:rPr>
        <w:t> </w:t>
      </w:r>
      <w:r>
        <w:rPr/>
        <w:t>difference</w:t>
      </w:r>
      <w:r>
        <w:rPr>
          <w:spacing w:val="-4"/>
        </w:rPr>
        <w:t> </w:t>
      </w:r>
      <w:r>
        <w:rPr/>
        <w:t>was</w:t>
      </w:r>
      <w:r>
        <w:rPr>
          <w:spacing w:val="-3"/>
        </w:rPr>
        <w:t> </w:t>
      </w:r>
      <w:r>
        <w:rPr/>
        <w:t>observed</w:t>
      </w:r>
      <w:r>
        <w:rPr>
          <w:spacing w:val="-3"/>
        </w:rPr>
        <w:t> </w:t>
      </w:r>
      <w:r>
        <w:rPr/>
        <w:t>between</w:t>
      </w:r>
      <w:r>
        <w:rPr>
          <w:spacing w:val="-3"/>
        </w:rPr>
        <w:t> </w:t>
      </w:r>
      <w:r>
        <w:rPr/>
        <w:t>malaria</w:t>
      </w:r>
      <w:r>
        <w:rPr>
          <w:spacing w:val="-5"/>
        </w:rPr>
        <w:t> </w:t>
      </w:r>
      <w:r>
        <w:rPr/>
        <w:t>infected and uninfected placentas with IL-4.</w:t>
      </w:r>
    </w:p>
    <w:p>
      <w:pPr>
        <w:pStyle w:val="BodyText"/>
        <w:spacing w:before="1"/>
      </w:pPr>
    </w:p>
    <w:p>
      <w:pPr>
        <w:pStyle w:val="BodyText"/>
        <w:tabs>
          <w:tab w:pos="2925" w:val="left" w:leader="none"/>
        </w:tabs>
        <w:spacing w:line="480" w:lineRule="auto"/>
        <w:ind w:left="560" w:right="795"/>
      </w:pPr>
      <w:r>
        <w:rPr/>
        <w:t>In</w:t>
      </w:r>
      <w:r>
        <w:rPr>
          <w:spacing w:val="40"/>
        </w:rPr>
        <w:t> </w:t>
      </w:r>
      <w:r>
        <w:rPr/>
        <w:t>a</w:t>
      </w:r>
      <w:r>
        <w:rPr>
          <w:spacing w:val="40"/>
        </w:rPr>
        <w:t> </w:t>
      </w:r>
      <w:r>
        <w:rPr/>
        <w:t>work</w:t>
      </w:r>
      <w:r>
        <w:rPr>
          <w:spacing w:val="40"/>
        </w:rPr>
        <w:t> </w:t>
      </w:r>
      <w:r>
        <w:rPr/>
        <w:t>in</w:t>
      </w:r>
      <w:r>
        <w:rPr>
          <w:spacing w:val="40"/>
        </w:rPr>
        <w:t> </w:t>
      </w:r>
      <w:r>
        <w:rPr/>
        <w:t>Mangochi,</w:t>
      </w:r>
      <w:r>
        <w:rPr>
          <w:spacing w:val="40"/>
        </w:rPr>
        <w:t> </w:t>
      </w:r>
      <w:r>
        <w:rPr/>
        <w:t>Malawi,</w:t>
      </w:r>
      <w:r>
        <w:rPr>
          <w:spacing w:val="40"/>
        </w:rPr>
        <w:t> </w:t>
      </w:r>
      <w:r>
        <w:rPr/>
        <w:t>and</w:t>
      </w:r>
      <w:r>
        <w:rPr>
          <w:spacing w:val="40"/>
        </w:rPr>
        <w:t> </w:t>
      </w:r>
      <w:r>
        <w:rPr/>
        <w:t>in</w:t>
      </w:r>
      <w:r>
        <w:rPr>
          <w:spacing w:val="40"/>
        </w:rPr>
        <w:t> </w:t>
      </w:r>
      <w:r>
        <w:rPr/>
        <w:t>determining</w:t>
      </w:r>
      <w:r>
        <w:rPr>
          <w:spacing w:val="40"/>
        </w:rPr>
        <w:t> </w:t>
      </w:r>
      <w:r>
        <w:rPr/>
        <w:t>placental</w:t>
      </w:r>
      <w:r>
        <w:rPr>
          <w:spacing w:val="40"/>
        </w:rPr>
        <w:t> </w:t>
      </w:r>
      <w:r>
        <w:rPr/>
        <w:t>cytokine</w:t>
      </w:r>
      <w:r>
        <w:rPr>
          <w:spacing w:val="40"/>
        </w:rPr>
        <w:t> </w:t>
      </w:r>
      <w:r>
        <w:rPr/>
        <w:t>expression</w:t>
      </w:r>
      <w:r>
        <w:rPr>
          <w:spacing w:val="40"/>
        </w:rPr>
        <w:t> </w:t>
      </w:r>
      <w:r>
        <w:rPr/>
        <w:t>using cytokine</w:t>
      </w:r>
      <w:r>
        <w:rPr>
          <w:spacing w:val="40"/>
        </w:rPr>
        <w:t> </w:t>
      </w:r>
      <w:r>
        <w:rPr/>
        <w:t>mRNA</w:t>
      </w:r>
      <w:r>
        <w:rPr>
          <w:spacing w:val="40"/>
        </w:rPr>
        <w:t> </w:t>
      </w:r>
      <w:r>
        <w:rPr/>
        <w:t>in</w:t>
      </w:r>
      <w:r>
        <w:rPr>
          <w:spacing w:val="40"/>
        </w:rPr>
        <w:t> </w:t>
      </w:r>
      <w:r>
        <w:rPr/>
        <w:t>23</w:t>
      </w:r>
      <w:r>
        <w:rPr>
          <w:spacing w:val="40"/>
        </w:rPr>
        <w:t> </w:t>
      </w:r>
      <w:r>
        <w:rPr/>
        <w:t>malaria</w:t>
      </w:r>
      <w:r>
        <w:rPr>
          <w:spacing w:val="40"/>
        </w:rPr>
        <w:t> </w:t>
      </w:r>
      <w:r>
        <w:rPr/>
        <w:t>infected</w:t>
      </w:r>
      <w:r>
        <w:rPr>
          <w:spacing w:val="40"/>
        </w:rPr>
        <w:t> </w:t>
      </w:r>
      <w:r>
        <w:rPr/>
        <w:t>and</w:t>
      </w:r>
      <w:r>
        <w:rPr>
          <w:spacing w:val="40"/>
        </w:rPr>
        <w:t> </w:t>
      </w:r>
      <w:r>
        <w:rPr/>
        <w:t>21</w:t>
      </w:r>
      <w:r>
        <w:rPr>
          <w:spacing w:val="40"/>
        </w:rPr>
        <w:t> </w:t>
      </w:r>
      <w:r>
        <w:rPr/>
        <w:t>uninfected</w:t>
      </w:r>
      <w:r>
        <w:rPr>
          <w:spacing w:val="40"/>
        </w:rPr>
        <w:t> </w:t>
      </w:r>
      <w:r>
        <w:rPr/>
        <w:t>primigravidae,(Mooremann</w:t>
      </w:r>
      <w:r>
        <w:rPr>
          <w:spacing w:val="40"/>
        </w:rPr>
        <w:t> </w:t>
      </w:r>
      <w:r>
        <w:rPr>
          <w:i/>
        </w:rPr>
        <w:t>et al.,</w:t>
      </w:r>
      <w:r>
        <w:rPr/>
        <w:t>1999)</w:t>
      </w:r>
      <w:r>
        <w:rPr>
          <w:spacing w:val="80"/>
        </w:rPr>
        <w:t> </w:t>
      </w:r>
      <w:r>
        <w:rPr/>
        <w:t>reported</w:t>
      </w:r>
      <w:r>
        <w:rPr>
          <w:spacing w:val="80"/>
        </w:rPr>
        <w:t> </w:t>
      </w:r>
      <w:r>
        <w:rPr/>
        <w:t>a</w:t>
        <w:tab/>
        <w:t>significantly(</w:t>
      </w:r>
      <w:r>
        <w:rPr>
          <w:i/>
        </w:rPr>
        <w:t>P</w:t>
      </w:r>
      <w:r>
        <w:rPr/>
        <w:t>&lt;</w:t>
      </w:r>
      <w:r>
        <w:rPr>
          <w:spacing w:val="80"/>
          <w:w w:val="150"/>
        </w:rPr>
        <w:t> </w:t>
      </w:r>
      <w:r>
        <w:rPr/>
        <w:t>0.05)</w:t>
      </w:r>
      <w:r>
        <w:rPr>
          <w:spacing w:val="80"/>
          <w:w w:val="150"/>
        </w:rPr>
        <w:t> </w:t>
      </w:r>
      <w:r>
        <w:rPr/>
        <w:t>increased</w:t>
      </w:r>
      <w:r>
        <w:rPr>
          <w:spacing w:val="80"/>
          <w:w w:val="150"/>
        </w:rPr>
        <w:t> </w:t>
      </w:r>
      <w:r>
        <w:rPr/>
        <w:t>expression</w:t>
      </w:r>
      <w:r>
        <w:rPr>
          <w:spacing w:val="80"/>
          <w:w w:val="150"/>
        </w:rPr>
        <w:t> </w:t>
      </w:r>
      <w:r>
        <w:rPr/>
        <w:t>with</w:t>
      </w:r>
      <w:r>
        <w:rPr>
          <w:spacing w:val="80"/>
          <w:w w:val="150"/>
        </w:rPr>
        <w:t> </w:t>
      </w:r>
      <w:r>
        <w:rPr/>
        <w:t>TNF</w:t>
      </w:r>
      <w:r>
        <w:rPr>
          <w:rFonts w:ascii="Symbol" w:hAnsi="Symbol"/>
        </w:rPr>
        <w:t></w:t>
      </w:r>
      <w:r>
        <w:rPr/>
        <w:t>and</w:t>
      </w:r>
      <w:r>
        <w:rPr>
          <w:spacing w:val="80"/>
          <w:w w:val="150"/>
        </w:rPr>
        <w:t> </w:t>
      </w:r>
      <w:r>
        <w:rPr/>
        <w:t>a significantly(</w:t>
      </w:r>
      <w:r>
        <w:rPr>
          <w:i/>
        </w:rPr>
        <w:t>P</w:t>
      </w:r>
      <w:r>
        <w:rPr/>
        <w:t>&lt; 0.05) decreased</w:t>
      </w:r>
      <w:r>
        <w:rPr>
          <w:spacing w:val="30"/>
        </w:rPr>
        <w:t> </w:t>
      </w:r>
      <w:r>
        <w:rPr/>
        <w:t>expression with</w:t>
      </w:r>
      <w:r>
        <w:rPr>
          <w:spacing w:val="30"/>
        </w:rPr>
        <w:t> </w:t>
      </w:r>
      <w:r>
        <w:rPr/>
        <w:t>IL-6.</w:t>
      </w:r>
      <w:r>
        <w:rPr>
          <w:spacing w:val="30"/>
        </w:rPr>
        <w:t> </w:t>
      </w:r>
      <w:r>
        <w:rPr/>
        <w:t>There was no</w:t>
      </w:r>
      <w:r>
        <w:rPr>
          <w:spacing w:val="30"/>
        </w:rPr>
        <w:t> </w:t>
      </w:r>
      <w:r>
        <w:rPr/>
        <w:t>significant difference (P&gt; 0.05) in the values of IL-10 between the infected and uninfected placentas.None of the</w:t>
      </w:r>
      <w:r>
        <w:rPr>
          <w:spacing w:val="80"/>
        </w:rPr>
        <w:t> </w:t>
      </w:r>
      <w:r>
        <w:rPr/>
        <w:t>placentas contains RNA for IFN</w:t>
      </w:r>
      <w:r>
        <w:rPr>
          <w:rFonts w:ascii="Symbol" w:hAnsi="Symbol"/>
        </w:rPr>
        <w:t></w:t>
      </w:r>
      <w:r>
        <w:rPr/>
        <w:t> and IL-4.In astudy on cytokine profile among 30 women</w:t>
      </w:r>
      <w:r>
        <w:rPr>
          <w:spacing w:val="80"/>
          <w:w w:val="150"/>
        </w:rPr>
        <w:t> </w:t>
      </w:r>
      <w:r>
        <w:rPr/>
        <w:t>(10 primiparus and 20 multiparus) in Libreville and Lambarene, Gabon, (Bouyou-Akotet </w:t>
      </w:r>
      <w:r>
        <w:rPr>
          <w:i/>
        </w:rPr>
        <w:t>et</w:t>
      </w:r>
      <w:r>
        <w:rPr>
          <w:i/>
          <w:spacing w:val="40"/>
        </w:rPr>
        <w:t> </w:t>
      </w:r>
      <w:r>
        <w:rPr>
          <w:i/>
        </w:rPr>
        <w:t>al.,</w:t>
      </w:r>
      <w:r>
        <w:rPr/>
        <w:t>2004) showed differences in the mean values of TNFα in pheripheral, placental and cord blood</w:t>
      </w:r>
      <w:r>
        <w:rPr>
          <w:spacing w:val="64"/>
        </w:rPr>
        <w:t> </w:t>
      </w:r>
      <w:r>
        <w:rPr/>
        <w:t>of</w:t>
      </w:r>
      <w:r>
        <w:rPr>
          <w:spacing w:val="40"/>
        </w:rPr>
        <w:t> </w:t>
      </w:r>
      <w:r>
        <w:rPr/>
        <w:t>malaria</w:t>
      </w:r>
      <w:r>
        <w:rPr>
          <w:spacing w:val="40"/>
        </w:rPr>
        <w:t> </w:t>
      </w:r>
      <w:r>
        <w:rPr/>
        <w:t>infected</w:t>
      </w:r>
      <w:r>
        <w:rPr>
          <w:spacing w:val="63"/>
        </w:rPr>
        <w:t> </w:t>
      </w:r>
      <w:r>
        <w:rPr/>
        <w:t>and</w:t>
      </w:r>
      <w:r>
        <w:rPr>
          <w:spacing w:val="65"/>
        </w:rPr>
        <w:t> </w:t>
      </w:r>
      <w:r>
        <w:rPr/>
        <w:t>uninfected</w:t>
      </w:r>
      <w:r>
        <w:rPr>
          <w:spacing w:val="63"/>
        </w:rPr>
        <w:t> </w:t>
      </w:r>
      <w:r>
        <w:rPr/>
        <w:t>subjects.</w:t>
      </w:r>
      <w:r>
        <w:rPr>
          <w:spacing w:val="63"/>
        </w:rPr>
        <w:t> </w:t>
      </w:r>
      <w:r>
        <w:rPr/>
        <w:t>Again</w:t>
      </w:r>
      <w:r>
        <w:rPr>
          <w:spacing w:val="66"/>
        </w:rPr>
        <w:t> </w:t>
      </w:r>
      <w:r>
        <w:rPr/>
        <w:t>the</w:t>
      </w:r>
      <w:r>
        <w:rPr>
          <w:spacing w:val="63"/>
        </w:rPr>
        <w:t> </w:t>
      </w:r>
      <w:r>
        <w:rPr/>
        <w:t>mean</w:t>
      </w:r>
      <w:r>
        <w:rPr>
          <w:spacing w:val="63"/>
        </w:rPr>
        <w:t> </w:t>
      </w:r>
      <w:r>
        <w:rPr/>
        <w:t>value</w:t>
      </w:r>
      <w:r>
        <w:rPr>
          <w:spacing w:val="63"/>
        </w:rPr>
        <w:t> </w:t>
      </w:r>
      <w:r>
        <w:rPr/>
        <w:t>of</w:t>
      </w:r>
      <w:r>
        <w:rPr>
          <w:spacing w:val="65"/>
        </w:rPr>
        <w:t> </w:t>
      </w:r>
      <w:r>
        <w:rPr/>
        <w:t>TNF</w:t>
      </w:r>
      <w:r>
        <w:rPr>
          <w:rFonts w:ascii="Symbol" w:hAnsi="Symbol"/>
        </w:rPr>
        <w:t></w:t>
      </w:r>
      <w:r>
        <w:rPr>
          <w:spacing w:val="40"/>
        </w:rPr>
        <w:t> </w:t>
      </w:r>
      <w:r>
        <w:rPr/>
        <w:t>by gravidity differs between the systemic and local circulation and differs also in multigravidae. On the effect of parasite density on the rate of cytokine production, inconsistent reports exist on</w:t>
      </w:r>
      <w:r>
        <w:rPr>
          <w:spacing w:val="72"/>
        </w:rPr>
        <w:t> </w:t>
      </w:r>
      <w:r>
        <w:rPr/>
        <w:t>the</w:t>
      </w:r>
      <w:r>
        <w:rPr>
          <w:spacing w:val="71"/>
        </w:rPr>
        <w:t> </w:t>
      </w:r>
      <w:r>
        <w:rPr/>
        <w:t>rate</w:t>
      </w:r>
      <w:r>
        <w:rPr>
          <w:spacing w:val="71"/>
        </w:rPr>
        <w:t> </w:t>
      </w:r>
      <w:r>
        <w:rPr/>
        <w:t>of</w:t>
      </w:r>
      <w:r>
        <w:rPr>
          <w:spacing w:val="73"/>
        </w:rPr>
        <w:t> </w:t>
      </w:r>
      <w:r>
        <w:rPr/>
        <w:t>cytokine</w:t>
      </w:r>
      <w:r>
        <w:rPr>
          <w:spacing w:val="74"/>
        </w:rPr>
        <w:t> </w:t>
      </w:r>
      <w:r>
        <w:rPr/>
        <w:t>secretion.</w:t>
      </w:r>
      <w:r>
        <w:rPr>
          <w:spacing w:val="72"/>
        </w:rPr>
        <w:t> </w:t>
      </w:r>
      <w:r>
        <w:rPr/>
        <w:t>While</w:t>
      </w:r>
      <w:r>
        <w:rPr>
          <w:spacing w:val="71"/>
        </w:rPr>
        <w:t> </w:t>
      </w:r>
      <w:r>
        <w:rPr/>
        <w:t>some</w:t>
      </w:r>
      <w:r>
        <w:rPr>
          <w:spacing w:val="71"/>
        </w:rPr>
        <w:t> </w:t>
      </w:r>
      <w:r>
        <w:rPr/>
        <w:t>studies</w:t>
      </w:r>
      <w:r>
        <w:rPr>
          <w:spacing w:val="72"/>
        </w:rPr>
        <w:t> </w:t>
      </w:r>
      <w:r>
        <w:rPr/>
        <w:t>adopted</w:t>
      </w:r>
      <w:r>
        <w:rPr>
          <w:spacing w:val="73"/>
        </w:rPr>
        <w:t> </w:t>
      </w:r>
      <w:r>
        <w:rPr/>
        <w:t>that</w:t>
      </w:r>
      <w:r>
        <w:rPr>
          <w:spacing w:val="77"/>
        </w:rPr>
        <w:t> </w:t>
      </w:r>
      <w:r>
        <w:rPr/>
        <w:t>the</w:t>
      </w:r>
      <w:r>
        <w:rPr>
          <w:spacing w:val="71"/>
        </w:rPr>
        <w:t> </w:t>
      </w:r>
      <w:r>
        <w:rPr/>
        <w:t>rate</w:t>
      </w:r>
      <w:r>
        <w:rPr>
          <w:spacing w:val="73"/>
        </w:rPr>
        <w:t> </w:t>
      </w:r>
      <w:r>
        <w:rPr/>
        <w:t>at</w:t>
      </w:r>
      <w:r>
        <w:rPr>
          <w:spacing w:val="74"/>
        </w:rPr>
        <w:t> </w:t>
      </w:r>
      <w:r>
        <w:rPr/>
        <w:t>which cytokinesare</w:t>
      </w:r>
      <w:r>
        <w:rPr>
          <w:spacing w:val="40"/>
        </w:rPr>
        <w:t> </w:t>
      </w:r>
      <w:r>
        <w:rPr/>
        <w:t>expressed</w:t>
      </w:r>
      <w:r>
        <w:rPr>
          <w:spacing w:val="40"/>
        </w:rPr>
        <w:t> </w:t>
      </w:r>
      <w:r>
        <w:rPr/>
        <w:t>is</w:t>
      </w:r>
      <w:r>
        <w:rPr>
          <w:spacing w:val="40"/>
        </w:rPr>
        <w:t> </w:t>
      </w:r>
      <w:r>
        <w:rPr/>
        <w:t>a</w:t>
      </w:r>
      <w:r>
        <w:rPr>
          <w:spacing w:val="40"/>
        </w:rPr>
        <w:t> </w:t>
      </w:r>
      <w:r>
        <w:rPr/>
        <w:t>function</w:t>
      </w:r>
      <w:r>
        <w:rPr>
          <w:spacing w:val="40"/>
        </w:rPr>
        <w:t> </w:t>
      </w:r>
      <w:r>
        <w:rPr/>
        <w:t>of</w:t>
      </w:r>
      <w:r>
        <w:rPr>
          <w:spacing w:val="40"/>
        </w:rPr>
        <w:t> </w:t>
      </w:r>
      <w:r>
        <w:rPr/>
        <w:t>the</w:t>
      </w:r>
      <w:r>
        <w:rPr>
          <w:spacing w:val="40"/>
        </w:rPr>
        <w:t> </w:t>
      </w:r>
      <w:r>
        <w:rPr/>
        <w:t>parasite</w:t>
      </w:r>
      <w:r>
        <w:rPr>
          <w:spacing w:val="40"/>
        </w:rPr>
        <w:t> </w:t>
      </w:r>
      <w:r>
        <w:rPr/>
        <w:t>density,</w:t>
      </w:r>
      <w:r>
        <w:rPr>
          <w:spacing w:val="40"/>
        </w:rPr>
        <w:t> </w:t>
      </w:r>
      <w:r>
        <w:rPr/>
        <w:t>others</w:t>
      </w:r>
      <w:r>
        <w:rPr>
          <w:spacing w:val="40"/>
        </w:rPr>
        <w:t> </w:t>
      </w:r>
      <w:r>
        <w:rPr/>
        <w:t>indicated</w:t>
      </w:r>
      <w:r>
        <w:rPr>
          <w:spacing w:val="40"/>
        </w:rPr>
        <w:t> </w:t>
      </w:r>
      <w:r>
        <w:rPr/>
        <w:t>that</w:t>
      </w:r>
      <w:r>
        <w:rPr>
          <w:spacing w:val="40"/>
        </w:rPr>
        <w:t> </w:t>
      </w:r>
      <w:r>
        <w:rPr/>
        <w:t>parasite density does not alter the rate of cytokineexpression (Achidi</w:t>
      </w:r>
      <w:r>
        <w:rPr>
          <w:i/>
        </w:rPr>
        <w:t>et al.,</w:t>
      </w:r>
      <w:r>
        <w:rPr/>
        <w:t>2007; Nmorsi </w:t>
      </w:r>
      <w:r>
        <w:rPr>
          <w:i/>
        </w:rPr>
        <w:t>et al.,</w:t>
      </w:r>
      <w:r>
        <w:rPr/>
        <w:t>2010).</w:t>
      </w:r>
    </w:p>
    <w:p>
      <w:pPr>
        <w:spacing w:after="0" w:line="480" w:lineRule="auto"/>
        <w:sectPr>
          <w:pgSz w:w="11910" w:h="16840"/>
          <w:pgMar w:header="0" w:footer="1067" w:top="1060" w:bottom="1260" w:left="880" w:right="640"/>
        </w:sectPr>
      </w:pPr>
    </w:p>
    <w:p>
      <w:pPr>
        <w:pStyle w:val="BodyText"/>
        <w:spacing w:line="480" w:lineRule="auto" w:before="70"/>
        <w:ind w:left="560" w:right="795"/>
        <w:jc w:val="both"/>
      </w:pPr>
      <w:r>
        <w:rPr/>
        <w:t>In South Western Cameroon and in a study on malaria parasitaemia and systemic cytokine bias in 174 pregnant women attending antenatal clinic, (Achidi </w:t>
      </w:r>
      <w:r>
        <w:rPr>
          <w:i/>
        </w:rPr>
        <w:t>et al.,</w:t>
      </w:r>
      <w:r>
        <w:rPr/>
        <w:t>2007) reported mean parasite</w:t>
      </w:r>
      <w:r>
        <w:rPr>
          <w:spacing w:val="-3"/>
        </w:rPr>
        <w:t> </w:t>
      </w:r>
      <w:r>
        <w:rPr/>
        <w:t>density</w:t>
      </w:r>
      <w:r>
        <w:rPr>
          <w:spacing w:val="-5"/>
        </w:rPr>
        <w:t> </w:t>
      </w:r>
      <w:r>
        <w:rPr/>
        <w:t>of</w:t>
      </w:r>
      <w:r>
        <w:rPr>
          <w:spacing w:val="-2"/>
        </w:rPr>
        <w:t> </w:t>
      </w:r>
      <w:r>
        <w:rPr/>
        <w:t>565 parasites/</w:t>
      </w:r>
      <w:r>
        <w:rPr>
          <w:rFonts w:ascii="Symbol" w:hAnsi="Symbol"/>
        </w:rPr>
        <w:t></w:t>
      </w:r>
      <w:r>
        <w:rPr/>
        <w:t>l. The</w:t>
      </w:r>
      <w:r>
        <w:rPr>
          <w:spacing w:val="-4"/>
        </w:rPr>
        <w:t> </w:t>
      </w:r>
      <w:r>
        <w:rPr/>
        <w:t>study</w:t>
      </w:r>
      <w:r>
        <w:rPr>
          <w:spacing w:val="-5"/>
        </w:rPr>
        <w:t> </w:t>
      </w:r>
      <w:r>
        <w:rPr/>
        <w:t>also</w:t>
      </w:r>
      <w:r>
        <w:rPr>
          <w:spacing w:val="-2"/>
        </w:rPr>
        <w:t> </w:t>
      </w:r>
      <w:r>
        <w:rPr/>
        <w:t>showed</w:t>
      </w:r>
      <w:r>
        <w:rPr>
          <w:spacing w:val="-2"/>
        </w:rPr>
        <w:t> </w:t>
      </w:r>
      <w:r>
        <w:rPr/>
        <w:t>parasite</w:t>
      </w:r>
      <w:r>
        <w:rPr>
          <w:spacing w:val="-1"/>
        </w:rPr>
        <w:t> </w:t>
      </w:r>
      <w:r>
        <w:rPr/>
        <w:t>density</w:t>
      </w:r>
      <w:r>
        <w:rPr>
          <w:spacing w:val="-5"/>
        </w:rPr>
        <w:t> </w:t>
      </w:r>
      <w:r>
        <w:rPr/>
        <w:t>to be</w:t>
      </w:r>
      <w:r>
        <w:rPr>
          <w:spacing w:val="-3"/>
        </w:rPr>
        <w:t> </w:t>
      </w:r>
      <w:r>
        <w:rPr/>
        <w:t>significantly (P&lt;0.05) higher in younger than older women. In addition, the mean value of IFN</w:t>
      </w:r>
      <w:r>
        <w:rPr>
          <w:rFonts w:ascii="Symbol" w:hAnsi="Symbol"/>
        </w:rPr>
        <w:t></w:t>
      </w:r>
      <w:r>
        <w:rPr/>
        <w:t> was</w:t>
      </w:r>
      <w:r>
        <w:rPr>
          <w:spacing w:val="40"/>
        </w:rPr>
        <w:t> </w:t>
      </w:r>
      <w:r>
        <w:rPr/>
        <w:t>higher than the mean value of IL-4 for those in first trimester. The reverse was observed as pregnancy progresses irrespective of parasite density. Using IL-4/IFN</w:t>
      </w:r>
      <w:r>
        <w:rPr>
          <w:rFonts w:ascii="Symbol" w:hAnsi="Symbol"/>
        </w:rPr>
        <w:t></w:t>
      </w:r>
      <w:r>
        <w:rPr/>
        <w:t> to determine the ratio of T</w:t>
      </w:r>
      <w:r>
        <w:rPr>
          <w:vertAlign w:val="subscript"/>
        </w:rPr>
        <w:t>H</w:t>
      </w:r>
      <w:r>
        <w:rPr>
          <w:vertAlign w:val="baseline"/>
        </w:rPr>
        <w:t>1/T</w:t>
      </w:r>
      <w:r>
        <w:rPr>
          <w:vertAlign w:val="subscript"/>
        </w:rPr>
        <w:t>H</w:t>
      </w:r>
      <w:r>
        <w:rPr>
          <w:vertAlign w:val="baseline"/>
        </w:rPr>
        <w:t>2, it was shown that cytokine profile was bias towards type-2 responses in 112(84.3%) of 132 pregnant women. Furthermore, the cytokine pattern was unaffected by maternal age, gestational age, gravidity or parasitaemia.</w:t>
      </w:r>
    </w:p>
    <w:p>
      <w:pPr>
        <w:pStyle w:val="BodyText"/>
        <w:spacing w:before="1"/>
      </w:pPr>
    </w:p>
    <w:p>
      <w:pPr>
        <w:pStyle w:val="BodyText"/>
        <w:spacing w:line="480" w:lineRule="auto"/>
        <w:ind w:left="560" w:right="793"/>
        <w:jc w:val="both"/>
      </w:pPr>
      <w:r>
        <w:rPr/>
        <w:t>In Tanzania, a retrospective assessment of biomarkers on</w:t>
      </w:r>
      <w:r>
        <w:rPr>
          <w:i/>
        </w:rPr>
        <w:t>P. falciparum </w:t>
      </w:r>
      <w:r>
        <w:rPr/>
        <w:t>was carried out on</w:t>
      </w:r>
      <w:r>
        <w:rPr>
          <w:spacing w:val="40"/>
        </w:rPr>
        <w:t> </w:t>
      </w:r>
      <w:r>
        <w:rPr/>
        <w:t>121 pregnant women (42 infected and 79 uninfected) by</w:t>
      </w:r>
      <w:r>
        <w:rPr>
          <w:spacing w:val="-1"/>
        </w:rPr>
        <w:t> </w:t>
      </w:r>
      <w:r>
        <w:rPr/>
        <w:t>Boston </w:t>
      </w:r>
      <w:r>
        <w:rPr>
          <w:i/>
        </w:rPr>
        <w:t>et al.,</w:t>
      </w:r>
      <w:r>
        <w:rPr/>
        <w:t>(2012) showed that the levels of</w:t>
      </w:r>
      <w:r>
        <w:rPr>
          <w:spacing w:val="-1"/>
        </w:rPr>
        <w:t> </w:t>
      </w:r>
      <w:r>
        <w:rPr/>
        <w:t>TNFα and IFNγ were</w:t>
      </w:r>
      <w:r>
        <w:rPr>
          <w:spacing w:val="-1"/>
        </w:rPr>
        <w:t> </w:t>
      </w:r>
      <w:r>
        <w:rPr/>
        <w:t>unaffected</w:t>
      </w:r>
      <w:r>
        <w:rPr>
          <w:spacing w:val="-1"/>
        </w:rPr>
        <w:t> </w:t>
      </w:r>
      <w:r>
        <w:rPr/>
        <w:t>by</w:t>
      </w:r>
      <w:r>
        <w:rPr>
          <w:spacing w:val="-5"/>
        </w:rPr>
        <w:t> </w:t>
      </w:r>
      <w:r>
        <w:rPr/>
        <w:t>infection and there were</w:t>
      </w:r>
      <w:r>
        <w:rPr>
          <w:spacing w:val="-1"/>
        </w:rPr>
        <w:t> </w:t>
      </w:r>
      <w:r>
        <w:rPr/>
        <w:t>no differences between infected and uninfected individuals. The results also showed that IL-10 increased</w:t>
      </w:r>
      <w:r>
        <w:rPr>
          <w:spacing w:val="40"/>
        </w:rPr>
        <w:t> </w:t>
      </w:r>
      <w:r>
        <w:rPr/>
        <w:t>significantly (P&lt; 0.05) in infected pregnant women irrespective of gestational age. But, following antimalarial treatment, the amount of IL-10 decreased to the background level. With regard to effect of gravidity, the levels of IL-10 were significantly higher (P&lt; 0.05) in infected primigravidae and multigravidae but not in secondigravidae (Boston </w:t>
      </w:r>
      <w:r>
        <w:rPr>
          <w:i/>
        </w:rPr>
        <w:t>et al.,</w:t>
      </w:r>
      <w:r>
        <w:rPr/>
        <w:t>2012).</w:t>
      </w:r>
    </w:p>
    <w:p>
      <w:pPr>
        <w:pStyle w:val="BodyText"/>
        <w:spacing w:before="1"/>
      </w:pPr>
    </w:p>
    <w:p>
      <w:pPr>
        <w:pStyle w:val="BodyText"/>
        <w:spacing w:line="480" w:lineRule="auto" w:before="1"/>
        <w:ind w:left="560" w:right="795"/>
        <w:jc w:val="both"/>
      </w:pPr>
      <w:r>
        <w:rPr/>
        <w:t>In a study in Kenya, titled malaria elicits type-1 cytokines in human placenta: IFNγ and</w:t>
      </w:r>
      <w:r>
        <w:rPr>
          <w:spacing w:val="40"/>
        </w:rPr>
        <w:t> </w:t>
      </w:r>
      <w:r>
        <w:rPr/>
        <w:t>TNFα</w:t>
      </w:r>
      <w:r>
        <w:rPr>
          <w:spacing w:val="-1"/>
        </w:rPr>
        <w:t> </w:t>
      </w:r>
      <w:r>
        <w:rPr/>
        <w:t>associated</w:t>
      </w:r>
      <w:r>
        <w:rPr>
          <w:spacing w:val="-1"/>
        </w:rPr>
        <w:t> </w:t>
      </w:r>
      <w:r>
        <w:rPr/>
        <w:t>with pregnancy</w:t>
      </w:r>
      <w:r>
        <w:rPr>
          <w:spacing w:val="-3"/>
        </w:rPr>
        <w:t> </w:t>
      </w:r>
      <w:r>
        <w:rPr/>
        <w:t>outcomes, (Fried </w:t>
      </w:r>
      <w:r>
        <w:rPr>
          <w:i/>
        </w:rPr>
        <w:t>et al.,</w:t>
      </w:r>
      <w:r>
        <w:rPr/>
        <w:t>1998) reported that normal placentas displayed a bias towards type-2 cytokines; type-1 cytokines (IFNγ and TNFα) were absent in placentas not exposed to malaria but present in a large proportion in placentas from holoendemic areas. The concentration of TNFα and TGF-ß were significantly higher while that of IL-10 was significantly lower in placentas from holoendemic areas on comparison</w:t>
      </w:r>
      <w:r>
        <w:rPr>
          <w:spacing w:val="40"/>
        </w:rPr>
        <w:t> </w:t>
      </w:r>
      <w:r>
        <w:rPr/>
        <w:t>with</w:t>
      </w:r>
      <w:r>
        <w:rPr>
          <w:spacing w:val="33"/>
        </w:rPr>
        <w:t> </w:t>
      </w:r>
      <w:r>
        <w:rPr/>
        <w:t>those</w:t>
      </w:r>
      <w:r>
        <w:rPr>
          <w:spacing w:val="35"/>
        </w:rPr>
        <w:t> </w:t>
      </w:r>
      <w:r>
        <w:rPr/>
        <w:t>not</w:t>
      </w:r>
      <w:r>
        <w:rPr>
          <w:spacing w:val="35"/>
        </w:rPr>
        <w:t> </w:t>
      </w:r>
      <w:r>
        <w:rPr/>
        <w:t>exposed</w:t>
      </w:r>
      <w:r>
        <w:rPr>
          <w:spacing w:val="35"/>
        </w:rPr>
        <w:t> </w:t>
      </w:r>
      <w:r>
        <w:rPr/>
        <w:t>to</w:t>
      </w:r>
      <w:r>
        <w:rPr>
          <w:spacing w:val="35"/>
        </w:rPr>
        <w:t> </w:t>
      </w:r>
      <w:r>
        <w:rPr/>
        <w:t>malaria.</w:t>
      </w:r>
      <w:r>
        <w:rPr>
          <w:spacing w:val="34"/>
        </w:rPr>
        <w:t> </w:t>
      </w:r>
      <w:r>
        <w:rPr/>
        <w:t>They</w:t>
      </w:r>
      <w:r>
        <w:rPr>
          <w:spacing w:val="30"/>
        </w:rPr>
        <w:t> </w:t>
      </w:r>
      <w:r>
        <w:rPr/>
        <w:t>concluded</w:t>
      </w:r>
      <w:r>
        <w:rPr>
          <w:spacing w:val="35"/>
        </w:rPr>
        <w:t> </w:t>
      </w:r>
      <w:r>
        <w:rPr/>
        <w:t>that</w:t>
      </w:r>
      <w:r>
        <w:rPr>
          <w:spacing w:val="34"/>
        </w:rPr>
        <w:t> </w:t>
      </w:r>
      <w:r>
        <w:rPr/>
        <w:t>maternal</w:t>
      </w:r>
      <w:r>
        <w:rPr>
          <w:spacing w:val="36"/>
        </w:rPr>
        <w:t> </w:t>
      </w:r>
      <w:r>
        <w:rPr/>
        <w:t>malaria</w:t>
      </w:r>
      <w:r>
        <w:rPr>
          <w:spacing w:val="33"/>
        </w:rPr>
        <w:t> </w:t>
      </w:r>
      <w:r>
        <w:rPr/>
        <w:t>decreased</w:t>
      </w:r>
      <w:r>
        <w:rPr>
          <w:spacing w:val="38"/>
        </w:rPr>
        <w:t> </w:t>
      </w:r>
      <w:r>
        <w:rPr/>
        <w:t>IL-</w:t>
      </w:r>
      <w:r>
        <w:rPr>
          <w:spacing w:val="-5"/>
        </w:rPr>
        <w:t>10</w:t>
      </w:r>
    </w:p>
    <w:p>
      <w:pPr>
        <w:spacing w:after="0" w:line="480" w:lineRule="auto"/>
        <w:jc w:val="both"/>
        <w:sectPr>
          <w:pgSz w:w="11910" w:h="16840"/>
          <w:pgMar w:header="0" w:footer="1067" w:top="1060" w:bottom="1260" w:left="880" w:right="640"/>
        </w:sectPr>
      </w:pPr>
    </w:p>
    <w:p>
      <w:pPr>
        <w:pStyle w:val="BodyText"/>
        <w:spacing w:line="480" w:lineRule="auto" w:before="70"/>
        <w:ind w:left="560" w:right="800"/>
        <w:jc w:val="both"/>
      </w:pPr>
      <w:r>
        <w:rPr/>
        <w:t>concentrations and elicits IFNγ, IL-2 and TNFα in the placenta shifting the balance towards type-1 cytokines.</w:t>
      </w:r>
    </w:p>
    <w:p>
      <w:pPr>
        <w:pStyle w:val="BodyText"/>
      </w:pPr>
    </w:p>
    <w:p>
      <w:pPr>
        <w:pStyle w:val="BodyText"/>
        <w:spacing w:line="480" w:lineRule="auto" w:before="1"/>
        <w:ind w:left="560" w:right="794"/>
        <w:jc w:val="both"/>
      </w:pPr>
      <w:r>
        <w:rPr/>
        <w:t>In Yaounde, Cameroon, and in a study on cytokine changes in the placenta of 308 women,Suguitan </w:t>
      </w:r>
      <w:r>
        <w:rPr>
          <w:i/>
        </w:rPr>
        <w:t>et al.,</w:t>
      </w:r>
      <w:r>
        <w:rPr/>
        <w:t>(2003) observed that 110 of the study subjectswere infected with malaria.They showed that IFNγ was elevated in malaria infected placentathan uninfected placenta. Meanwhile, TNFαwas not higher in malaria infected placenta compared to that of uninfected placenta. Again, mean values of IL-4 was higher in infected placentas than that of uninfected placenta. Finally, mean values of IL-10 was significantly (P&lt;0.05) higher in infected placentas thanuninfected placentas. Again in a study on the effects of </w:t>
      </w:r>
      <w:r>
        <w:rPr>
          <w:i/>
        </w:rPr>
        <w:t>P.vivax </w:t>
      </w:r>
      <w:r>
        <w:rPr/>
        <w:t>gestational malaria on the clinical and immune status of pregnant women in North Western Colombia,Yasnot </w:t>
      </w:r>
      <w:r>
        <w:rPr>
          <w:i/>
        </w:rPr>
        <w:t>et al.,</w:t>
      </w:r>
      <w:r>
        <w:rPr/>
        <w:t>(2013) reported that out of 35 pregnant women (15 Gestational malaria positive and 20 gestational malaria negative), proinflammatory cytokines (TNFα, IFNγ and IL-1β) were higher in the infected placenta than the uninfected placenta although IFNγ and IL-1β did not show any significant difference. The anti-inflammatory cytokines</w:t>
      </w:r>
      <w:r>
        <w:rPr>
          <w:spacing w:val="40"/>
        </w:rPr>
        <w:t> </w:t>
      </w:r>
      <w:r>
        <w:rPr/>
        <w:t>(IL-6, IL-10, TGF-ß) concentrations were lower in the infected placenta than the uninfected. In the peripheral blood, the proinflammatory cytokines were higher in the infected than uninfected group while the anti-inflammatory cytokines (IL-6, IL-10) except TGF-ß were higher</w:t>
      </w:r>
      <w:r>
        <w:rPr>
          <w:spacing w:val="-2"/>
        </w:rPr>
        <w:t> </w:t>
      </w:r>
      <w:r>
        <w:rPr/>
        <w:t>in</w:t>
      </w:r>
      <w:r>
        <w:rPr>
          <w:spacing w:val="-1"/>
        </w:rPr>
        <w:t> </w:t>
      </w:r>
      <w:r>
        <w:rPr/>
        <w:t>the</w:t>
      </w:r>
      <w:r>
        <w:rPr>
          <w:spacing w:val="-2"/>
        </w:rPr>
        <w:t> </w:t>
      </w:r>
      <w:r>
        <w:rPr/>
        <w:t>infected</w:t>
      </w:r>
      <w:r>
        <w:rPr>
          <w:spacing w:val="-2"/>
        </w:rPr>
        <w:t> </w:t>
      </w:r>
      <w:r>
        <w:rPr/>
        <w:t>pregnant</w:t>
      </w:r>
      <w:r>
        <w:rPr>
          <w:spacing w:val="-1"/>
        </w:rPr>
        <w:t> </w:t>
      </w:r>
      <w:r>
        <w:rPr/>
        <w:t>women than</w:t>
      </w:r>
      <w:r>
        <w:rPr>
          <w:spacing w:val="-1"/>
        </w:rPr>
        <w:t> </w:t>
      </w:r>
      <w:r>
        <w:rPr/>
        <w:t>the</w:t>
      </w:r>
      <w:r>
        <w:rPr>
          <w:spacing w:val="-2"/>
        </w:rPr>
        <w:t> </w:t>
      </w:r>
      <w:r>
        <w:rPr/>
        <w:t>uninfected</w:t>
      </w:r>
      <w:r>
        <w:rPr>
          <w:spacing w:val="-2"/>
        </w:rPr>
        <w:t> </w:t>
      </w:r>
      <w:r>
        <w:rPr/>
        <w:t>group. However,</w:t>
      </w:r>
      <w:r>
        <w:rPr>
          <w:spacing w:val="-1"/>
        </w:rPr>
        <w:t> </w:t>
      </w:r>
      <w:r>
        <w:rPr/>
        <w:t>the changes</w:t>
      </w:r>
      <w:r>
        <w:rPr>
          <w:spacing w:val="-1"/>
        </w:rPr>
        <w:t> </w:t>
      </w:r>
      <w:r>
        <w:rPr/>
        <w:t>were not statistically significant. The technique used in the measurement of cytokines was real</w:t>
      </w:r>
      <w:r>
        <w:rPr>
          <w:spacing w:val="40"/>
        </w:rPr>
        <w:t> </w:t>
      </w:r>
      <w:r>
        <w:rPr/>
        <w:t>time polymerase chain reaction (PCR);</w:t>
      </w:r>
    </w:p>
    <w:p>
      <w:pPr>
        <w:pStyle w:val="BodyText"/>
        <w:spacing w:before="7"/>
      </w:pPr>
    </w:p>
    <w:p>
      <w:pPr>
        <w:pStyle w:val="Heading2"/>
        <w:numPr>
          <w:ilvl w:val="1"/>
          <w:numId w:val="7"/>
        </w:numPr>
        <w:tabs>
          <w:tab w:pos="1280" w:val="left" w:leader="none"/>
        </w:tabs>
        <w:spacing w:line="240" w:lineRule="auto" w:before="0" w:after="0"/>
        <w:ind w:left="1280" w:right="0" w:hanging="720"/>
        <w:jc w:val="left"/>
      </w:pPr>
      <w:r>
        <w:rPr/>
        <w:t>IRON </w:t>
      </w:r>
      <w:r>
        <w:rPr>
          <w:spacing w:val="-2"/>
        </w:rPr>
        <w:t>METABOLISM</w:t>
      </w:r>
    </w:p>
    <w:p>
      <w:pPr>
        <w:pStyle w:val="BodyText"/>
        <w:spacing w:line="480" w:lineRule="auto" w:before="271"/>
        <w:ind w:left="560" w:right="795"/>
        <w:jc w:val="both"/>
      </w:pPr>
      <w:r>
        <w:rPr/>
        <w:t>Iron is the fourth most abundant element in the earth‟s crust. It occurs in trace amount in human beings- about 0.004% of the body‟s mass. It is essential in the synthesis of haemoglobin and myoglobin as well as the proper functioning of some enzymes (Pippard</w:t>
      </w:r>
      <w:r>
        <w:rPr>
          <w:spacing w:val="-1"/>
        </w:rPr>
        <w:t> </w:t>
      </w:r>
      <w:r>
        <w:rPr/>
        <w:t>and Hoffbrand,</w:t>
      </w:r>
      <w:r>
        <w:rPr>
          <w:spacing w:val="68"/>
        </w:rPr>
        <w:t> </w:t>
      </w:r>
      <w:r>
        <w:rPr/>
        <w:t>2001).</w:t>
      </w:r>
      <w:r>
        <w:rPr>
          <w:spacing w:val="72"/>
        </w:rPr>
        <w:t> </w:t>
      </w:r>
      <w:r>
        <w:rPr/>
        <w:t>Normal</w:t>
      </w:r>
      <w:r>
        <w:rPr>
          <w:spacing w:val="69"/>
        </w:rPr>
        <w:t> </w:t>
      </w:r>
      <w:r>
        <w:rPr/>
        <w:t>iron</w:t>
      </w:r>
      <w:r>
        <w:rPr>
          <w:spacing w:val="68"/>
        </w:rPr>
        <w:t> </w:t>
      </w:r>
      <w:r>
        <w:rPr/>
        <w:t>metabolism</w:t>
      </w:r>
      <w:r>
        <w:rPr>
          <w:spacing w:val="69"/>
        </w:rPr>
        <w:t> </w:t>
      </w:r>
      <w:r>
        <w:rPr/>
        <w:t>follows</w:t>
      </w:r>
      <w:r>
        <w:rPr>
          <w:spacing w:val="69"/>
        </w:rPr>
        <w:t> </w:t>
      </w:r>
      <w:r>
        <w:rPr/>
        <w:t>a</w:t>
      </w:r>
      <w:r>
        <w:rPr>
          <w:spacing w:val="68"/>
        </w:rPr>
        <w:t> </w:t>
      </w:r>
      <w:r>
        <w:rPr/>
        <w:t>regulated</w:t>
      </w:r>
      <w:r>
        <w:rPr>
          <w:spacing w:val="68"/>
        </w:rPr>
        <w:t> </w:t>
      </w:r>
      <w:r>
        <w:rPr/>
        <w:t>process</w:t>
      </w:r>
      <w:r>
        <w:rPr>
          <w:spacing w:val="72"/>
        </w:rPr>
        <w:t> </w:t>
      </w:r>
      <w:r>
        <w:rPr/>
        <w:t>such</w:t>
      </w:r>
      <w:r>
        <w:rPr>
          <w:spacing w:val="68"/>
        </w:rPr>
        <w:t> </w:t>
      </w:r>
      <w:r>
        <w:rPr/>
        <w:t>that</w:t>
      </w:r>
      <w:r>
        <w:rPr>
          <w:spacing w:val="69"/>
        </w:rPr>
        <w:t> </w:t>
      </w:r>
      <w:r>
        <w:rPr>
          <w:spacing w:val="-2"/>
        </w:rPr>
        <w:t>after</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ingestion, it is absorbed primarily in the duodenum, the principal site of iron absorption in man, although absorption is possible in any part of the small intestine (Pippard and Hoffbrand, 2001).About 18umol (1mg) is absorbed each day and the rate of iron absorption seems to be influenced by oxygen tension in the intestine, marrow erythropoeitic activity and the size of the body iron stores (Crook, 2012). The body iron is obtained from dietry sources mostly from meat and dark green vegetables. The dietry iron occurs as heam and non heam sources. However, non heam iron is the predominant form. Cereals, vegetables and cooking utensils are the major sources of non heam iron whereas meat appears to be the major source of heam iron (Pippard and Hoffbrand, 2001).</w:t>
      </w:r>
    </w:p>
    <w:p>
      <w:pPr>
        <w:pStyle w:val="BodyText"/>
        <w:spacing w:before="1"/>
      </w:pPr>
    </w:p>
    <w:p>
      <w:pPr>
        <w:pStyle w:val="BodyText"/>
        <w:spacing w:line="480" w:lineRule="auto"/>
        <w:ind w:left="560" w:right="796"/>
        <w:jc w:val="both"/>
      </w:pPr>
      <w:r>
        <w:rPr/>
        <w:t>Absorption of heam and non heam iron assumes different processes. Absorption of non heam iron is such that the iron which exists as the oxidized form (Fe</w:t>
      </w:r>
      <w:r>
        <w:rPr>
          <w:vertAlign w:val="superscript"/>
        </w:rPr>
        <w:t>3+</w:t>
      </w:r>
      <w:r>
        <w:rPr>
          <w:vertAlign w:val="baseline"/>
        </w:rPr>
        <w:t>) must be reduced to the ferrous</w:t>
      </w:r>
      <w:r>
        <w:rPr>
          <w:spacing w:val="-1"/>
          <w:vertAlign w:val="baseline"/>
        </w:rPr>
        <w:t> </w:t>
      </w:r>
      <w:r>
        <w:rPr>
          <w:vertAlign w:val="baseline"/>
        </w:rPr>
        <w:t>state</w:t>
      </w:r>
      <w:r>
        <w:rPr>
          <w:spacing w:val="-2"/>
          <w:vertAlign w:val="baseline"/>
        </w:rPr>
        <w:t> </w:t>
      </w:r>
      <w:r>
        <w:rPr>
          <w:vertAlign w:val="baseline"/>
        </w:rPr>
        <w:t>(Fe</w:t>
      </w:r>
      <w:r>
        <w:rPr>
          <w:vertAlign w:val="superscript"/>
        </w:rPr>
        <w:t>2+</w:t>
      </w:r>
      <w:r>
        <w:rPr>
          <w:vertAlign w:val="baseline"/>
        </w:rPr>
        <w:t>)</w:t>
      </w:r>
      <w:r>
        <w:rPr>
          <w:spacing w:val="-2"/>
          <w:vertAlign w:val="baseline"/>
        </w:rPr>
        <w:t> </w:t>
      </w:r>
      <w:r>
        <w:rPr>
          <w:vertAlign w:val="baseline"/>
        </w:rPr>
        <w:t>before</w:t>
      </w:r>
      <w:r>
        <w:rPr>
          <w:spacing w:val="-2"/>
          <w:vertAlign w:val="baseline"/>
        </w:rPr>
        <w:t> </w:t>
      </w:r>
      <w:r>
        <w:rPr>
          <w:vertAlign w:val="baseline"/>
        </w:rPr>
        <w:t>it</w:t>
      </w:r>
      <w:r>
        <w:rPr>
          <w:spacing w:val="-1"/>
          <w:vertAlign w:val="baseline"/>
        </w:rPr>
        <w:t> </w:t>
      </w:r>
      <w:r>
        <w:rPr>
          <w:vertAlign w:val="baseline"/>
        </w:rPr>
        <w:t>is</w:t>
      </w:r>
      <w:r>
        <w:rPr>
          <w:spacing w:val="-1"/>
          <w:vertAlign w:val="baseline"/>
        </w:rPr>
        <w:t> </w:t>
      </w:r>
      <w:r>
        <w:rPr>
          <w:vertAlign w:val="baseline"/>
        </w:rPr>
        <w:t>transported</w:t>
      </w:r>
      <w:r>
        <w:rPr>
          <w:spacing w:val="-1"/>
          <w:vertAlign w:val="baseline"/>
        </w:rPr>
        <w:t> </w:t>
      </w:r>
      <w:r>
        <w:rPr>
          <w:vertAlign w:val="baseline"/>
        </w:rPr>
        <w:t>across</w:t>
      </w:r>
      <w:r>
        <w:rPr>
          <w:spacing w:val="-2"/>
          <w:vertAlign w:val="baseline"/>
        </w:rPr>
        <w:t> </w:t>
      </w:r>
      <w:r>
        <w:rPr>
          <w:vertAlign w:val="baseline"/>
        </w:rPr>
        <w:t>the</w:t>
      </w:r>
      <w:r>
        <w:rPr>
          <w:spacing w:val="-2"/>
          <w:vertAlign w:val="baseline"/>
        </w:rPr>
        <w:t> </w:t>
      </w:r>
      <w:r>
        <w:rPr>
          <w:vertAlign w:val="baseline"/>
        </w:rPr>
        <w:t>intestinal</w:t>
      </w:r>
      <w:r>
        <w:rPr>
          <w:spacing w:val="-1"/>
          <w:vertAlign w:val="baseline"/>
        </w:rPr>
        <w:t> </w:t>
      </w:r>
      <w:r>
        <w:rPr>
          <w:vertAlign w:val="baseline"/>
        </w:rPr>
        <w:t>epithelium. The</w:t>
      </w:r>
      <w:r>
        <w:rPr>
          <w:spacing w:val="-3"/>
          <w:vertAlign w:val="baseline"/>
        </w:rPr>
        <w:t> </w:t>
      </w:r>
      <w:r>
        <w:rPr>
          <w:vertAlign w:val="baseline"/>
        </w:rPr>
        <w:t>normal</w:t>
      </w:r>
      <w:r>
        <w:rPr>
          <w:spacing w:val="-1"/>
          <w:vertAlign w:val="baseline"/>
        </w:rPr>
        <w:t> </w:t>
      </w:r>
      <w:r>
        <w:rPr>
          <w:vertAlign w:val="baseline"/>
        </w:rPr>
        <w:t>gastric acidity provides an optimal environment for the reduction of ferric iron to the ferrous form.The enzyme that facilitates the reduction of iron from ferric to ferrous state is a heam oxygenase known as duodenal cytochrome B (Dcyt B) (Nadadur </w:t>
      </w:r>
      <w:r>
        <w:rPr>
          <w:i/>
          <w:vertAlign w:val="baseline"/>
        </w:rPr>
        <w:t>et al</w:t>
      </w:r>
      <w:r>
        <w:rPr>
          <w:vertAlign w:val="baseline"/>
        </w:rPr>
        <w:t>., 2008). The absorbed ferrous iron is imported across the apical membrane of the enterocytes by divalent metal transporter I. divalent metal transporter I is the only known intestinal iron importer (Hoffbrand and Moss, 2011). Heam iron which exists in the ferrous state could be absorbed directly</w:t>
      </w:r>
      <w:r>
        <w:rPr>
          <w:spacing w:val="-5"/>
          <w:vertAlign w:val="baseline"/>
        </w:rPr>
        <w:t> </w:t>
      </w:r>
      <w:r>
        <w:rPr>
          <w:vertAlign w:val="baseline"/>
        </w:rPr>
        <w:t>by</w:t>
      </w:r>
      <w:r>
        <w:rPr>
          <w:spacing w:val="-7"/>
          <w:vertAlign w:val="baseline"/>
        </w:rPr>
        <w:t> </w:t>
      </w:r>
      <w:r>
        <w:rPr>
          <w:vertAlign w:val="baseline"/>
        </w:rPr>
        <w:t>the</w:t>
      </w:r>
      <w:r>
        <w:rPr>
          <w:spacing w:val="-3"/>
          <w:vertAlign w:val="baseline"/>
        </w:rPr>
        <w:t> </w:t>
      </w:r>
      <w:r>
        <w:rPr>
          <w:vertAlign w:val="baseline"/>
        </w:rPr>
        <w:t>enterocytes</w:t>
      </w:r>
      <w:r>
        <w:rPr>
          <w:spacing w:val="-2"/>
          <w:vertAlign w:val="baseline"/>
        </w:rPr>
        <w:t> </w:t>
      </w:r>
      <w:r>
        <w:rPr>
          <w:vertAlign w:val="baseline"/>
        </w:rPr>
        <w:t>(Hoffbrand and Moss, 2011).</w:t>
      </w:r>
      <w:r>
        <w:rPr>
          <w:spacing w:val="-2"/>
          <w:vertAlign w:val="baseline"/>
        </w:rPr>
        <w:t> </w:t>
      </w:r>
      <w:r>
        <w:rPr>
          <w:vertAlign w:val="baseline"/>
        </w:rPr>
        <w:t>The</w:t>
      </w:r>
      <w:r>
        <w:rPr>
          <w:spacing w:val="-2"/>
          <w:vertAlign w:val="baseline"/>
        </w:rPr>
        <w:t> </w:t>
      </w:r>
      <w:r>
        <w:rPr>
          <w:vertAlign w:val="baseline"/>
        </w:rPr>
        <w:t>ferrous</w:t>
      </w:r>
      <w:r>
        <w:rPr>
          <w:spacing w:val="-2"/>
          <w:vertAlign w:val="baseline"/>
        </w:rPr>
        <w:t> </w:t>
      </w:r>
      <w:r>
        <w:rPr>
          <w:vertAlign w:val="baseline"/>
        </w:rPr>
        <w:t>iron</w:t>
      </w:r>
      <w:r>
        <w:rPr>
          <w:spacing w:val="-2"/>
          <w:vertAlign w:val="baseline"/>
        </w:rPr>
        <w:t> </w:t>
      </w:r>
      <w:r>
        <w:rPr>
          <w:vertAlign w:val="baseline"/>
        </w:rPr>
        <w:t>(Fe</w:t>
      </w:r>
      <w:r>
        <w:rPr>
          <w:vertAlign w:val="superscript"/>
        </w:rPr>
        <w:t>2+</w:t>
      </w:r>
      <w:r>
        <w:rPr>
          <w:vertAlign w:val="baseline"/>
        </w:rPr>
        <w:t>)</w:t>
      </w:r>
      <w:r>
        <w:rPr>
          <w:spacing w:val="-2"/>
          <w:vertAlign w:val="baseline"/>
        </w:rPr>
        <w:t> </w:t>
      </w:r>
      <w:r>
        <w:rPr>
          <w:vertAlign w:val="baseline"/>
        </w:rPr>
        <w:t>is</w:t>
      </w:r>
      <w:r>
        <w:rPr>
          <w:spacing w:val="-2"/>
          <w:vertAlign w:val="baseline"/>
        </w:rPr>
        <w:t> </w:t>
      </w:r>
      <w:r>
        <w:rPr>
          <w:vertAlign w:val="baseline"/>
        </w:rPr>
        <w:t>transported across the enterocytes through the basolateral membrane being bound by ferroportin. Once internalized in the enterocytes, Fe</w:t>
      </w:r>
      <w:r>
        <w:rPr>
          <w:vertAlign w:val="superscript"/>
        </w:rPr>
        <w:t>2+</w:t>
      </w:r>
      <w:r>
        <w:rPr>
          <w:vertAlign w:val="baseline"/>
        </w:rPr>
        <w:t>is later oxidized to the ferric state (Fe</w:t>
      </w:r>
      <w:r>
        <w:rPr>
          <w:vertAlign w:val="superscript"/>
        </w:rPr>
        <w:t>3+</w:t>
      </w:r>
      <w:r>
        <w:rPr>
          <w:vertAlign w:val="baseline"/>
        </w:rPr>
        <w:t>). The oxidation from ferrous to ferric state is medicated by copper oxidase protein called hephaestin and in</w:t>
      </w:r>
      <w:r>
        <w:rPr>
          <w:spacing w:val="40"/>
          <w:vertAlign w:val="baseline"/>
        </w:rPr>
        <w:t> </w:t>
      </w:r>
      <w:r>
        <w:rPr>
          <w:vertAlign w:val="baseline"/>
        </w:rPr>
        <w:t>the plasma by Ceruloplasmin before it is bound to transferrin (Hoffbrand and Moss, 2011). Free iron is toxic until it is bound to transferrin (Crook, 2012). The iron bound to transferrin</w:t>
      </w:r>
      <w:r>
        <w:rPr>
          <w:spacing w:val="40"/>
          <w:vertAlign w:val="baseline"/>
        </w:rPr>
        <w:t> </w:t>
      </w:r>
      <w:r>
        <w:rPr>
          <w:vertAlign w:val="baseline"/>
        </w:rPr>
        <w:t>is</w:t>
      </w:r>
      <w:r>
        <w:rPr>
          <w:spacing w:val="11"/>
          <w:vertAlign w:val="baseline"/>
        </w:rPr>
        <w:t> </w:t>
      </w:r>
      <w:r>
        <w:rPr>
          <w:vertAlign w:val="baseline"/>
        </w:rPr>
        <w:t>transported</w:t>
      </w:r>
      <w:r>
        <w:rPr>
          <w:spacing w:val="11"/>
          <w:vertAlign w:val="baseline"/>
        </w:rPr>
        <w:t> </w:t>
      </w:r>
      <w:r>
        <w:rPr>
          <w:vertAlign w:val="baseline"/>
        </w:rPr>
        <w:t>to</w:t>
      </w:r>
      <w:r>
        <w:rPr>
          <w:spacing w:val="12"/>
          <w:vertAlign w:val="baseline"/>
        </w:rPr>
        <w:t> </w:t>
      </w:r>
      <w:r>
        <w:rPr>
          <w:vertAlign w:val="baseline"/>
        </w:rPr>
        <w:t>the</w:t>
      </w:r>
      <w:r>
        <w:rPr>
          <w:spacing w:val="9"/>
          <w:vertAlign w:val="baseline"/>
        </w:rPr>
        <w:t> </w:t>
      </w:r>
      <w:r>
        <w:rPr>
          <w:vertAlign w:val="baseline"/>
        </w:rPr>
        <w:t>transferrin</w:t>
      </w:r>
      <w:r>
        <w:rPr>
          <w:spacing w:val="14"/>
          <w:vertAlign w:val="baseline"/>
        </w:rPr>
        <w:t> </w:t>
      </w:r>
      <w:r>
        <w:rPr>
          <w:vertAlign w:val="baseline"/>
        </w:rPr>
        <w:t>receptor</w:t>
      </w:r>
      <w:r>
        <w:rPr>
          <w:spacing w:val="13"/>
          <w:vertAlign w:val="baseline"/>
        </w:rPr>
        <w:t> </w:t>
      </w:r>
      <w:r>
        <w:rPr>
          <w:vertAlign w:val="baseline"/>
        </w:rPr>
        <w:t>(TfR)</w:t>
      </w:r>
      <w:r>
        <w:rPr>
          <w:spacing w:val="11"/>
          <w:vertAlign w:val="baseline"/>
        </w:rPr>
        <w:t> </w:t>
      </w:r>
      <w:r>
        <w:rPr>
          <w:vertAlign w:val="baseline"/>
        </w:rPr>
        <w:t>located</w:t>
      </w:r>
      <w:r>
        <w:rPr>
          <w:spacing w:val="10"/>
          <w:vertAlign w:val="baseline"/>
        </w:rPr>
        <w:t> </w:t>
      </w:r>
      <w:r>
        <w:rPr>
          <w:vertAlign w:val="baseline"/>
        </w:rPr>
        <w:t>on</w:t>
      </w:r>
      <w:r>
        <w:rPr>
          <w:spacing w:val="13"/>
          <w:vertAlign w:val="baseline"/>
        </w:rPr>
        <w:t> </w:t>
      </w:r>
      <w:r>
        <w:rPr>
          <w:vertAlign w:val="baseline"/>
        </w:rPr>
        <w:t>the</w:t>
      </w:r>
      <w:r>
        <w:rPr>
          <w:spacing w:val="11"/>
          <w:vertAlign w:val="baseline"/>
        </w:rPr>
        <w:t> </w:t>
      </w:r>
      <w:r>
        <w:rPr>
          <w:vertAlign w:val="baseline"/>
        </w:rPr>
        <w:t>surface</w:t>
      </w:r>
      <w:r>
        <w:rPr>
          <w:spacing w:val="9"/>
          <w:vertAlign w:val="baseline"/>
        </w:rPr>
        <w:t> </w:t>
      </w:r>
      <w:r>
        <w:rPr>
          <w:vertAlign w:val="baseline"/>
        </w:rPr>
        <w:t>of</w:t>
      </w:r>
      <w:r>
        <w:rPr>
          <w:spacing w:val="11"/>
          <w:vertAlign w:val="baseline"/>
        </w:rPr>
        <w:t> </w:t>
      </w:r>
      <w:r>
        <w:rPr>
          <w:vertAlign w:val="baseline"/>
        </w:rPr>
        <w:t>cells</w:t>
      </w:r>
      <w:r>
        <w:rPr>
          <w:spacing w:val="12"/>
          <w:vertAlign w:val="baseline"/>
        </w:rPr>
        <w:t> </w:t>
      </w:r>
      <w:r>
        <w:rPr>
          <w:vertAlign w:val="baseline"/>
        </w:rPr>
        <w:t>especially</w:t>
      </w:r>
      <w:r>
        <w:rPr>
          <w:spacing w:val="18"/>
          <w:vertAlign w:val="baseline"/>
        </w:rPr>
        <w:t> </w:t>
      </w:r>
      <w:r>
        <w:rPr>
          <w:spacing w:val="-2"/>
          <w:vertAlign w:val="baseline"/>
        </w:rPr>
        <w:t>cells</w:t>
      </w:r>
    </w:p>
    <w:p>
      <w:pPr>
        <w:spacing w:after="0" w:line="480" w:lineRule="auto"/>
        <w:jc w:val="both"/>
        <w:sectPr>
          <w:pgSz w:w="11910" w:h="16840"/>
          <w:pgMar w:header="0" w:footer="1067" w:top="1060" w:bottom="1260" w:left="880" w:right="640"/>
        </w:sectPr>
      </w:pPr>
    </w:p>
    <w:p>
      <w:pPr>
        <w:pStyle w:val="BodyText"/>
        <w:spacing w:line="480" w:lineRule="auto" w:before="70"/>
        <w:ind w:left="560" w:right="801"/>
        <w:jc w:val="both"/>
      </w:pPr>
      <w:r>
        <w:rPr/>
        <w:t>with increased need for iron. It is reported that the expression of TfR in the proximal small intestine is increased in the cells that have higherneed for iron such as the proliferating crypt cells (Chua </w:t>
      </w:r>
      <w:r>
        <w:rPr>
          <w:i/>
        </w:rPr>
        <w:t>et al.,</w:t>
      </w:r>
      <w:r>
        <w:rPr/>
        <w:t>1998).</w:t>
      </w:r>
    </w:p>
    <w:p>
      <w:pPr>
        <w:pStyle w:val="BodyText"/>
        <w:spacing w:line="480" w:lineRule="auto" w:before="1"/>
        <w:ind w:left="560" w:right="795"/>
      </w:pPr>
      <w:r>
        <w:rPr/>
        <w:t>The diferric transferrin binds to TfR to form a ligand complex. The complex enters the cell</w:t>
      </w:r>
      <w:r>
        <w:rPr>
          <w:spacing w:val="80"/>
        </w:rPr>
        <w:t> </w:t>
      </w:r>
      <w:r>
        <w:rPr/>
        <w:t>by receptor mediated endocytosis. This is followed by a series of reaction that results in the</w:t>
      </w:r>
      <w:r>
        <w:rPr>
          <w:spacing w:val="40"/>
        </w:rPr>
        <w:t> </w:t>
      </w:r>
      <w:r>
        <w:rPr/>
        <w:t>release</w:t>
      </w:r>
      <w:r>
        <w:rPr>
          <w:spacing w:val="37"/>
        </w:rPr>
        <w:t> </w:t>
      </w:r>
      <w:r>
        <w:rPr/>
        <w:t>of</w:t>
      </w:r>
      <w:r>
        <w:rPr>
          <w:spacing w:val="37"/>
        </w:rPr>
        <w:t> </w:t>
      </w:r>
      <w:r>
        <w:rPr/>
        <w:t>iron</w:t>
      </w:r>
      <w:r>
        <w:rPr>
          <w:spacing w:val="38"/>
        </w:rPr>
        <w:t> </w:t>
      </w:r>
      <w:r>
        <w:rPr/>
        <w:t>in</w:t>
      </w:r>
      <w:r>
        <w:rPr>
          <w:spacing w:val="39"/>
        </w:rPr>
        <w:t> </w:t>
      </w:r>
      <w:r>
        <w:rPr/>
        <w:t>the</w:t>
      </w:r>
      <w:r>
        <w:rPr>
          <w:spacing w:val="40"/>
        </w:rPr>
        <w:t> </w:t>
      </w:r>
      <w:r>
        <w:rPr/>
        <w:t>cytosol.</w:t>
      </w:r>
      <w:r>
        <w:rPr>
          <w:spacing w:val="38"/>
        </w:rPr>
        <w:t> </w:t>
      </w:r>
      <w:r>
        <w:rPr/>
        <w:t>The</w:t>
      </w:r>
      <w:r>
        <w:rPr>
          <w:spacing w:val="37"/>
        </w:rPr>
        <w:t> </w:t>
      </w:r>
      <w:r>
        <w:rPr/>
        <w:t>apotransferrin-TfR</w:t>
      </w:r>
      <w:r>
        <w:rPr>
          <w:spacing w:val="39"/>
        </w:rPr>
        <w:t> </w:t>
      </w:r>
      <w:r>
        <w:rPr/>
        <w:t>is</w:t>
      </w:r>
      <w:r>
        <w:rPr>
          <w:spacing w:val="39"/>
        </w:rPr>
        <w:t> </w:t>
      </w:r>
      <w:r>
        <w:rPr/>
        <w:t>recycled</w:t>
      </w:r>
      <w:r>
        <w:rPr>
          <w:spacing w:val="38"/>
        </w:rPr>
        <w:t> </w:t>
      </w:r>
      <w:r>
        <w:rPr/>
        <w:t>back</w:t>
      </w:r>
      <w:r>
        <w:rPr>
          <w:spacing w:val="40"/>
        </w:rPr>
        <w:t> </w:t>
      </w:r>
      <w:r>
        <w:rPr/>
        <w:t>to</w:t>
      </w:r>
      <w:r>
        <w:rPr>
          <w:spacing w:val="39"/>
        </w:rPr>
        <w:t> </w:t>
      </w:r>
      <w:r>
        <w:rPr/>
        <w:t>the</w:t>
      </w:r>
      <w:r>
        <w:rPr>
          <w:spacing w:val="38"/>
        </w:rPr>
        <w:t> </w:t>
      </w:r>
      <w:r>
        <w:rPr/>
        <w:t>cell</w:t>
      </w:r>
      <w:r>
        <w:rPr>
          <w:spacing w:val="39"/>
        </w:rPr>
        <w:t> </w:t>
      </w:r>
      <w:r>
        <w:rPr/>
        <w:t>surface (Pippard</w:t>
      </w:r>
      <w:r>
        <w:rPr>
          <w:spacing w:val="-1"/>
        </w:rPr>
        <w:t> </w:t>
      </w:r>
      <w:r>
        <w:rPr/>
        <w:t>and Hoffbrand, 2001). Virtually</w:t>
      </w:r>
      <w:r>
        <w:rPr>
          <w:spacing w:val="-5"/>
        </w:rPr>
        <w:t> </w:t>
      </w:r>
      <w:r>
        <w:rPr/>
        <w:t>all cells have</w:t>
      </w:r>
      <w:r>
        <w:rPr>
          <w:spacing w:val="-1"/>
        </w:rPr>
        <w:t> </w:t>
      </w:r>
      <w:r>
        <w:rPr/>
        <w:t>TfR on their surface but more appears on</w:t>
      </w:r>
      <w:r>
        <w:rPr>
          <w:spacing w:val="26"/>
        </w:rPr>
        <w:t> </w:t>
      </w:r>
      <w:r>
        <w:rPr/>
        <w:t>the</w:t>
      </w:r>
      <w:r>
        <w:rPr>
          <w:spacing w:val="26"/>
        </w:rPr>
        <w:t> </w:t>
      </w:r>
      <w:r>
        <w:rPr/>
        <w:t>erythroid.</w:t>
      </w:r>
      <w:r>
        <w:rPr>
          <w:spacing w:val="29"/>
        </w:rPr>
        <w:t> </w:t>
      </w:r>
      <w:r>
        <w:rPr/>
        <w:t>In</w:t>
      </w:r>
      <w:r>
        <w:rPr>
          <w:spacing w:val="26"/>
        </w:rPr>
        <w:t> </w:t>
      </w:r>
      <w:r>
        <w:rPr/>
        <w:t>the</w:t>
      </w:r>
      <w:r>
        <w:rPr>
          <w:spacing w:val="26"/>
        </w:rPr>
        <w:t> </w:t>
      </w:r>
      <w:r>
        <w:rPr/>
        <w:t>marrow,</w:t>
      </w:r>
      <w:r>
        <w:rPr>
          <w:spacing w:val="26"/>
        </w:rPr>
        <w:t> </w:t>
      </w:r>
      <w:r>
        <w:rPr/>
        <w:t>not</w:t>
      </w:r>
      <w:r>
        <w:rPr>
          <w:spacing w:val="27"/>
        </w:rPr>
        <w:t> </w:t>
      </w:r>
      <w:r>
        <w:rPr/>
        <w:t>all</w:t>
      </w:r>
      <w:r>
        <w:rPr>
          <w:spacing w:val="27"/>
        </w:rPr>
        <w:t> </w:t>
      </w:r>
      <w:r>
        <w:rPr/>
        <w:t>the</w:t>
      </w:r>
      <w:r>
        <w:rPr>
          <w:spacing w:val="26"/>
        </w:rPr>
        <w:t> </w:t>
      </w:r>
      <w:r>
        <w:rPr/>
        <w:t>erythroblasts</w:t>
      </w:r>
      <w:r>
        <w:rPr>
          <w:spacing w:val="27"/>
        </w:rPr>
        <w:t> </w:t>
      </w:r>
      <w:r>
        <w:rPr/>
        <w:t>develop</w:t>
      </w:r>
      <w:r>
        <w:rPr>
          <w:spacing w:val="27"/>
        </w:rPr>
        <w:t> </w:t>
      </w:r>
      <w:r>
        <w:rPr/>
        <w:t>and</w:t>
      </w:r>
      <w:r>
        <w:rPr>
          <w:spacing w:val="26"/>
        </w:rPr>
        <w:t> </w:t>
      </w:r>
      <w:r>
        <w:rPr/>
        <w:t>mature</w:t>
      </w:r>
      <w:r>
        <w:rPr>
          <w:spacing w:val="26"/>
        </w:rPr>
        <w:t> </w:t>
      </w:r>
      <w:r>
        <w:rPr/>
        <w:t>successfully. Some die in the marrow and the iron salvaged by macrophages (Hoffbrand and Moss, 2011). The amount of iron absorbed is seriously regulated to create metabolic balance to avoid iron overload</w:t>
      </w:r>
      <w:r>
        <w:rPr>
          <w:spacing w:val="78"/>
        </w:rPr>
        <w:t> </w:t>
      </w:r>
      <w:r>
        <w:rPr/>
        <w:t>because</w:t>
      </w:r>
      <w:r>
        <w:rPr>
          <w:spacing w:val="77"/>
        </w:rPr>
        <w:t> </w:t>
      </w:r>
      <w:r>
        <w:rPr/>
        <w:t>there</w:t>
      </w:r>
      <w:r>
        <w:rPr>
          <w:spacing w:val="78"/>
        </w:rPr>
        <w:t> </w:t>
      </w:r>
      <w:r>
        <w:rPr/>
        <w:t>is</w:t>
      </w:r>
      <w:r>
        <w:rPr>
          <w:spacing w:val="79"/>
        </w:rPr>
        <w:t> </w:t>
      </w:r>
      <w:r>
        <w:rPr/>
        <w:t>no</w:t>
      </w:r>
      <w:r>
        <w:rPr>
          <w:spacing w:val="78"/>
        </w:rPr>
        <w:t> </w:t>
      </w:r>
      <w:r>
        <w:rPr/>
        <w:t>effective</w:t>
      </w:r>
      <w:r>
        <w:rPr>
          <w:spacing w:val="79"/>
        </w:rPr>
        <w:t> </w:t>
      </w:r>
      <w:r>
        <w:rPr/>
        <w:t>excretory</w:t>
      </w:r>
      <w:r>
        <w:rPr>
          <w:spacing w:val="73"/>
        </w:rPr>
        <w:t> </w:t>
      </w:r>
      <w:r>
        <w:rPr/>
        <w:t>mechanism</w:t>
      </w:r>
      <w:r>
        <w:rPr>
          <w:spacing w:val="79"/>
        </w:rPr>
        <w:t> </w:t>
      </w:r>
      <w:r>
        <w:rPr/>
        <w:t>for</w:t>
      </w:r>
      <w:r>
        <w:rPr>
          <w:spacing w:val="80"/>
        </w:rPr>
        <w:t> </w:t>
      </w:r>
      <w:r>
        <w:rPr/>
        <w:t>iron.</w:t>
      </w:r>
      <w:r>
        <w:rPr>
          <w:spacing w:val="80"/>
        </w:rPr>
        <w:t> </w:t>
      </w:r>
      <w:r>
        <w:rPr/>
        <w:t>Iron</w:t>
      </w:r>
      <w:r>
        <w:rPr>
          <w:spacing w:val="77"/>
        </w:rPr>
        <w:t> </w:t>
      </w:r>
      <w:r>
        <w:rPr/>
        <w:t>is</w:t>
      </w:r>
      <w:r>
        <w:rPr>
          <w:spacing w:val="79"/>
        </w:rPr>
        <w:t> </w:t>
      </w:r>
      <w:r>
        <w:rPr/>
        <w:t>lost</w:t>
      </w:r>
      <w:r>
        <w:rPr>
          <w:spacing w:val="79"/>
        </w:rPr>
        <w:t> </w:t>
      </w:r>
      <w:r>
        <w:rPr/>
        <w:t>by desquamation</w:t>
      </w:r>
      <w:r>
        <w:rPr>
          <w:spacing w:val="36"/>
        </w:rPr>
        <w:t> </w:t>
      </w:r>
      <w:r>
        <w:rPr/>
        <w:t>mostly</w:t>
      </w:r>
      <w:r>
        <w:rPr>
          <w:spacing w:val="31"/>
        </w:rPr>
        <w:t> </w:t>
      </w:r>
      <w:r>
        <w:rPr/>
        <w:t>sloughing</w:t>
      </w:r>
      <w:r>
        <w:rPr>
          <w:spacing w:val="36"/>
        </w:rPr>
        <w:t> </w:t>
      </w:r>
      <w:r>
        <w:rPr/>
        <w:t>of</w:t>
      </w:r>
      <w:r>
        <w:rPr>
          <w:spacing w:val="35"/>
        </w:rPr>
        <w:t> </w:t>
      </w:r>
      <w:r>
        <w:rPr/>
        <w:t>enterocytes</w:t>
      </w:r>
      <w:r>
        <w:rPr>
          <w:spacing w:val="38"/>
        </w:rPr>
        <w:t> </w:t>
      </w:r>
      <w:r>
        <w:rPr/>
        <w:t>and</w:t>
      </w:r>
      <w:r>
        <w:rPr>
          <w:spacing w:val="36"/>
        </w:rPr>
        <w:t> </w:t>
      </w:r>
      <w:r>
        <w:rPr/>
        <w:t>from</w:t>
      </w:r>
      <w:r>
        <w:rPr>
          <w:spacing w:val="36"/>
        </w:rPr>
        <w:t> </w:t>
      </w:r>
      <w:r>
        <w:rPr/>
        <w:t>the</w:t>
      </w:r>
      <w:r>
        <w:rPr>
          <w:spacing w:val="35"/>
        </w:rPr>
        <w:t> </w:t>
      </w:r>
      <w:r>
        <w:rPr/>
        <w:t>skin.</w:t>
      </w:r>
      <w:r>
        <w:rPr>
          <w:spacing w:val="36"/>
        </w:rPr>
        <w:t> </w:t>
      </w:r>
      <w:r>
        <w:rPr/>
        <w:t>The</w:t>
      </w:r>
      <w:r>
        <w:rPr>
          <w:spacing w:val="37"/>
        </w:rPr>
        <w:t> </w:t>
      </w:r>
      <w:r>
        <w:rPr/>
        <w:t>daily</w:t>
      </w:r>
      <w:r>
        <w:rPr>
          <w:spacing w:val="31"/>
        </w:rPr>
        <w:t> </w:t>
      </w:r>
      <w:r>
        <w:rPr/>
        <w:t>loss</w:t>
      </w:r>
      <w:r>
        <w:rPr>
          <w:spacing w:val="36"/>
        </w:rPr>
        <w:t> </w:t>
      </w:r>
      <w:r>
        <w:rPr/>
        <w:t>by</w:t>
      </w:r>
      <w:r>
        <w:rPr>
          <w:spacing w:val="31"/>
        </w:rPr>
        <w:t> </w:t>
      </w:r>
      <w:r>
        <w:rPr/>
        <w:t>these routes is about 1mg.</w:t>
      </w:r>
      <w:r>
        <w:rPr>
          <w:spacing w:val="-1"/>
        </w:rPr>
        <w:t> </w:t>
      </w:r>
      <w:r>
        <w:rPr/>
        <w:t>Urinary</w:t>
      </w:r>
      <w:r>
        <w:rPr>
          <w:spacing w:val="-4"/>
        </w:rPr>
        <w:t> </w:t>
      </w:r>
      <w:r>
        <w:rPr/>
        <w:t>excretion is minimal as circulating iron is protein bound and not water soluble. When there is iron insufficiency, disturbance of the homeostatic process and</w:t>
      </w:r>
      <w:r>
        <w:rPr>
          <w:spacing w:val="80"/>
        </w:rPr>
        <w:t> </w:t>
      </w:r>
      <w:r>
        <w:rPr/>
        <w:t>impaired</w:t>
      </w:r>
      <w:r>
        <w:rPr>
          <w:spacing w:val="40"/>
        </w:rPr>
        <w:t> </w:t>
      </w:r>
      <w:r>
        <w:rPr/>
        <w:t>supply</w:t>
      </w:r>
      <w:r>
        <w:rPr>
          <w:spacing w:val="40"/>
        </w:rPr>
        <w:t> </w:t>
      </w:r>
      <w:r>
        <w:rPr/>
        <w:t>to</w:t>
      </w:r>
      <w:r>
        <w:rPr>
          <w:spacing w:val="69"/>
        </w:rPr>
        <w:t> </w:t>
      </w:r>
      <w:r>
        <w:rPr/>
        <w:t>the</w:t>
      </w:r>
      <w:r>
        <w:rPr>
          <w:spacing w:val="68"/>
        </w:rPr>
        <w:t> </w:t>
      </w:r>
      <w:r>
        <w:rPr/>
        <w:t>erythriods,</w:t>
      </w:r>
      <w:r>
        <w:rPr>
          <w:spacing w:val="40"/>
        </w:rPr>
        <w:t> </w:t>
      </w:r>
      <w:r>
        <w:rPr/>
        <w:t>iron</w:t>
      </w:r>
      <w:r>
        <w:rPr>
          <w:spacing w:val="40"/>
        </w:rPr>
        <w:t> </w:t>
      </w:r>
      <w:r>
        <w:rPr/>
        <w:t>deficiency</w:t>
      </w:r>
      <w:r>
        <w:rPr>
          <w:spacing w:val="40"/>
        </w:rPr>
        <w:t> </w:t>
      </w:r>
      <w:r>
        <w:rPr/>
        <w:t>will</w:t>
      </w:r>
      <w:r>
        <w:rPr>
          <w:spacing w:val="67"/>
        </w:rPr>
        <w:t> </w:t>
      </w:r>
      <w:r>
        <w:rPr/>
        <w:t>occur.</w:t>
      </w:r>
      <w:r>
        <w:rPr>
          <w:spacing w:val="69"/>
        </w:rPr>
        <w:t> </w:t>
      </w:r>
      <w:r>
        <w:rPr/>
        <w:t>Iron</w:t>
      </w:r>
      <w:r>
        <w:rPr>
          <w:spacing w:val="68"/>
        </w:rPr>
        <w:t> </w:t>
      </w:r>
      <w:r>
        <w:rPr/>
        <w:t>deficiency</w:t>
      </w:r>
      <w:r>
        <w:rPr>
          <w:spacing w:val="40"/>
        </w:rPr>
        <w:t> </w:t>
      </w:r>
      <w:r>
        <w:rPr/>
        <w:t>becomes haematologically evident</w:t>
      </w:r>
      <w:r>
        <w:rPr>
          <w:spacing w:val="31"/>
        </w:rPr>
        <w:t> </w:t>
      </w:r>
      <w:r>
        <w:rPr/>
        <w:t>only when</w:t>
      </w:r>
      <w:r>
        <w:rPr>
          <w:spacing w:val="28"/>
        </w:rPr>
        <w:t> </w:t>
      </w:r>
      <w:r>
        <w:rPr/>
        <w:t>no</w:t>
      </w:r>
      <w:r>
        <w:rPr>
          <w:spacing w:val="28"/>
        </w:rPr>
        <w:t> </w:t>
      </w:r>
      <w:r>
        <w:rPr/>
        <w:t>stainable</w:t>
      </w:r>
      <w:r>
        <w:rPr>
          <w:spacing w:val="30"/>
        </w:rPr>
        <w:t> </w:t>
      </w:r>
      <w:r>
        <w:rPr/>
        <w:t>iron</w:t>
      </w:r>
      <w:r>
        <w:rPr>
          <w:spacing w:val="28"/>
        </w:rPr>
        <w:t> </w:t>
      </w:r>
      <w:r>
        <w:rPr/>
        <w:t>is</w:t>
      </w:r>
      <w:r>
        <w:rPr>
          <w:spacing w:val="29"/>
        </w:rPr>
        <w:t> </w:t>
      </w:r>
      <w:r>
        <w:rPr/>
        <w:t>detected</w:t>
      </w:r>
      <w:r>
        <w:rPr>
          <w:spacing w:val="28"/>
        </w:rPr>
        <w:t> </w:t>
      </w:r>
      <w:r>
        <w:rPr/>
        <w:t>in</w:t>
      </w:r>
      <w:r>
        <w:rPr>
          <w:spacing w:val="29"/>
        </w:rPr>
        <w:t> </w:t>
      </w:r>
      <w:r>
        <w:rPr/>
        <w:t>the</w:t>
      </w:r>
      <w:r>
        <w:rPr>
          <w:spacing w:val="30"/>
        </w:rPr>
        <w:t> </w:t>
      </w:r>
      <w:r>
        <w:rPr/>
        <w:t>reticuloendothelial cells</w:t>
      </w:r>
      <w:r>
        <w:rPr>
          <w:spacing w:val="40"/>
        </w:rPr>
        <w:t> </w:t>
      </w:r>
      <w:r>
        <w:rPr/>
        <w:t>in</w:t>
      </w:r>
      <w:r>
        <w:rPr>
          <w:spacing w:val="40"/>
        </w:rPr>
        <w:t> </w:t>
      </w:r>
      <w:r>
        <w:rPr/>
        <w:t>bone</w:t>
      </w:r>
      <w:r>
        <w:rPr>
          <w:spacing w:val="40"/>
        </w:rPr>
        <w:t> </w:t>
      </w:r>
      <w:r>
        <w:rPr/>
        <w:t>marrow</w:t>
      </w:r>
      <w:r>
        <w:rPr>
          <w:spacing w:val="40"/>
        </w:rPr>
        <w:t> </w:t>
      </w:r>
      <w:r>
        <w:rPr/>
        <w:t>films.</w:t>
      </w:r>
      <w:r>
        <w:rPr>
          <w:spacing w:val="40"/>
        </w:rPr>
        <w:t> </w:t>
      </w:r>
      <w:r>
        <w:rPr/>
        <w:t>Conversely,</w:t>
      </w:r>
      <w:r>
        <w:rPr>
          <w:spacing w:val="40"/>
        </w:rPr>
        <w:t> </w:t>
      </w:r>
      <w:r>
        <w:rPr/>
        <w:t>iron</w:t>
      </w:r>
      <w:r>
        <w:rPr>
          <w:spacing w:val="40"/>
        </w:rPr>
        <w:t> </w:t>
      </w:r>
      <w:r>
        <w:rPr/>
        <w:t>overload</w:t>
      </w:r>
      <w:r>
        <w:rPr>
          <w:spacing w:val="40"/>
        </w:rPr>
        <w:t> </w:t>
      </w:r>
      <w:r>
        <w:rPr/>
        <w:t>is</w:t>
      </w:r>
      <w:r>
        <w:rPr>
          <w:spacing w:val="40"/>
        </w:rPr>
        <w:t> </w:t>
      </w:r>
      <w:r>
        <w:rPr/>
        <w:t>likely</w:t>
      </w:r>
      <w:r>
        <w:rPr>
          <w:spacing w:val="40"/>
        </w:rPr>
        <w:t> </w:t>
      </w:r>
      <w:r>
        <w:rPr/>
        <w:t>when</w:t>
      </w:r>
      <w:r>
        <w:rPr>
          <w:spacing w:val="40"/>
        </w:rPr>
        <w:t> </w:t>
      </w:r>
      <w:r>
        <w:rPr/>
        <w:t>reticuloendothelial storage capacity is</w:t>
      </w:r>
      <w:r>
        <w:rPr>
          <w:spacing w:val="24"/>
        </w:rPr>
        <w:t> </w:t>
      </w:r>
      <w:r>
        <w:rPr/>
        <w:t>exceeded and stainable iron is</w:t>
      </w:r>
      <w:r>
        <w:rPr>
          <w:spacing w:val="24"/>
        </w:rPr>
        <w:t> </w:t>
      </w:r>
      <w:r>
        <w:rPr/>
        <w:t>demonstrated in the parenchymal cells in</w:t>
      </w:r>
      <w:r>
        <w:rPr>
          <w:spacing w:val="40"/>
        </w:rPr>
        <w:t> </w:t>
      </w:r>
      <w:r>
        <w:rPr/>
        <w:t>liver</w:t>
      </w:r>
      <w:r>
        <w:rPr>
          <w:spacing w:val="-2"/>
        </w:rPr>
        <w:t> </w:t>
      </w:r>
      <w:r>
        <w:rPr/>
        <w:t>biopsy</w:t>
      </w:r>
      <w:r>
        <w:rPr>
          <w:spacing w:val="-5"/>
        </w:rPr>
        <w:t> </w:t>
      </w:r>
      <w:r>
        <w:rPr/>
        <w:t>(Crook,</w:t>
      </w:r>
      <w:r>
        <w:rPr>
          <w:spacing w:val="-2"/>
        </w:rPr>
        <w:t> </w:t>
      </w:r>
      <w:r>
        <w:rPr/>
        <w:t>2012).</w:t>
      </w:r>
      <w:r>
        <w:rPr>
          <w:spacing w:val="-2"/>
        </w:rPr>
        <w:t> </w:t>
      </w:r>
      <w:r>
        <w:rPr/>
        <w:t>The</w:t>
      </w:r>
      <w:r>
        <w:rPr>
          <w:spacing w:val="-1"/>
        </w:rPr>
        <w:t> </w:t>
      </w:r>
      <w:r>
        <w:rPr/>
        <w:t>classic</w:t>
      </w:r>
      <w:r>
        <w:rPr>
          <w:spacing w:val="-1"/>
        </w:rPr>
        <w:t> </w:t>
      </w:r>
      <w:r>
        <w:rPr/>
        <w:t>anaemia</w:t>
      </w:r>
      <w:r>
        <w:rPr>
          <w:spacing w:val="-3"/>
        </w:rPr>
        <w:t> </w:t>
      </w:r>
      <w:r>
        <w:rPr/>
        <w:t>that</w:t>
      </w:r>
      <w:r>
        <w:rPr>
          <w:spacing w:val="-2"/>
        </w:rPr>
        <w:t> </w:t>
      </w:r>
      <w:r>
        <w:rPr/>
        <w:t>occurs</w:t>
      </w:r>
      <w:r>
        <w:rPr>
          <w:spacing w:val="-2"/>
        </w:rPr>
        <w:t> </w:t>
      </w:r>
      <w:r>
        <w:rPr/>
        <w:t>in</w:t>
      </w:r>
      <w:r>
        <w:rPr>
          <w:spacing w:val="-2"/>
        </w:rPr>
        <w:t> </w:t>
      </w:r>
      <w:r>
        <w:rPr/>
        <w:t>iron</w:t>
      </w:r>
      <w:r>
        <w:rPr>
          <w:spacing w:val="-1"/>
        </w:rPr>
        <w:t> </w:t>
      </w:r>
      <w:r>
        <w:rPr/>
        <w:t>deficiency</w:t>
      </w:r>
      <w:r>
        <w:rPr>
          <w:spacing w:val="-5"/>
        </w:rPr>
        <w:t> </w:t>
      </w:r>
      <w:r>
        <w:rPr/>
        <w:t>is</w:t>
      </w:r>
      <w:r>
        <w:rPr>
          <w:spacing w:val="-2"/>
        </w:rPr>
        <w:t> </w:t>
      </w:r>
      <w:r>
        <w:rPr/>
        <w:t>hypochromic microcytic</w:t>
      </w:r>
      <w:r>
        <w:rPr>
          <w:spacing w:val="40"/>
        </w:rPr>
        <w:t> </w:t>
      </w:r>
      <w:r>
        <w:rPr/>
        <w:t>anaemia.</w:t>
      </w:r>
      <w:r>
        <w:rPr>
          <w:spacing w:val="40"/>
        </w:rPr>
        <w:t> </w:t>
      </w:r>
      <w:r>
        <w:rPr/>
        <w:t>However,</w:t>
      </w:r>
      <w:r>
        <w:rPr>
          <w:spacing w:val="40"/>
        </w:rPr>
        <w:t> </w:t>
      </w:r>
      <w:r>
        <w:rPr/>
        <w:t>early</w:t>
      </w:r>
      <w:r>
        <w:rPr>
          <w:spacing w:val="40"/>
        </w:rPr>
        <w:t> </w:t>
      </w:r>
      <w:r>
        <w:rPr/>
        <w:t>or</w:t>
      </w:r>
      <w:r>
        <w:rPr>
          <w:spacing w:val="40"/>
        </w:rPr>
        <w:t> </w:t>
      </w:r>
      <w:r>
        <w:rPr/>
        <w:t>mild</w:t>
      </w:r>
      <w:r>
        <w:rPr>
          <w:spacing w:val="40"/>
        </w:rPr>
        <w:t> </w:t>
      </w:r>
      <w:r>
        <w:rPr/>
        <w:t>cases</w:t>
      </w:r>
      <w:r>
        <w:rPr>
          <w:spacing w:val="40"/>
        </w:rPr>
        <w:t> </w:t>
      </w:r>
      <w:r>
        <w:rPr/>
        <w:t>of</w:t>
      </w:r>
      <w:r>
        <w:rPr>
          <w:spacing w:val="40"/>
        </w:rPr>
        <w:t> </w:t>
      </w:r>
      <w:r>
        <w:rPr/>
        <w:t>iron</w:t>
      </w:r>
      <w:r>
        <w:rPr>
          <w:spacing w:val="40"/>
        </w:rPr>
        <w:t> </w:t>
      </w:r>
      <w:r>
        <w:rPr/>
        <w:t>deficiency</w:t>
      </w:r>
      <w:r>
        <w:rPr>
          <w:spacing w:val="40"/>
        </w:rPr>
        <w:t> </w:t>
      </w:r>
      <w:r>
        <w:rPr/>
        <w:t>show</w:t>
      </w:r>
      <w:r>
        <w:rPr>
          <w:spacing w:val="40"/>
        </w:rPr>
        <w:t> </w:t>
      </w:r>
      <w:r>
        <w:rPr/>
        <w:t>microcytosis without hypochromia (Antelman </w:t>
      </w:r>
      <w:r>
        <w:rPr>
          <w:i/>
        </w:rPr>
        <w:t>et al., </w:t>
      </w:r>
      <w:r>
        <w:rPr/>
        <w:t>2000; Brugnara, 2003).</w:t>
      </w:r>
    </w:p>
    <w:p>
      <w:pPr>
        <w:spacing w:after="0" w:line="480" w:lineRule="auto"/>
        <w:sectPr>
          <w:pgSz w:w="11910" w:h="16840"/>
          <w:pgMar w:header="0" w:footer="1067" w:top="1060" w:bottom="1260" w:left="880" w:right="6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2"/>
        <w:rPr>
          <w:sz w:val="20"/>
        </w:rPr>
      </w:pPr>
    </w:p>
    <w:p>
      <w:pPr>
        <w:pStyle w:val="BodyText"/>
        <w:ind w:left="1514"/>
        <w:rPr>
          <w:sz w:val="20"/>
        </w:rPr>
      </w:pPr>
      <w:r>
        <w:rPr>
          <w:sz w:val="20"/>
        </w:rPr>
        <w:drawing>
          <wp:inline distT="0" distB="0" distL="0" distR="0">
            <wp:extent cx="4537059" cy="3611879"/>
            <wp:effectExtent l="0" t="0" r="0" b="0"/>
            <wp:docPr id="4" name="Image 4" descr="C:\Users\ovic\Pictures\New Picture.png"/>
            <wp:cNvGraphicFramePr>
              <a:graphicFrameLocks/>
            </wp:cNvGraphicFramePr>
            <a:graphic>
              <a:graphicData uri="http://schemas.openxmlformats.org/drawingml/2006/picture">
                <pic:pic>
                  <pic:nvPicPr>
                    <pic:cNvPr id="4" name="Image 4" descr="C:\Users\ovic\Pictures\New Picture.png"/>
                    <pic:cNvPicPr/>
                  </pic:nvPicPr>
                  <pic:blipFill>
                    <a:blip r:embed="rId9" cstate="print"/>
                    <a:stretch>
                      <a:fillRect/>
                    </a:stretch>
                  </pic:blipFill>
                  <pic:spPr>
                    <a:xfrm>
                      <a:off x="0" y="0"/>
                      <a:ext cx="4537059" cy="3611879"/>
                    </a:xfrm>
                    <a:prstGeom prst="rect">
                      <a:avLst/>
                    </a:prstGeom>
                  </pic:spPr>
                </pic:pic>
              </a:graphicData>
            </a:graphic>
          </wp:inline>
        </w:drawing>
      </w:r>
      <w:r>
        <w:rPr>
          <w:sz w:val="20"/>
        </w:rPr>
      </w:r>
    </w:p>
    <w:p>
      <w:pPr>
        <w:pStyle w:val="BodyText"/>
      </w:pPr>
    </w:p>
    <w:p>
      <w:pPr>
        <w:pStyle w:val="BodyText"/>
      </w:pPr>
    </w:p>
    <w:p>
      <w:pPr>
        <w:pStyle w:val="BodyText"/>
        <w:spacing w:before="7"/>
      </w:pPr>
    </w:p>
    <w:p>
      <w:pPr>
        <w:pStyle w:val="BodyText"/>
        <w:ind w:right="236"/>
        <w:jc w:val="center"/>
      </w:pPr>
      <w:r>
        <w:rPr/>
        <w:t>Figure</w:t>
      </w:r>
      <w:r>
        <w:rPr>
          <w:spacing w:val="-2"/>
        </w:rPr>
        <w:t> </w:t>
      </w:r>
      <w:r>
        <w:rPr/>
        <w:t>2.2:</w:t>
      </w:r>
      <w:r>
        <w:rPr>
          <w:spacing w:val="-1"/>
        </w:rPr>
        <w:t> </w:t>
      </w:r>
      <w:r>
        <w:rPr/>
        <w:t>Structure</w:t>
      </w:r>
      <w:r>
        <w:rPr>
          <w:spacing w:val="-2"/>
        </w:rPr>
        <w:t> </w:t>
      </w:r>
      <w:r>
        <w:rPr/>
        <w:t>of</w:t>
      </w:r>
      <w:r>
        <w:rPr>
          <w:spacing w:val="-1"/>
        </w:rPr>
        <w:t> </w:t>
      </w:r>
      <w:r>
        <w:rPr/>
        <w:t>haem</w:t>
      </w:r>
      <w:r>
        <w:rPr>
          <w:spacing w:val="1"/>
        </w:rPr>
        <w:t> </w:t>
      </w:r>
      <w:r>
        <w:rPr/>
        <w:t>molecule</w:t>
      </w:r>
      <w:r>
        <w:rPr>
          <w:spacing w:val="-1"/>
        </w:rPr>
        <w:t> </w:t>
      </w:r>
      <w:r>
        <w:rPr/>
        <w:t>(Hoffbrand and</w:t>
      </w:r>
      <w:r>
        <w:rPr>
          <w:spacing w:val="-1"/>
        </w:rPr>
        <w:t> </w:t>
      </w:r>
      <w:r>
        <w:rPr/>
        <w:t>Moss, </w:t>
      </w:r>
      <w:r>
        <w:rPr>
          <w:spacing w:val="-2"/>
        </w:rPr>
        <w:t>2011).</w:t>
      </w:r>
    </w:p>
    <w:p>
      <w:pPr>
        <w:spacing w:after="0"/>
        <w:jc w:val="center"/>
        <w:sectPr>
          <w:pgSz w:w="11910" w:h="16840"/>
          <w:pgMar w:header="0" w:footer="1067" w:top="1920" w:bottom="1260" w:left="880" w:right="640"/>
        </w:sectPr>
      </w:pPr>
    </w:p>
    <w:p>
      <w:pPr>
        <w:pStyle w:val="BodyText"/>
        <w:ind w:left="1432"/>
        <w:rPr>
          <w:sz w:val="20"/>
        </w:rPr>
      </w:pPr>
      <w:r>
        <w:rPr>
          <w:sz w:val="20"/>
        </w:rPr>
        <w:drawing>
          <wp:inline distT="0" distB="0" distL="0" distR="0">
            <wp:extent cx="4660411" cy="3245643"/>
            <wp:effectExtent l="0" t="0" r="0" b="0"/>
            <wp:docPr id="5" name="Image 5" descr="Picture1535"/>
            <wp:cNvGraphicFramePr>
              <a:graphicFrameLocks/>
            </wp:cNvGraphicFramePr>
            <a:graphic>
              <a:graphicData uri="http://schemas.openxmlformats.org/drawingml/2006/picture">
                <pic:pic>
                  <pic:nvPicPr>
                    <pic:cNvPr id="5" name="Image 5" descr="Picture1535"/>
                    <pic:cNvPicPr/>
                  </pic:nvPicPr>
                  <pic:blipFill>
                    <a:blip r:embed="rId10" cstate="print"/>
                    <a:stretch>
                      <a:fillRect/>
                    </a:stretch>
                  </pic:blipFill>
                  <pic:spPr>
                    <a:xfrm>
                      <a:off x="0" y="0"/>
                      <a:ext cx="4660411" cy="3245643"/>
                    </a:xfrm>
                    <a:prstGeom prst="rect">
                      <a:avLst/>
                    </a:prstGeom>
                  </pic:spPr>
                </pic:pic>
              </a:graphicData>
            </a:graphic>
          </wp:inline>
        </w:drawing>
      </w:r>
      <w:r>
        <w:rPr>
          <w:sz w:val="20"/>
        </w:rPr>
      </w:r>
    </w:p>
    <w:p>
      <w:pPr>
        <w:pStyle w:val="BodyText"/>
      </w:pPr>
    </w:p>
    <w:p>
      <w:pPr>
        <w:pStyle w:val="BodyText"/>
        <w:spacing w:before="237"/>
      </w:pPr>
    </w:p>
    <w:p>
      <w:pPr>
        <w:pStyle w:val="BodyText"/>
        <w:ind w:left="560" w:right="795"/>
      </w:pPr>
      <w:r>
        <w:rPr/>
        <w:t>Fig 2.3: Incorporation</w:t>
      </w:r>
      <w:r>
        <w:rPr>
          <w:spacing w:val="-1"/>
        </w:rPr>
        <w:t> </w:t>
      </w:r>
      <w:r>
        <w:rPr/>
        <w:t>of iron</w:t>
      </w:r>
      <w:r>
        <w:rPr>
          <w:spacing w:val="-2"/>
        </w:rPr>
        <w:t> </w:t>
      </w:r>
      <w:r>
        <w:rPr/>
        <w:t>from plasma</w:t>
      </w:r>
      <w:r>
        <w:rPr>
          <w:spacing w:val="-2"/>
        </w:rPr>
        <w:t> </w:t>
      </w:r>
      <w:r>
        <w:rPr/>
        <w:t>transferrin</w:t>
      </w:r>
      <w:r>
        <w:rPr>
          <w:spacing w:val="-2"/>
        </w:rPr>
        <w:t> </w:t>
      </w:r>
      <w:r>
        <w:rPr/>
        <w:t>into developing</w:t>
      </w:r>
      <w:r>
        <w:rPr>
          <w:spacing w:val="-1"/>
        </w:rPr>
        <w:t> </w:t>
      </w:r>
      <w:r>
        <w:rPr/>
        <w:t>red blood</w:t>
      </w:r>
      <w:r>
        <w:rPr>
          <w:spacing w:val="-1"/>
        </w:rPr>
        <w:t> </w:t>
      </w:r>
      <w:r>
        <w:rPr/>
        <w:t>cells.</w:t>
      </w:r>
      <w:r>
        <w:rPr>
          <w:spacing w:val="-1"/>
        </w:rPr>
        <w:t> </w:t>
      </w:r>
      <w:r>
        <w:rPr/>
        <w:t>Uptake of transferrin iron is by receptor mediated endocytosis (Pippard and Hoffbrand, 2001).</w:t>
      </w:r>
    </w:p>
    <w:p>
      <w:pPr>
        <w:spacing w:after="0"/>
        <w:sectPr>
          <w:pgSz w:w="11910" w:h="16840"/>
          <w:pgMar w:header="0" w:footer="1067" w:top="1460" w:bottom="1260" w:left="880" w:right="640"/>
        </w:sectPr>
      </w:pPr>
    </w:p>
    <w:p>
      <w:pPr>
        <w:pStyle w:val="Heading2"/>
        <w:numPr>
          <w:ilvl w:val="1"/>
          <w:numId w:val="7"/>
        </w:numPr>
        <w:tabs>
          <w:tab w:pos="1280" w:val="left" w:leader="none"/>
        </w:tabs>
        <w:spacing w:line="240" w:lineRule="auto" w:before="75" w:after="0"/>
        <w:ind w:left="1280" w:right="0" w:hanging="720"/>
        <w:jc w:val="left"/>
      </w:pPr>
      <w:r>
        <w:rPr/>
        <w:t>STORED </w:t>
      </w:r>
      <w:r>
        <w:rPr>
          <w:spacing w:val="-4"/>
        </w:rPr>
        <w:t>IRON</w:t>
      </w:r>
    </w:p>
    <w:p>
      <w:pPr>
        <w:pStyle w:val="BodyText"/>
        <w:spacing w:line="480" w:lineRule="auto" w:before="271"/>
        <w:ind w:left="560" w:right="772"/>
      </w:pPr>
      <w:r>
        <w:rPr/>
        <w:t>Both</w:t>
      </w:r>
      <w:r>
        <w:rPr>
          <w:spacing w:val="40"/>
        </w:rPr>
        <w:t> </w:t>
      </w:r>
      <w:r>
        <w:rPr/>
        <w:t>ferritin</w:t>
      </w:r>
      <w:r>
        <w:rPr>
          <w:spacing w:val="40"/>
        </w:rPr>
        <w:t> </w:t>
      </w:r>
      <w:r>
        <w:rPr/>
        <w:t>and</w:t>
      </w:r>
      <w:r>
        <w:rPr>
          <w:spacing w:val="40"/>
        </w:rPr>
        <w:t> </w:t>
      </w:r>
      <w:r>
        <w:rPr/>
        <w:t>haemosiderin</w:t>
      </w:r>
      <w:r>
        <w:rPr>
          <w:spacing w:val="40"/>
        </w:rPr>
        <w:t> </w:t>
      </w:r>
      <w:r>
        <w:rPr/>
        <w:t>provides</w:t>
      </w:r>
      <w:r>
        <w:rPr>
          <w:spacing w:val="40"/>
        </w:rPr>
        <w:t> </w:t>
      </w:r>
      <w:r>
        <w:rPr/>
        <w:t>the</w:t>
      </w:r>
      <w:r>
        <w:rPr>
          <w:spacing w:val="40"/>
        </w:rPr>
        <w:t> </w:t>
      </w:r>
      <w:r>
        <w:rPr/>
        <w:t>stored</w:t>
      </w:r>
      <w:r>
        <w:rPr>
          <w:spacing w:val="40"/>
        </w:rPr>
        <w:t> </w:t>
      </w:r>
      <w:r>
        <w:rPr/>
        <w:t>iron.</w:t>
      </w:r>
      <w:r>
        <w:rPr>
          <w:spacing w:val="40"/>
        </w:rPr>
        <w:t> </w:t>
      </w:r>
      <w:r>
        <w:rPr/>
        <w:t>Haemosiderin,</w:t>
      </w:r>
      <w:r>
        <w:rPr>
          <w:spacing w:val="40"/>
        </w:rPr>
        <w:t> </w:t>
      </w:r>
      <w:r>
        <w:rPr/>
        <w:t>unlike</w:t>
      </w:r>
      <w:r>
        <w:rPr>
          <w:spacing w:val="40"/>
        </w:rPr>
        <w:t> </w:t>
      </w:r>
      <w:r>
        <w:rPr/>
        <w:t>ferritin,</w:t>
      </w:r>
      <w:r>
        <w:rPr>
          <w:spacing w:val="40"/>
        </w:rPr>
        <w:t> </w:t>
      </w:r>
      <w:r>
        <w:rPr/>
        <w:t>is water</w:t>
      </w:r>
      <w:r>
        <w:rPr>
          <w:spacing w:val="80"/>
        </w:rPr>
        <w:t> </w:t>
      </w:r>
      <w:r>
        <w:rPr/>
        <w:t>insoluble</w:t>
      </w:r>
      <w:r>
        <w:rPr>
          <w:spacing w:val="80"/>
        </w:rPr>
        <w:t> </w:t>
      </w:r>
      <w:r>
        <w:rPr/>
        <w:t>non-crystalline</w:t>
      </w:r>
      <w:r>
        <w:rPr>
          <w:spacing w:val="80"/>
        </w:rPr>
        <w:t> </w:t>
      </w:r>
      <w:r>
        <w:rPr/>
        <w:t>protein</w:t>
      </w:r>
      <w:r>
        <w:rPr>
          <w:spacing w:val="80"/>
        </w:rPr>
        <w:t> </w:t>
      </w:r>
      <w:r>
        <w:rPr/>
        <w:t>iron</w:t>
      </w:r>
      <w:r>
        <w:rPr>
          <w:spacing w:val="80"/>
        </w:rPr>
        <w:t> </w:t>
      </w:r>
      <w:r>
        <w:rPr/>
        <w:t>complex,</w:t>
      </w:r>
      <w:r>
        <w:rPr>
          <w:spacing w:val="80"/>
        </w:rPr>
        <w:t> </w:t>
      </w:r>
      <w:r>
        <w:rPr/>
        <w:t>probably</w:t>
      </w:r>
      <w:r>
        <w:rPr>
          <w:spacing w:val="80"/>
        </w:rPr>
        <w:t> </w:t>
      </w:r>
      <w:r>
        <w:rPr/>
        <w:t>formed</w:t>
      </w:r>
      <w:r>
        <w:rPr>
          <w:spacing w:val="80"/>
        </w:rPr>
        <w:t> </w:t>
      </w:r>
      <w:r>
        <w:rPr/>
        <w:t>by</w:t>
      </w:r>
      <w:r>
        <w:rPr>
          <w:spacing w:val="80"/>
        </w:rPr>
        <w:t> </w:t>
      </w:r>
      <w:r>
        <w:rPr/>
        <w:t>the</w:t>
      </w:r>
      <w:r>
        <w:rPr>
          <w:spacing w:val="80"/>
        </w:rPr>
        <w:t> </w:t>
      </w:r>
      <w:r>
        <w:rPr/>
        <w:t>partial digestion of ferritin aggregate by</w:t>
      </w:r>
      <w:r>
        <w:rPr>
          <w:spacing w:val="-3"/>
        </w:rPr>
        <w:t> </w:t>
      </w:r>
      <w:r>
        <w:rPr/>
        <w:t>lysosomal enzymes. Ferritin is not only found in the spleen, liver and bone marrow but also in the mucosal cells of small intestine, the placenta, kidneys, testes, skeletal muscles, red cells and plasma (Crichton, 1973). It also exists in the sideroblast found</w:t>
      </w:r>
      <w:r>
        <w:rPr>
          <w:spacing w:val="33"/>
        </w:rPr>
        <w:t> </w:t>
      </w:r>
      <w:r>
        <w:rPr/>
        <w:t>in</w:t>
      </w:r>
      <w:r>
        <w:rPr>
          <w:spacing w:val="34"/>
        </w:rPr>
        <w:t> </w:t>
      </w:r>
      <w:r>
        <w:rPr/>
        <w:t>the</w:t>
      </w:r>
      <w:r>
        <w:rPr>
          <w:spacing w:val="33"/>
        </w:rPr>
        <w:t> </w:t>
      </w:r>
      <w:r>
        <w:rPr/>
        <w:t>bone</w:t>
      </w:r>
      <w:r>
        <w:rPr>
          <w:spacing w:val="32"/>
        </w:rPr>
        <w:t> </w:t>
      </w:r>
      <w:r>
        <w:rPr/>
        <w:t>marrow</w:t>
      </w:r>
      <w:r>
        <w:rPr>
          <w:spacing w:val="32"/>
        </w:rPr>
        <w:t> </w:t>
      </w:r>
      <w:r>
        <w:rPr/>
        <w:t>(Hoffbrand</w:t>
      </w:r>
      <w:r>
        <w:rPr>
          <w:spacing w:val="33"/>
        </w:rPr>
        <w:t> </w:t>
      </w:r>
      <w:r>
        <w:rPr/>
        <w:t>and</w:t>
      </w:r>
      <w:r>
        <w:rPr>
          <w:spacing w:val="33"/>
        </w:rPr>
        <w:t> </w:t>
      </w:r>
      <w:r>
        <w:rPr/>
        <w:t>Moss,</w:t>
      </w:r>
      <w:r>
        <w:rPr>
          <w:spacing w:val="34"/>
        </w:rPr>
        <w:t> </w:t>
      </w:r>
      <w:r>
        <w:rPr/>
        <w:t>2011).In</w:t>
      </w:r>
      <w:r>
        <w:rPr>
          <w:spacing w:val="33"/>
        </w:rPr>
        <w:t> </w:t>
      </w:r>
      <w:r>
        <w:rPr/>
        <w:t>the</w:t>
      </w:r>
      <w:r>
        <w:rPr>
          <w:spacing w:val="33"/>
        </w:rPr>
        <w:t> </w:t>
      </w:r>
      <w:r>
        <w:rPr/>
        <w:t>liver</w:t>
      </w:r>
      <w:r>
        <w:rPr>
          <w:spacing w:val="33"/>
        </w:rPr>
        <w:t> </w:t>
      </w:r>
      <w:r>
        <w:rPr/>
        <w:t>most</w:t>
      </w:r>
      <w:r>
        <w:rPr>
          <w:spacing w:val="34"/>
        </w:rPr>
        <w:t> </w:t>
      </w:r>
      <w:r>
        <w:rPr/>
        <w:t>of</w:t>
      </w:r>
      <w:r>
        <w:rPr>
          <w:spacing w:val="33"/>
        </w:rPr>
        <w:t> </w:t>
      </w:r>
      <w:r>
        <w:rPr/>
        <w:t>the</w:t>
      </w:r>
      <w:r>
        <w:rPr>
          <w:spacing w:val="33"/>
        </w:rPr>
        <w:t> </w:t>
      </w:r>
      <w:r>
        <w:rPr/>
        <w:t>ferritin</w:t>
      </w:r>
      <w:r>
        <w:rPr>
          <w:spacing w:val="34"/>
        </w:rPr>
        <w:t> </w:t>
      </w:r>
      <w:r>
        <w:rPr/>
        <w:t>is stored within the parenchymal cells whereas in other tissues (spleen and bone marrow) it is</w:t>
      </w:r>
      <w:r>
        <w:rPr>
          <w:spacing w:val="80"/>
        </w:rPr>
        <w:t> </w:t>
      </w:r>
      <w:r>
        <w:rPr/>
        <w:t>stored mainly</w:t>
      </w:r>
      <w:r>
        <w:rPr>
          <w:spacing w:val="-1"/>
        </w:rPr>
        <w:t> </w:t>
      </w:r>
      <w:r>
        <w:rPr/>
        <w:t>in the mononuclear phagocytes or macrophages. Ferritin consists of apoferritin (protein</w:t>
      </w:r>
      <w:r>
        <w:rPr>
          <w:spacing w:val="40"/>
        </w:rPr>
        <w:t> </w:t>
      </w:r>
      <w:r>
        <w:rPr/>
        <w:t>moiety</w:t>
      </w:r>
      <w:r>
        <w:rPr>
          <w:spacing w:val="40"/>
        </w:rPr>
        <w:t> </w:t>
      </w:r>
      <w:r>
        <w:rPr/>
        <w:t>or</w:t>
      </w:r>
      <w:r>
        <w:rPr>
          <w:spacing w:val="40"/>
        </w:rPr>
        <w:t> </w:t>
      </w:r>
      <w:r>
        <w:rPr/>
        <w:t>shell,</w:t>
      </w:r>
      <w:r>
        <w:rPr>
          <w:spacing w:val="40"/>
        </w:rPr>
        <w:t> </w:t>
      </w:r>
      <w:r>
        <w:rPr/>
        <w:t>free</w:t>
      </w:r>
      <w:r>
        <w:rPr>
          <w:spacing w:val="40"/>
        </w:rPr>
        <w:t> </w:t>
      </w:r>
      <w:r>
        <w:rPr/>
        <w:t>of</w:t>
      </w:r>
      <w:r>
        <w:rPr>
          <w:spacing w:val="40"/>
        </w:rPr>
        <w:t> </w:t>
      </w:r>
      <w:r>
        <w:rPr/>
        <w:t>iron)</w:t>
      </w:r>
      <w:r>
        <w:rPr>
          <w:spacing w:val="40"/>
        </w:rPr>
        <w:t> </w:t>
      </w:r>
      <w:r>
        <w:rPr/>
        <w:t>with</w:t>
      </w:r>
      <w:r>
        <w:rPr>
          <w:spacing w:val="40"/>
        </w:rPr>
        <w:t> </w:t>
      </w:r>
      <w:r>
        <w:rPr/>
        <w:t>molecular</w:t>
      </w:r>
      <w:r>
        <w:rPr>
          <w:spacing w:val="40"/>
        </w:rPr>
        <w:t> </w:t>
      </w:r>
      <w:r>
        <w:rPr/>
        <w:t>mass</w:t>
      </w:r>
      <w:r>
        <w:rPr>
          <w:spacing w:val="40"/>
        </w:rPr>
        <w:t> </w:t>
      </w:r>
      <w:r>
        <w:rPr/>
        <w:t>of</w:t>
      </w:r>
      <w:r>
        <w:rPr>
          <w:spacing w:val="40"/>
        </w:rPr>
        <w:t> </w:t>
      </w:r>
      <w:r>
        <w:rPr/>
        <w:t>440</w:t>
      </w:r>
      <w:r>
        <w:rPr>
          <w:spacing w:val="40"/>
        </w:rPr>
        <w:t> </w:t>
      </w:r>
      <w:r>
        <w:rPr/>
        <w:t>–500KDA.</w:t>
      </w:r>
      <w:r>
        <w:rPr>
          <w:spacing w:val="40"/>
        </w:rPr>
        <w:t> </w:t>
      </w:r>
      <w:r>
        <w:rPr/>
        <w:t>The</w:t>
      </w:r>
      <w:r>
        <w:rPr>
          <w:spacing w:val="40"/>
        </w:rPr>
        <w:t> </w:t>
      </w:r>
      <w:r>
        <w:rPr/>
        <w:t>shell encloses a core of ferric hydroxyl phosphate, which can hold up to 3000 - 4500 ferric atoms. In</w:t>
      </w:r>
      <w:r>
        <w:rPr>
          <w:spacing w:val="21"/>
        </w:rPr>
        <w:t> </w:t>
      </w:r>
      <w:r>
        <w:rPr/>
        <w:t>normal</w:t>
      </w:r>
      <w:r>
        <w:rPr>
          <w:spacing w:val="22"/>
        </w:rPr>
        <w:t> </w:t>
      </w:r>
      <w:r>
        <w:rPr/>
        <w:t>subjects,</w:t>
      </w:r>
      <w:r>
        <w:rPr>
          <w:spacing w:val="22"/>
        </w:rPr>
        <w:t> </w:t>
      </w:r>
      <w:r>
        <w:rPr/>
        <w:t>the</w:t>
      </w:r>
      <w:r>
        <w:rPr>
          <w:spacing w:val="23"/>
        </w:rPr>
        <w:t> </w:t>
      </w:r>
      <w:r>
        <w:rPr/>
        <w:t>major</w:t>
      </w:r>
      <w:r>
        <w:rPr>
          <w:spacing w:val="21"/>
        </w:rPr>
        <w:t> </w:t>
      </w:r>
      <w:r>
        <w:rPr/>
        <w:t>function</w:t>
      </w:r>
      <w:r>
        <w:rPr>
          <w:spacing w:val="21"/>
        </w:rPr>
        <w:t> </w:t>
      </w:r>
      <w:r>
        <w:rPr/>
        <w:t>of</w:t>
      </w:r>
      <w:r>
        <w:rPr>
          <w:spacing w:val="21"/>
        </w:rPr>
        <w:t> </w:t>
      </w:r>
      <w:r>
        <w:rPr/>
        <w:t>ferritin</w:t>
      </w:r>
      <w:r>
        <w:rPr>
          <w:spacing w:val="22"/>
        </w:rPr>
        <w:t> </w:t>
      </w:r>
      <w:r>
        <w:rPr/>
        <w:t>is</w:t>
      </w:r>
      <w:r>
        <w:rPr>
          <w:spacing w:val="22"/>
        </w:rPr>
        <w:t> </w:t>
      </w:r>
      <w:r>
        <w:rPr/>
        <w:t>closely that</w:t>
      </w:r>
      <w:r>
        <w:rPr>
          <w:spacing w:val="21"/>
        </w:rPr>
        <w:t> </w:t>
      </w:r>
      <w:r>
        <w:rPr/>
        <w:t>of</w:t>
      </w:r>
      <w:r>
        <w:rPr>
          <w:spacing w:val="21"/>
        </w:rPr>
        <w:t> </w:t>
      </w:r>
      <w:r>
        <w:rPr/>
        <w:t>providing</w:t>
      </w:r>
      <w:r>
        <w:rPr>
          <w:spacing w:val="28"/>
        </w:rPr>
        <w:t> </w:t>
      </w:r>
      <w:r>
        <w:rPr/>
        <w:t>the</w:t>
      </w:r>
      <w:r>
        <w:rPr>
          <w:spacing w:val="21"/>
        </w:rPr>
        <w:t> </w:t>
      </w:r>
      <w:r>
        <w:rPr/>
        <w:t>store</w:t>
      </w:r>
      <w:r>
        <w:rPr>
          <w:spacing w:val="20"/>
        </w:rPr>
        <w:t> </w:t>
      </w:r>
      <w:r>
        <w:rPr/>
        <w:t>iron, which may be used for haem synthesis (Mark, 2002).Normally very small amount of ferritin (largely</w:t>
      </w:r>
      <w:r>
        <w:rPr>
          <w:spacing w:val="22"/>
        </w:rPr>
        <w:t> </w:t>
      </w:r>
      <w:r>
        <w:rPr/>
        <w:t>derived</w:t>
      </w:r>
      <w:r>
        <w:rPr>
          <w:spacing w:val="26"/>
        </w:rPr>
        <w:t> </w:t>
      </w:r>
      <w:r>
        <w:rPr/>
        <w:t>from</w:t>
      </w:r>
      <w:r>
        <w:rPr>
          <w:spacing w:val="27"/>
        </w:rPr>
        <w:t> </w:t>
      </w:r>
      <w:r>
        <w:rPr/>
        <w:t>the</w:t>
      </w:r>
      <w:r>
        <w:rPr>
          <w:spacing w:val="26"/>
        </w:rPr>
        <w:t> </w:t>
      </w:r>
      <w:r>
        <w:rPr/>
        <w:t>storage</w:t>
      </w:r>
      <w:r>
        <w:rPr>
          <w:spacing w:val="25"/>
        </w:rPr>
        <w:t> </w:t>
      </w:r>
      <w:r>
        <w:rPr/>
        <w:t>pool</w:t>
      </w:r>
      <w:r>
        <w:rPr>
          <w:spacing w:val="27"/>
        </w:rPr>
        <w:t> </w:t>
      </w:r>
      <w:r>
        <w:rPr/>
        <w:t>of</w:t>
      </w:r>
      <w:r>
        <w:rPr>
          <w:spacing w:val="25"/>
        </w:rPr>
        <w:t> </w:t>
      </w:r>
      <w:r>
        <w:rPr/>
        <w:t>body</w:t>
      </w:r>
      <w:r>
        <w:rPr>
          <w:spacing w:val="20"/>
        </w:rPr>
        <w:t> </w:t>
      </w:r>
      <w:r>
        <w:rPr/>
        <w:t>iron</w:t>
      </w:r>
      <w:r>
        <w:rPr>
          <w:spacing w:val="25"/>
        </w:rPr>
        <w:t> </w:t>
      </w:r>
      <w:r>
        <w:rPr/>
        <w:t>stores)</w:t>
      </w:r>
      <w:r>
        <w:rPr>
          <w:spacing w:val="26"/>
        </w:rPr>
        <w:t> </w:t>
      </w:r>
      <w:r>
        <w:rPr/>
        <w:t>circulates</w:t>
      </w:r>
      <w:r>
        <w:rPr>
          <w:spacing w:val="26"/>
        </w:rPr>
        <w:t> </w:t>
      </w:r>
      <w:r>
        <w:rPr/>
        <w:t>in</w:t>
      </w:r>
      <w:r>
        <w:rPr>
          <w:spacing w:val="27"/>
        </w:rPr>
        <w:t> </w:t>
      </w:r>
      <w:r>
        <w:rPr/>
        <w:t>the</w:t>
      </w:r>
      <w:r>
        <w:rPr>
          <w:spacing w:val="26"/>
        </w:rPr>
        <w:t> </w:t>
      </w:r>
      <w:r>
        <w:rPr/>
        <w:t>plasma</w:t>
      </w:r>
      <w:r>
        <w:rPr>
          <w:spacing w:val="25"/>
        </w:rPr>
        <w:t> </w:t>
      </w:r>
      <w:r>
        <w:rPr/>
        <w:t>and</w:t>
      </w:r>
      <w:r>
        <w:rPr>
          <w:spacing w:val="26"/>
        </w:rPr>
        <w:t> </w:t>
      </w:r>
      <w:r>
        <w:rPr/>
        <w:t>its level is</w:t>
      </w:r>
      <w:r>
        <w:rPr>
          <w:spacing w:val="20"/>
        </w:rPr>
        <w:t> </w:t>
      </w:r>
      <w:r>
        <w:rPr/>
        <w:t>a</w:t>
      </w:r>
      <w:r>
        <w:rPr>
          <w:spacing w:val="20"/>
        </w:rPr>
        <w:t> </w:t>
      </w:r>
      <w:r>
        <w:rPr/>
        <w:t>good indicator</w:t>
      </w:r>
      <w:r>
        <w:rPr>
          <w:spacing w:val="20"/>
        </w:rPr>
        <w:t> </w:t>
      </w:r>
      <w:r>
        <w:rPr/>
        <w:t>of the</w:t>
      </w:r>
      <w:r>
        <w:rPr>
          <w:spacing w:val="21"/>
        </w:rPr>
        <w:t> </w:t>
      </w:r>
      <w:r>
        <w:rPr/>
        <w:t>adequacy of body iron</w:t>
      </w:r>
      <w:r>
        <w:rPr>
          <w:spacing w:val="21"/>
        </w:rPr>
        <w:t> </w:t>
      </w:r>
      <w:r>
        <w:rPr/>
        <w:t>store.</w:t>
      </w:r>
      <w:r>
        <w:rPr>
          <w:spacing w:val="28"/>
        </w:rPr>
        <w:t> </w:t>
      </w:r>
      <w:r>
        <w:rPr/>
        <w:t>Serum</w:t>
      </w:r>
      <w:r>
        <w:rPr>
          <w:spacing w:val="21"/>
        </w:rPr>
        <w:t> </w:t>
      </w:r>
      <w:r>
        <w:rPr/>
        <w:t>ferritin measurement</w:t>
      </w:r>
      <w:r>
        <w:rPr>
          <w:spacing w:val="21"/>
        </w:rPr>
        <w:t> </w:t>
      </w:r>
      <w:r>
        <w:rPr/>
        <w:t>is clinically</w:t>
      </w:r>
      <w:r>
        <w:rPr>
          <w:spacing w:val="40"/>
        </w:rPr>
        <w:t> </w:t>
      </w:r>
      <w:r>
        <w:rPr/>
        <w:t>significant</w:t>
      </w:r>
      <w:r>
        <w:rPr>
          <w:spacing w:val="40"/>
        </w:rPr>
        <w:t> </w:t>
      </w:r>
      <w:r>
        <w:rPr/>
        <w:t>in</w:t>
      </w:r>
      <w:r>
        <w:rPr>
          <w:spacing w:val="40"/>
        </w:rPr>
        <w:t> </w:t>
      </w:r>
      <w:r>
        <w:rPr/>
        <w:t>detection</w:t>
      </w:r>
      <w:r>
        <w:rPr>
          <w:spacing w:val="40"/>
        </w:rPr>
        <w:t> </w:t>
      </w:r>
      <w:r>
        <w:rPr/>
        <w:t>of</w:t>
      </w:r>
      <w:r>
        <w:rPr>
          <w:spacing w:val="40"/>
        </w:rPr>
        <w:t> </w:t>
      </w:r>
      <w:r>
        <w:rPr/>
        <w:t>iron</w:t>
      </w:r>
      <w:r>
        <w:rPr>
          <w:spacing w:val="40"/>
        </w:rPr>
        <w:t> </w:t>
      </w:r>
      <w:r>
        <w:rPr/>
        <w:t>overload</w:t>
      </w:r>
      <w:r>
        <w:rPr>
          <w:spacing w:val="40"/>
        </w:rPr>
        <w:t> </w:t>
      </w:r>
      <w:r>
        <w:rPr/>
        <w:t>(very</w:t>
      </w:r>
      <w:r>
        <w:rPr>
          <w:spacing w:val="40"/>
        </w:rPr>
        <w:t> </w:t>
      </w:r>
      <w:r>
        <w:rPr/>
        <w:t>high</w:t>
      </w:r>
      <w:r>
        <w:rPr>
          <w:spacing w:val="40"/>
        </w:rPr>
        <w:t> </w:t>
      </w:r>
      <w:r>
        <w:rPr/>
        <w:t>values</w:t>
      </w:r>
      <w:r>
        <w:rPr>
          <w:spacing w:val="40"/>
        </w:rPr>
        <w:t> </w:t>
      </w:r>
      <w:r>
        <w:rPr/>
        <w:t>approaching</w:t>
      </w:r>
      <w:r>
        <w:rPr>
          <w:spacing w:val="40"/>
        </w:rPr>
        <w:t> </w:t>
      </w:r>
      <w:r>
        <w:rPr/>
        <w:t>5,000</w:t>
      </w:r>
      <w:r>
        <w:rPr>
          <w:spacing w:val="40"/>
        </w:rPr>
        <w:t> </w:t>
      </w:r>
      <w:r>
        <w:rPr/>
        <w:t>microgram</w:t>
      </w:r>
      <w:r>
        <w:rPr>
          <w:spacing w:val="21"/>
        </w:rPr>
        <w:t> </w:t>
      </w:r>
      <w:r>
        <w:rPr/>
        <w:t>per litre) and</w:t>
      </w:r>
      <w:r>
        <w:rPr>
          <w:spacing w:val="22"/>
        </w:rPr>
        <w:t> </w:t>
      </w:r>
      <w:r>
        <w:rPr/>
        <w:t>in</w:t>
      </w:r>
      <w:r>
        <w:rPr>
          <w:spacing w:val="21"/>
        </w:rPr>
        <w:t> </w:t>
      </w:r>
      <w:r>
        <w:rPr/>
        <w:t>the monitoring</w:t>
      </w:r>
      <w:r>
        <w:rPr>
          <w:spacing w:val="21"/>
        </w:rPr>
        <w:t> </w:t>
      </w:r>
      <w:r>
        <w:rPr/>
        <w:t>of iron status</w:t>
      </w:r>
      <w:r>
        <w:rPr>
          <w:spacing w:val="21"/>
        </w:rPr>
        <w:t> </w:t>
      </w:r>
      <w:r>
        <w:rPr/>
        <w:t>of pregnant</w:t>
      </w:r>
      <w:r>
        <w:rPr>
          <w:spacing w:val="21"/>
        </w:rPr>
        <w:t> </w:t>
      </w:r>
      <w:r>
        <w:rPr/>
        <w:t>women, blood</w:t>
      </w:r>
      <w:r>
        <w:rPr>
          <w:spacing w:val="21"/>
        </w:rPr>
        <w:t> </w:t>
      </w:r>
      <w:r>
        <w:rPr/>
        <w:t>donors and in renal dialysis.</w:t>
      </w:r>
      <w:r>
        <w:rPr>
          <w:spacing w:val="20"/>
        </w:rPr>
        <w:t> </w:t>
      </w:r>
      <w:r>
        <w:rPr/>
        <w:t>It may be used to evaluate some clinical conditions not related to iron</w:t>
      </w:r>
      <w:r>
        <w:rPr>
          <w:spacing w:val="80"/>
        </w:rPr>
        <w:t> </w:t>
      </w:r>
      <w:r>
        <w:rPr/>
        <w:t>storage</w:t>
      </w:r>
      <w:r>
        <w:rPr>
          <w:spacing w:val="31"/>
        </w:rPr>
        <w:t> </w:t>
      </w:r>
      <w:r>
        <w:rPr/>
        <w:t>such</w:t>
      </w:r>
      <w:r>
        <w:rPr>
          <w:spacing w:val="31"/>
        </w:rPr>
        <w:t> </w:t>
      </w:r>
      <w:r>
        <w:rPr/>
        <w:t>as</w:t>
      </w:r>
      <w:r>
        <w:rPr>
          <w:spacing w:val="32"/>
        </w:rPr>
        <w:t> </w:t>
      </w:r>
      <w:r>
        <w:rPr/>
        <w:t>leukemia,</w:t>
      </w:r>
      <w:r>
        <w:rPr>
          <w:spacing w:val="32"/>
        </w:rPr>
        <w:t> </w:t>
      </w:r>
      <w:r>
        <w:rPr/>
        <w:t>acute</w:t>
      </w:r>
      <w:r>
        <w:rPr>
          <w:spacing w:val="31"/>
        </w:rPr>
        <w:t> </w:t>
      </w:r>
      <w:r>
        <w:rPr/>
        <w:t>or</w:t>
      </w:r>
      <w:r>
        <w:rPr>
          <w:spacing w:val="31"/>
        </w:rPr>
        <w:t> </w:t>
      </w:r>
      <w:r>
        <w:rPr/>
        <w:t>chronic</w:t>
      </w:r>
      <w:r>
        <w:rPr>
          <w:spacing w:val="31"/>
        </w:rPr>
        <w:t> </w:t>
      </w:r>
      <w:r>
        <w:rPr/>
        <w:t>infection,</w:t>
      </w:r>
      <w:r>
        <w:rPr>
          <w:spacing w:val="32"/>
        </w:rPr>
        <w:t> </w:t>
      </w:r>
      <w:r>
        <w:rPr/>
        <w:t>inflammation</w:t>
      </w:r>
      <w:r>
        <w:rPr>
          <w:spacing w:val="32"/>
        </w:rPr>
        <w:t> </w:t>
      </w:r>
      <w:r>
        <w:rPr/>
        <w:t>and</w:t>
      </w:r>
      <w:r>
        <w:rPr>
          <w:spacing w:val="29"/>
        </w:rPr>
        <w:t> </w:t>
      </w:r>
      <w:r>
        <w:rPr/>
        <w:t>Hodgkin‟s</w:t>
      </w:r>
      <w:r>
        <w:rPr>
          <w:spacing w:val="32"/>
        </w:rPr>
        <w:t> </w:t>
      </w:r>
      <w:r>
        <w:rPr/>
        <w:t>disease (Rogers, 1996).</w:t>
      </w:r>
    </w:p>
    <w:p>
      <w:pPr>
        <w:pStyle w:val="BodyText"/>
        <w:spacing w:before="8"/>
      </w:pPr>
    </w:p>
    <w:p>
      <w:pPr>
        <w:pStyle w:val="Heading3"/>
        <w:numPr>
          <w:ilvl w:val="1"/>
          <w:numId w:val="7"/>
        </w:numPr>
        <w:tabs>
          <w:tab w:pos="1280" w:val="left" w:leader="none"/>
        </w:tabs>
        <w:spacing w:line="240" w:lineRule="auto" w:before="0" w:after="0"/>
        <w:ind w:left="1280" w:right="0" w:hanging="720"/>
        <w:jc w:val="left"/>
      </w:pPr>
      <w:r>
        <w:rPr/>
        <w:t>SOLUBLE</w:t>
      </w:r>
      <w:r>
        <w:rPr>
          <w:spacing w:val="-3"/>
        </w:rPr>
        <w:t> </w:t>
      </w:r>
      <w:r>
        <w:rPr/>
        <w:t>TRANSFERRIN</w:t>
      </w:r>
      <w:r>
        <w:rPr>
          <w:spacing w:val="-2"/>
        </w:rPr>
        <w:t> </w:t>
      </w:r>
      <w:r>
        <w:rPr/>
        <w:t>RECEPTOR </w:t>
      </w:r>
      <w:r>
        <w:rPr>
          <w:spacing w:val="-2"/>
        </w:rPr>
        <w:t>(sTfR)</w:t>
      </w:r>
    </w:p>
    <w:p>
      <w:pPr>
        <w:pStyle w:val="BodyText"/>
        <w:spacing w:line="480" w:lineRule="auto" w:before="271"/>
        <w:ind w:left="560" w:right="796"/>
        <w:jc w:val="both"/>
      </w:pPr>
      <w:r>
        <w:rPr/>
        <w:t>Transferrin is the iron transport protein, providing iron to cells through its interactionwith the specific memberane receptor (TfR) (Beguin, 2003). It is a disulphide-linked, transmembrane glycoprotein with two identical polypeptide</w:t>
      </w:r>
      <w:r>
        <w:rPr>
          <w:spacing w:val="-1"/>
        </w:rPr>
        <w:t> </w:t>
      </w:r>
      <w:r>
        <w:rPr/>
        <w:t>chains, each weighing 95,000 Daltons. TfR plays an</w:t>
      </w:r>
      <w:r>
        <w:rPr>
          <w:spacing w:val="30"/>
        </w:rPr>
        <w:t> </w:t>
      </w:r>
      <w:r>
        <w:rPr/>
        <w:t>important</w:t>
      </w:r>
      <w:r>
        <w:rPr>
          <w:spacing w:val="31"/>
        </w:rPr>
        <w:t> </w:t>
      </w:r>
      <w:r>
        <w:rPr/>
        <w:t>role</w:t>
      </w:r>
      <w:r>
        <w:rPr>
          <w:spacing w:val="29"/>
        </w:rPr>
        <w:t> </w:t>
      </w:r>
      <w:r>
        <w:rPr/>
        <w:t>in</w:t>
      </w:r>
      <w:r>
        <w:rPr>
          <w:spacing w:val="31"/>
        </w:rPr>
        <w:t> </w:t>
      </w:r>
      <w:r>
        <w:rPr/>
        <w:t>the</w:t>
      </w:r>
      <w:r>
        <w:rPr>
          <w:spacing w:val="32"/>
        </w:rPr>
        <w:t> </w:t>
      </w:r>
      <w:r>
        <w:rPr/>
        <w:t>regulation</w:t>
      </w:r>
      <w:r>
        <w:rPr>
          <w:spacing w:val="31"/>
        </w:rPr>
        <w:t> </w:t>
      </w:r>
      <w:r>
        <w:rPr/>
        <w:t>of</w:t>
      </w:r>
      <w:r>
        <w:rPr>
          <w:spacing w:val="30"/>
        </w:rPr>
        <w:t> </w:t>
      </w:r>
      <w:r>
        <w:rPr/>
        <w:t>iron</w:t>
      </w:r>
      <w:r>
        <w:rPr>
          <w:spacing w:val="30"/>
        </w:rPr>
        <w:t> </w:t>
      </w:r>
      <w:r>
        <w:rPr/>
        <w:t>metabolism</w:t>
      </w:r>
      <w:r>
        <w:rPr>
          <w:spacing w:val="31"/>
        </w:rPr>
        <w:t> </w:t>
      </w:r>
      <w:r>
        <w:rPr/>
        <w:t>by</w:t>
      </w:r>
      <w:r>
        <w:rPr>
          <w:spacing w:val="26"/>
        </w:rPr>
        <w:t> </w:t>
      </w:r>
      <w:r>
        <w:rPr/>
        <w:t>mediating</w:t>
      </w:r>
      <w:r>
        <w:rPr>
          <w:spacing w:val="30"/>
        </w:rPr>
        <w:t> </w:t>
      </w:r>
      <w:r>
        <w:rPr/>
        <w:t>the</w:t>
      </w:r>
      <w:r>
        <w:rPr>
          <w:spacing w:val="32"/>
        </w:rPr>
        <w:t> </w:t>
      </w:r>
      <w:r>
        <w:rPr/>
        <w:t>cellular</w:t>
      </w:r>
      <w:r>
        <w:rPr>
          <w:spacing w:val="29"/>
        </w:rPr>
        <w:t> </w:t>
      </w:r>
      <w:r>
        <w:rPr/>
        <w:t>uptake</w:t>
      </w:r>
      <w:r>
        <w:rPr>
          <w:spacing w:val="30"/>
        </w:rPr>
        <w:t> </w:t>
      </w:r>
      <w:r>
        <w:rPr>
          <w:spacing w:val="-5"/>
        </w:rPr>
        <w:t>of</w:t>
      </w:r>
    </w:p>
    <w:p>
      <w:pPr>
        <w:spacing w:after="0" w:line="480" w:lineRule="auto"/>
        <w:jc w:val="both"/>
        <w:sectPr>
          <w:pgSz w:w="11910" w:h="16840"/>
          <w:pgMar w:header="0" w:footer="1067" w:top="1060" w:bottom="1260" w:left="880" w:right="640"/>
        </w:sectPr>
      </w:pPr>
    </w:p>
    <w:p>
      <w:pPr>
        <w:pStyle w:val="BodyText"/>
        <w:spacing w:line="480" w:lineRule="auto" w:before="110"/>
        <w:ind w:left="560" w:right="794"/>
        <w:jc w:val="both"/>
      </w:pPr>
      <w:r>
        <w:rPr/>
        <w:t>transferrin bound iron (Fe</w:t>
      </w:r>
      <w:r>
        <w:rPr>
          <w:vertAlign w:val="superscript"/>
        </w:rPr>
        <w:t>3+</w:t>
      </w:r>
      <w:r>
        <w:rPr>
          <w:vertAlign w:val="baseline"/>
        </w:rPr>
        <w:t>). An inverse relationship occurs between TfR and body iron stores such that when iron stores are low, receptor expression is enhanced to acquire more iron.</w:t>
      </w:r>
      <w:r>
        <w:rPr>
          <w:spacing w:val="40"/>
          <w:vertAlign w:val="baseline"/>
        </w:rPr>
        <w:t> </w:t>
      </w:r>
      <w:r>
        <w:rPr>
          <w:vertAlign w:val="baseline"/>
        </w:rPr>
        <w:t>However, when the body iron stores become replete, down-regulation of the receptor expression</w:t>
      </w:r>
      <w:r>
        <w:rPr>
          <w:spacing w:val="-3"/>
          <w:vertAlign w:val="baseline"/>
        </w:rPr>
        <w:t> </w:t>
      </w:r>
      <w:r>
        <w:rPr>
          <w:vertAlign w:val="baseline"/>
        </w:rPr>
        <w:t>occurs</w:t>
      </w:r>
      <w:r>
        <w:rPr>
          <w:spacing w:val="-3"/>
          <w:vertAlign w:val="baseline"/>
        </w:rPr>
        <w:t> </w:t>
      </w:r>
      <w:r>
        <w:rPr>
          <w:vertAlign w:val="baseline"/>
        </w:rPr>
        <w:t>(Chua </w:t>
      </w:r>
      <w:r>
        <w:rPr>
          <w:i/>
          <w:vertAlign w:val="baseline"/>
        </w:rPr>
        <w:t>et</w:t>
      </w:r>
      <w:r>
        <w:rPr>
          <w:i/>
          <w:spacing w:val="-2"/>
          <w:vertAlign w:val="baseline"/>
        </w:rPr>
        <w:t> </w:t>
      </w:r>
      <w:r>
        <w:rPr>
          <w:i/>
          <w:vertAlign w:val="baseline"/>
        </w:rPr>
        <w:t>al.,</w:t>
      </w:r>
      <w:r>
        <w:rPr>
          <w:vertAlign w:val="baseline"/>
        </w:rPr>
        <w:t>1995).</w:t>
      </w:r>
      <w:r>
        <w:rPr>
          <w:spacing w:val="-1"/>
          <w:vertAlign w:val="baseline"/>
        </w:rPr>
        <w:t> </w:t>
      </w:r>
      <w:r>
        <w:rPr>
          <w:vertAlign w:val="baseline"/>
        </w:rPr>
        <w:t>In</w:t>
      </w:r>
      <w:r>
        <w:rPr>
          <w:spacing w:val="-3"/>
          <w:vertAlign w:val="baseline"/>
        </w:rPr>
        <w:t> </w:t>
      </w:r>
      <w:r>
        <w:rPr>
          <w:vertAlign w:val="baseline"/>
        </w:rPr>
        <w:t>the</w:t>
      </w:r>
      <w:r>
        <w:rPr>
          <w:spacing w:val="-3"/>
          <w:vertAlign w:val="baseline"/>
        </w:rPr>
        <w:t> </w:t>
      </w:r>
      <w:r>
        <w:rPr>
          <w:vertAlign w:val="baseline"/>
        </w:rPr>
        <w:t>same</w:t>
      </w:r>
      <w:r>
        <w:rPr>
          <w:spacing w:val="-2"/>
          <w:vertAlign w:val="baseline"/>
        </w:rPr>
        <w:t> </w:t>
      </w:r>
      <w:r>
        <w:rPr>
          <w:vertAlign w:val="baseline"/>
        </w:rPr>
        <w:t>vein,</w:t>
      </w:r>
      <w:r>
        <w:rPr>
          <w:spacing w:val="-3"/>
          <w:vertAlign w:val="baseline"/>
        </w:rPr>
        <w:t> </w:t>
      </w:r>
      <w:r>
        <w:rPr>
          <w:vertAlign w:val="baseline"/>
        </w:rPr>
        <w:t>soluble</w:t>
      </w:r>
      <w:r>
        <w:rPr>
          <w:spacing w:val="-3"/>
          <w:vertAlign w:val="baseline"/>
        </w:rPr>
        <w:t> </w:t>
      </w:r>
      <w:r>
        <w:rPr>
          <w:vertAlign w:val="baseline"/>
        </w:rPr>
        <w:t>transferrin</w:t>
      </w:r>
      <w:r>
        <w:rPr>
          <w:spacing w:val="-3"/>
          <w:vertAlign w:val="baseline"/>
        </w:rPr>
        <w:t> </w:t>
      </w:r>
      <w:r>
        <w:rPr>
          <w:vertAlign w:val="baseline"/>
        </w:rPr>
        <w:t>receptor</w:t>
      </w:r>
      <w:r>
        <w:rPr>
          <w:spacing w:val="-2"/>
          <w:vertAlign w:val="baseline"/>
        </w:rPr>
        <w:t> </w:t>
      </w:r>
      <w:r>
        <w:rPr>
          <w:vertAlign w:val="baseline"/>
        </w:rPr>
        <w:t>(sTfR)</w:t>
      </w:r>
      <w:r>
        <w:rPr>
          <w:spacing w:val="-3"/>
          <w:vertAlign w:val="baseline"/>
        </w:rPr>
        <w:t> </w:t>
      </w:r>
      <w:r>
        <w:rPr>
          <w:vertAlign w:val="baseline"/>
        </w:rPr>
        <w:t>is</w:t>
      </w:r>
      <w:r>
        <w:rPr>
          <w:spacing w:val="-3"/>
          <w:vertAlign w:val="baseline"/>
        </w:rPr>
        <w:t> </w:t>
      </w:r>
      <w:r>
        <w:rPr>
          <w:vertAlign w:val="baseline"/>
        </w:rPr>
        <w:t>a truncated monomer of the transmembrane receptor (Beguin, 2003). sTfRcirculates in the plasma</w:t>
      </w:r>
      <w:r>
        <w:rPr>
          <w:spacing w:val="-1"/>
          <w:vertAlign w:val="baseline"/>
        </w:rPr>
        <w:t> </w:t>
      </w:r>
      <w:r>
        <w:rPr>
          <w:vertAlign w:val="baseline"/>
        </w:rPr>
        <w:t>at a concentration proportional</w:t>
      </w:r>
      <w:r>
        <w:rPr>
          <w:spacing w:val="-1"/>
          <w:vertAlign w:val="baseline"/>
        </w:rPr>
        <w:t> </w:t>
      </w:r>
      <w:r>
        <w:rPr>
          <w:vertAlign w:val="baseline"/>
        </w:rPr>
        <w:t>to the</w:t>
      </w:r>
      <w:r>
        <w:rPr>
          <w:spacing w:val="-1"/>
          <w:vertAlign w:val="baseline"/>
        </w:rPr>
        <w:t> </w:t>
      </w:r>
      <w:r>
        <w:rPr>
          <w:vertAlign w:val="baseline"/>
        </w:rPr>
        <w:t>total body</w:t>
      </w:r>
      <w:r>
        <w:rPr>
          <w:spacing w:val="-4"/>
          <w:vertAlign w:val="baseline"/>
        </w:rPr>
        <w:t> </w:t>
      </w:r>
      <w:r>
        <w:rPr>
          <w:vertAlign w:val="baseline"/>
        </w:rPr>
        <w:t>mass of</w:t>
      </w:r>
      <w:r>
        <w:rPr>
          <w:spacing w:val="-1"/>
          <w:vertAlign w:val="baseline"/>
        </w:rPr>
        <w:t> </w:t>
      </w:r>
      <w:r>
        <w:rPr>
          <w:vertAlign w:val="baseline"/>
        </w:rPr>
        <w:t>TfR (Beguin </w:t>
      </w:r>
      <w:r>
        <w:rPr>
          <w:i/>
          <w:vertAlign w:val="baseline"/>
        </w:rPr>
        <w:t>et al, </w:t>
      </w:r>
      <w:r>
        <w:rPr>
          <w:vertAlign w:val="baseline"/>
        </w:rPr>
        <w:t>1988).It is reported that increased concentration of sTfR reflects an impaired supply of iron to the bone marrow however in absence of iron deficiency (ID), its concentration reflects erythroid activity(Pippard and Hoffbrand,2001). Several researchers have reported thatsTfR is not influenced by chronic or acute inflammation; the assay has been reported to be normal in the majority of patients with inflammation (Skikne </w:t>
      </w:r>
      <w:r>
        <w:rPr>
          <w:i/>
          <w:vertAlign w:val="baseline"/>
        </w:rPr>
        <w:t>et al.</w:t>
      </w:r>
      <w:r>
        <w:rPr>
          <w:vertAlign w:val="baseline"/>
        </w:rPr>
        <w:t>, 1990; Carriaga </w:t>
      </w:r>
      <w:r>
        <w:rPr>
          <w:i/>
          <w:vertAlign w:val="baseline"/>
        </w:rPr>
        <w:t>et al.</w:t>
      </w:r>
      <w:r>
        <w:rPr>
          <w:vertAlign w:val="baseline"/>
        </w:rPr>
        <w:t>,1991).It is believed that potentially increased cytokine production does not greatly affect the TfR response caused by iron depletion(Punnonen </w:t>
      </w:r>
      <w:r>
        <w:rPr>
          <w:i/>
          <w:vertAlign w:val="baseline"/>
        </w:rPr>
        <w:t>et al., </w:t>
      </w:r>
      <w:r>
        <w:rPr>
          <w:vertAlign w:val="baseline"/>
        </w:rPr>
        <w:t>2013).Therefore, it could be used to distinguish between iron deficiency anaemia (IDA) and anaemia of chronic diseases (ACD).</w:t>
      </w:r>
    </w:p>
    <w:p>
      <w:pPr>
        <w:pStyle w:val="Heading2"/>
        <w:numPr>
          <w:ilvl w:val="1"/>
          <w:numId w:val="7"/>
        </w:numPr>
        <w:tabs>
          <w:tab w:pos="1280" w:val="left" w:leader="none"/>
        </w:tabs>
        <w:spacing w:line="240" w:lineRule="auto" w:before="237" w:after="0"/>
        <w:ind w:left="1280" w:right="0" w:hanging="720"/>
        <w:jc w:val="left"/>
      </w:pPr>
      <w:r>
        <w:rPr/>
        <w:t>REGULATION</w:t>
      </w:r>
      <w:r>
        <w:rPr>
          <w:spacing w:val="-1"/>
        </w:rPr>
        <w:t> </w:t>
      </w:r>
      <w:r>
        <w:rPr/>
        <w:t>OF CELLULAR</w:t>
      </w:r>
      <w:r>
        <w:rPr>
          <w:spacing w:val="-2"/>
        </w:rPr>
        <w:t> </w:t>
      </w:r>
      <w:r>
        <w:rPr/>
        <w:t>IRON </w:t>
      </w:r>
      <w:r>
        <w:rPr>
          <w:spacing w:val="-2"/>
        </w:rPr>
        <w:t>TRANSPORT</w:t>
      </w:r>
    </w:p>
    <w:p>
      <w:pPr>
        <w:pStyle w:val="BodyText"/>
        <w:spacing w:line="480" w:lineRule="auto" w:before="272"/>
        <w:ind w:left="560" w:right="797"/>
        <w:jc w:val="both"/>
      </w:pPr>
      <w:r>
        <w:rPr/>
        <w:t>Regulation of iron level in the body is important in order to provide the amount of iron required by the cells to carry out metabolic activities and to prevent excessive accumulation of iron or its toxicity to the cells. Due to the fact that there is no effectively regulated mechanism of iron excretion, iron homeostasis (maintaining normal iron level) is tied to recycling of regulated processes involving intestinal absorption, cellular transport and</w:t>
      </w:r>
      <w:r>
        <w:rPr>
          <w:spacing w:val="40"/>
        </w:rPr>
        <w:t> </w:t>
      </w:r>
      <w:r>
        <w:rPr/>
        <w:t>storage. The regulatory mechanisms are influenced by iron stores, hypoxia and rate of erythropoiesis (Hoffbrand and Moss, 2011).</w:t>
      </w:r>
    </w:p>
    <w:p>
      <w:pPr>
        <w:pStyle w:val="BodyText"/>
        <w:spacing w:line="480" w:lineRule="auto" w:before="274"/>
        <w:ind w:left="560" w:right="805"/>
        <w:jc w:val="both"/>
      </w:pPr>
      <w:r>
        <w:rPr/>
        <w:t>Two models have been proposed to explain the regulatory mechanism of iron absorption. These are the crypt programming model; (mucosal intelligence) and the hepcidin programming model (Siah </w:t>
      </w:r>
      <w:r>
        <w:rPr>
          <w:i/>
        </w:rPr>
        <w:t>et </w:t>
      </w:r>
      <w:r>
        <w:rPr/>
        <w:t>al., 2006).</w:t>
      </w:r>
    </w:p>
    <w:p>
      <w:pPr>
        <w:spacing w:after="0" w:line="480" w:lineRule="auto"/>
        <w:jc w:val="both"/>
        <w:sectPr>
          <w:pgSz w:w="11910" w:h="16840"/>
          <w:pgMar w:header="0" w:footer="1067" w:top="1020" w:bottom="1260" w:left="880" w:right="640"/>
        </w:sectPr>
      </w:pPr>
    </w:p>
    <w:p>
      <w:pPr>
        <w:pStyle w:val="BodyText"/>
        <w:spacing w:line="480" w:lineRule="auto" w:before="66"/>
        <w:ind w:left="560" w:right="796"/>
        <w:jc w:val="both"/>
      </w:pPr>
      <w:r>
        <w:rPr/>
        <w:t>The crypt programming model borders on the sensing of iron by the receptors on the crypt cells. The crypts are located on the intestine villi. The model proposes that the crypt cells senses body iron levels which in turn regulates the amount of absorption of dietary iron by mature villus enterocytes. The absorbed iron is transported across the basolateral membrane by divalent metal transporter I (DMT1) (Siah </w:t>
      </w:r>
      <w:r>
        <w:rPr>
          <w:i/>
        </w:rPr>
        <w:t>et al</w:t>
      </w:r>
      <w:r>
        <w:rPr/>
        <w:t>., 2006).</w:t>
      </w:r>
    </w:p>
    <w:p>
      <w:pPr>
        <w:pStyle w:val="BodyText"/>
        <w:spacing w:before="1"/>
      </w:pPr>
    </w:p>
    <w:p>
      <w:pPr>
        <w:pStyle w:val="BodyText"/>
        <w:spacing w:line="480" w:lineRule="auto"/>
        <w:ind w:left="560" w:right="801"/>
        <w:jc w:val="both"/>
      </w:pPr>
      <w:r>
        <w:rPr/>
        <w:t>The second model, the hepcidin model proposes hepatic synthesis of hepcidin in response to infection/ inflammation, hypoxia and iron replete states. Hepcidin interacts with the villus enterocyte to regulate the rate of iron absorption. It also regulates the retention and release of iron by enterocytes (Siah </w:t>
      </w:r>
      <w:r>
        <w:rPr>
          <w:i/>
        </w:rPr>
        <w:t>et al., </w:t>
      </w:r>
      <w:r>
        <w:rPr/>
        <w:t>2006).</w:t>
      </w:r>
    </w:p>
    <w:p>
      <w:pPr>
        <w:pStyle w:val="BodyText"/>
      </w:pPr>
    </w:p>
    <w:p>
      <w:pPr>
        <w:pStyle w:val="BodyText"/>
        <w:spacing w:line="480" w:lineRule="auto" w:before="1"/>
        <w:ind w:left="560" w:right="797"/>
        <w:jc w:val="both"/>
      </w:pPr>
      <w:r>
        <w:rPr/>
        <w:t>At the cellular level, the intracellular iron concentration regulates the interaction of cytosolic iron regulatory proteins (IRP) 1 and 2 with iron regulatory (responsive) element (IRE). The mechanism is that in iron replete state, IRP1 contains iron- sulphur (4Fe- 4S) which does not allow IRP1 to bind to IRE. On the contrast, in iron deficiency or absence of iron stores, the amount of 4Fe- 4S is relatively</w:t>
      </w:r>
      <w:r>
        <w:rPr>
          <w:spacing w:val="-3"/>
        </w:rPr>
        <w:t> </w:t>
      </w:r>
      <w:r>
        <w:rPr/>
        <w:t>low, allowing effective binding of IRP1 with IRE. The site of IRP1 binding with IREs is either at the 5‟ (upstream unsaturated region) or 3‟ (downstream unsaturated region) on the mRNA. Binding at 5‟upstream unsaturated region increases the translation of ferritin mRNA and δ-aminolevulinic acid synthase (ALA-S) but inhibits the translation of TfR1mRNA. On the other hand, binding at 3‟ downstream unsaturated region increases the translation of TfR1mRNA but inhibits the synthesis of ferritin mRNA and</w:t>
      </w:r>
      <w:r>
        <w:rPr>
          <w:spacing w:val="40"/>
        </w:rPr>
        <w:t> </w:t>
      </w:r>
      <w:r>
        <w:rPr/>
        <w:t>ALA-S. The TfR1mRNA increases iron uptake while ferritin mRNA increases store iron (Pippard and Hoffbrand, 2001; Bentler, 2004; Siah </w:t>
      </w:r>
      <w:r>
        <w:rPr>
          <w:i/>
        </w:rPr>
        <w:t>et al., </w:t>
      </w:r>
      <w:r>
        <w:rPr/>
        <w:t>2006; Hoffbrand and Moss, 2011).</w:t>
      </w:r>
    </w:p>
    <w:p>
      <w:pPr>
        <w:pStyle w:val="BodyText"/>
        <w:spacing w:before="1"/>
      </w:pPr>
    </w:p>
    <w:p>
      <w:pPr>
        <w:pStyle w:val="BodyText"/>
        <w:spacing w:line="480" w:lineRule="auto"/>
        <w:ind w:left="560" w:right="793"/>
        <w:jc w:val="both"/>
      </w:pPr>
      <w:r>
        <w:rPr/>
        <w:t>At the storage compartment, hepcidin the major iron regulating hormone binds to its putative receptor</w:t>
      </w:r>
      <w:r>
        <w:rPr>
          <w:spacing w:val="21"/>
        </w:rPr>
        <w:t> </w:t>
      </w:r>
      <w:r>
        <w:rPr/>
        <w:t>ferropotin.</w:t>
      </w:r>
      <w:r>
        <w:rPr>
          <w:spacing w:val="25"/>
        </w:rPr>
        <w:t> </w:t>
      </w:r>
      <w:r>
        <w:rPr/>
        <w:t>Such</w:t>
      </w:r>
      <w:r>
        <w:rPr>
          <w:spacing w:val="25"/>
        </w:rPr>
        <w:t> </w:t>
      </w:r>
      <w:r>
        <w:rPr/>
        <w:t>binding</w:t>
      </w:r>
      <w:r>
        <w:rPr>
          <w:spacing w:val="25"/>
        </w:rPr>
        <w:t> </w:t>
      </w:r>
      <w:r>
        <w:rPr/>
        <w:t>increases</w:t>
      </w:r>
      <w:r>
        <w:rPr>
          <w:spacing w:val="25"/>
        </w:rPr>
        <w:t> </w:t>
      </w:r>
      <w:r>
        <w:rPr/>
        <w:t>the</w:t>
      </w:r>
      <w:r>
        <w:rPr>
          <w:spacing w:val="24"/>
        </w:rPr>
        <w:t> </w:t>
      </w:r>
      <w:r>
        <w:rPr/>
        <w:t>retention</w:t>
      </w:r>
      <w:r>
        <w:rPr>
          <w:spacing w:val="25"/>
        </w:rPr>
        <w:t> </w:t>
      </w:r>
      <w:r>
        <w:rPr/>
        <w:t>and</w:t>
      </w:r>
      <w:r>
        <w:rPr>
          <w:spacing w:val="25"/>
        </w:rPr>
        <w:t> </w:t>
      </w:r>
      <w:r>
        <w:rPr/>
        <w:t>reduces</w:t>
      </w:r>
      <w:r>
        <w:rPr>
          <w:spacing w:val="25"/>
        </w:rPr>
        <w:t> </w:t>
      </w:r>
      <w:r>
        <w:rPr/>
        <w:t>the</w:t>
      </w:r>
      <w:r>
        <w:rPr>
          <w:spacing w:val="26"/>
        </w:rPr>
        <w:t> </w:t>
      </w:r>
      <w:r>
        <w:rPr/>
        <w:t>release</w:t>
      </w:r>
      <w:r>
        <w:rPr>
          <w:spacing w:val="24"/>
        </w:rPr>
        <w:t> </w:t>
      </w:r>
      <w:r>
        <w:rPr/>
        <w:t>of</w:t>
      </w:r>
      <w:r>
        <w:rPr>
          <w:spacing w:val="24"/>
        </w:rPr>
        <w:t> </w:t>
      </w:r>
      <w:r>
        <w:rPr/>
        <w:t>iron</w:t>
      </w:r>
      <w:r>
        <w:rPr>
          <w:spacing w:val="32"/>
        </w:rPr>
        <w:t> </w:t>
      </w:r>
      <w:r>
        <w:rPr>
          <w:spacing w:val="-5"/>
        </w:rPr>
        <w:t>by</w:t>
      </w:r>
    </w:p>
    <w:p>
      <w:pPr>
        <w:spacing w:after="0" w:line="480" w:lineRule="auto"/>
        <w:jc w:val="both"/>
        <w:sectPr>
          <w:pgSz w:w="11910" w:h="16840"/>
          <w:pgMar w:header="0" w:footer="1067" w:top="1340" w:bottom="1260" w:left="880" w:right="640"/>
        </w:sectPr>
      </w:pPr>
    </w:p>
    <w:p>
      <w:pPr>
        <w:pStyle w:val="BodyText"/>
        <w:spacing w:line="480" w:lineRule="auto" w:before="70"/>
        <w:ind w:left="560" w:right="793"/>
        <w:jc w:val="both"/>
      </w:pPr>
      <w:r>
        <w:rPr/>
        <w:t>macrophages. The contrast is the case in anaemia and hypoxia (Ganz, 2003; Neimeth </w:t>
      </w:r>
      <w:r>
        <w:rPr>
          <w:i/>
        </w:rPr>
        <w:t>et al</w:t>
      </w:r>
      <w:r>
        <w:rPr/>
        <w:t>., </w:t>
      </w:r>
      <w:r>
        <w:rPr>
          <w:spacing w:val="-2"/>
        </w:rPr>
        <w:t>2003).</w:t>
      </w:r>
    </w:p>
    <w:p>
      <w:pPr>
        <w:pStyle w:val="Heading2"/>
        <w:numPr>
          <w:ilvl w:val="1"/>
          <w:numId w:val="7"/>
        </w:numPr>
        <w:tabs>
          <w:tab w:pos="1280" w:val="left" w:leader="none"/>
        </w:tabs>
        <w:spacing w:line="240" w:lineRule="auto" w:before="236" w:after="0"/>
        <w:ind w:left="1280" w:right="0" w:hanging="720"/>
        <w:jc w:val="left"/>
      </w:pPr>
      <w:r>
        <w:rPr/>
        <w:t>PATHOPHYSIOLOGY</w:t>
      </w:r>
      <w:r>
        <w:rPr>
          <w:spacing w:val="-3"/>
        </w:rPr>
        <w:t> </w:t>
      </w:r>
      <w:r>
        <w:rPr/>
        <w:t>OF</w:t>
      </w:r>
      <w:r>
        <w:rPr>
          <w:spacing w:val="-1"/>
        </w:rPr>
        <w:t> </w:t>
      </w:r>
      <w:r>
        <w:rPr/>
        <w:t>IRON</w:t>
      </w:r>
      <w:r>
        <w:rPr>
          <w:spacing w:val="-2"/>
        </w:rPr>
        <w:t> </w:t>
      </w:r>
      <w:r>
        <w:rPr/>
        <w:t>DEFICIENCY</w:t>
      </w:r>
      <w:r>
        <w:rPr>
          <w:spacing w:val="-1"/>
        </w:rPr>
        <w:t> </w:t>
      </w:r>
      <w:r>
        <w:rPr>
          <w:spacing w:val="-2"/>
        </w:rPr>
        <w:t>ANAEMIA</w:t>
      </w:r>
    </w:p>
    <w:p>
      <w:pPr>
        <w:pStyle w:val="BodyText"/>
        <w:spacing w:line="480" w:lineRule="auto" w:before="271"/>
        <w:ind w:left="560" w:right="794"/>
        <w:jc w:val="both"/>
      </w:pPr>
      <w:r>
        <w:rPr/>
        <w:t>The disorders of iron metabolism manifest in form of iron deficiency and iron overload (Virgil </w:t>
      </w:r>
      <w:r>
        <w:rPr>
          <w:i/>
        </w:rPr>
        <w:t>et al.,</w:t>
      </w:r>
      <w:r>
        <w:rPr/>
        <w:t>1990). Iron deficiency is when the body‟s iron store isdepleted and with restricted supply of iron to various tissues. This may occur in three stages. The first stage refers to decreased iron in the stores without any effect on the functional activity of the organs. Although this stage may be characterized by low serum ferritin levels however, it</w:t>
      </w:r>
      <w:r>
        <w:rPr>
          <w:spacing w:val="40"/>
        </w:rPr>
        <w:t> </w:t>
      </w:r>
      <w:r>
        <w:rPr/>
        <w:t>may be difficult to detect as traditional laboratory parameters may not have changed significantly and marked overlap in values may exist between normal and iron deficient subjects. Further depletion of iron at this stage may lead to the second stage known as iron deficient erythropoiesis.Iron deficient erythropoiesis occurs when iron depletionresults in functional deficiencies of some organs (Expert Scientific Working Group, 1985). The clear consequence of iron depletion at this stageis a reduction in oxygen transport and reduction in oxidative activity. Serum (soluble) transferrin receptor (sTfR) assay is the most sensitive index to detect early stage of iron deficiency (Baynes </w:t>
      </w:r>
      <w:r>
        <w:rPr>
          <w:i/>
        </w:rPr>
        <w:t>et al.,</w:t>
      </w:r>
      <w:r>
        <w:rPr/>
        <w:t>1993).</w:t>
      </w:r>
    </w:p>
    <w:p>
      <w:pPr>
        <w:pStyle w:val="BodyText"/>
        <w:spacing w:before="1"/>
      </w:pPr>
    </w:p>
    <w:p>
      <w:pPr>
        <w:pStyle w:val="BodyText"/>
        <w:spacing w:line="480" w:lineRule="auto" w:before="1"/>
        <w:ind w:left="560" w:right="797"/>
        <w:jc w:val="both"/>
      </w:pPr>
      <w:r>
        <w:rPr/>
        <w:t>The last but severe end of iron depletion is iron deficiency anaemia. Iron deficiency anaemia is identified using the red cell profile.It is reported thatall the iron status indicators are abnormal in iron deficiency anaemia (Lynch, 2012).</w:t>
      </w:r>
    </w:p>
    <w:p>
      <w:pPr>
        <w:pStyle w:val="Heading2"/>
        <w:numPr>
          <w:ilvl w:val="2"/>
          <w:numId w:val="7"/>
        </w:numPr>
        <w:tabs>
          <w:tab w:pos="1280" w:val="left" w:leader="none"/>
        </w:tabs>
        <w:spacing w:line="240" w:lineRule="auto" w:before="233" w:after="0"/>
        <w:ind w:left="1280" w:right="0" w:hanging="720"/>
        <w:jc w:val="left"/>
      </w:pPr>
      <w:r>
        <w:rPr/>
        <w:t>IRON</w:t>
      </w:r>
      <w:r>
        <w:rPr>
          <w:spacing w:val="-1"/>
        </w:rPr>
        <w:t> </w:t>
      </w:r>
      <w:r>
        <w:rPr/>
        <w:t>REQUIREMENT IN </w:t>
      </w:r>
      <w:r>
        <w:rPr>
          <w:spacing w:val="-2"/>
        </w:rPr>
        <w:t>PREGNANCY</w:t>
      </w:r>
    </w:p>
    <w:p>
      <w:pPr>
        <w:pStyle w:val="BodyText"/>
        <w:spacing w:line="480" w:lineRule="auto" w:before="271"/>
        <w:ind w:left="560" w:right="795"/>
        <w:jc w:val="both"/>
      </w:pPr>
      <w:r>
        <w:rPr/>
        <w:t>Approximately,1200mg - 1240mg of iron is required by the pregnant woman whilethe average need for a menstruating woman for the same period of time is about 400mg. Therefore</w:t>
      </w:r>
      <w:r>
        <w:rPr>
          <w:spacing w:val="8"/>
        </w:rPr>
        <w:t> </w:t>
      </w:r>
      <w:r>
        <w:rPr/>
        <w:t>the</w:t>
      </w:r>
      <w:r>
        <w:rPr>
          <w:spacing w:val="13"/>
        </w:rPr>
        <w:t> </w:t>
      </w:r>
      <w:r>
        <w:rPr/>
        <w:t>increased</w:t>
      </w:r>
      <w:r>
        <w:rPr>
          <w:spacing w:val="13"/>
        </w:rPr>
        <w:t> </w:t>
      </w:r>
      <w:r>
        <w:rPr/>
        <w:t>requirement</w:t>
      </w:r>
      <w:r>
        <w:rPr>
          <w:spacing w:val="12"/>
        </w:rPr>
        <w:t> </w:t>
      </w:r>
      <w:r>
        <w:rPr/>
        <w:t>is</w:t>
      </w:r>
      <w:r>
        <w:rPr>
          <w:spacing w:val="13"/>
        </w:rPr>
        <w:t> </w:t>
      </w:r>
      <w:r>
        <w:rPr/>
        <w:t>about</w:t>
      </w:r>
      <w:r>
        <w:rPr>
          <w:spacing w:val="13"/>
        </w:rPr>
        <w:t> </w:t>
      </w:r>
      <w:r>
        <w:rPr/>
        <w:t>800mg.</w:t>
      </w:r>
      <w:r>
        <w:rPr>
          <w:spacing w:val="12"/>
        </w:rPr>
        <w:t> </w:t>
      </w:r>
      <w:r>
        <w:rPr/>
        <w:t>Theneed</w:t>
      </w:r>
      <w:r>
        <w:rPr>
          <w:spacing w:val="13"/>
        </w:rPr>
        <w:t> </w:t>
      </w:r>
      <w:r>
        <w:rPr/>
        <w:t>for</w:t>
      </w:r>
      <w:r>
        <w:rPr>
          <w:spacing w:val="11"/>
        </w:rPr>
        <w:t> </w:t>
      </w:r>
      <w:r>
        <w:rPr/>
        <w:t>iron</w:t>
      </w:r>
      <w:r>
        <w:rPr>
          <w:spacing w:val="13"/>
        </w:rPr>
        <w:t> </w:t>
      </w:r>
      <w:r>
        <w:rPr/>
        <w:t>is</w:t>
      </w:r>
      <w:r>
        <w:rPr>
          <w:spacing w:val="10"/>
        </w:rPr>
        <w:t> </w:t>
      </w:r>
      <w:r>
        <w:rPr/>
        <w:t>reduced</w:t>
      </w:r>
      <w:r>
        <w:rPr>
          <w:spacing w:val="13"/>
        </w:rPr>
        <w:t> </w:t>
      </w:r>
      <w:r>
        <w:rPr/>
        <w:t>in</w:t>
      </w:r>
      <w:r>
        <w:rPr>
          <w:spacing w:val="13"/>
        </w:rPr>
        <w:t> </w:t>
      </w:r>
      <w:r>
        <w:rPr/>
        <w:t>the</w:t>
      </w:r>
      <w:r>
        <w:rPr>
          <w:spacing w:val="12"/>
        </w:rPr>
        <w:t> </w:t>
      </w:r>
      <w:r>
        <w:rPr>
          <w:spacing w:val="-2"/>
        </w:rPr>
        <w:t>first</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trimester because of the absence of menstruation, thereafter the need rises steadily</w:t>
      </w:r>
      <w:r>
        <w:rPr>
          <w:spacing w:val="-4"/>
        </w:rPr>
        <w:t> </w:t>
      </w:r>
      <w:r>
        <w:rPr/>
        <w:t>(Bothwell, </w:t>
      </w:r>
      <w:r>
        <w:rPr>
          <w:spacing w:val="-2"/>
        </w:rPr>
        <w:t>2000).</w:t>
      </w:r>
    </w:p>
    <w:p>
      <w:pPr>
        <w:pStyle w:val="BodyText"/>
      </w:pPr>
    </w:p>
    <w:p>
      <w:pPr>
        <w:pStyle w:val="BodyText"/>
        <w:spacing w:line="480" w:lineRule="auto" w:before="1"/>
        <w:ind w:left="560" w:right="793"/>
        <w:jc w:val="both"/>
      </w:pPr>
      <w:r>
        <w:rPr/>
        <w:t>The increased need for iron is due to increases in the red cell mass, iron needs of the foetus, placenta and umbilical cord. It is also required to compensate for iron lost to parasitic infections such as malaria and some helminthic infectionsand gastrointestinal blood loss (Bothwell, 2000; Dreyfuss </w:t>
      </w:r>
      <w:r>
        <w:rPr>
          <w:i/>
        </w:rPr>
        <w:t>et al.,</w:t>
      </w:r>
      <w:r>
        <w:rPr/>
        <w:t>2000).</w:t>
      </w:r>
    </w:p>
    <w:p>
      <w:pPr>
        <w:pStyle w:val="BodyText"/>
      </w:pPr>
    </w:p>
    <w:p>
      <w:pPr>
        <w:pStyle w:val="BodyText"/>
        <w:spacing w:line="480" w:lineRule="auto"/>
        <w:ind w:left="560" w:right="799"/>
        <w:jc w:val="both"/>
      </w:pPr>
      <w:r>
        <w:rPr/>
        <w:t>In developing countries however, the diets of most women do not contain sufficient amount of bioavailable iron required for pregnancy especially during the second and third trimesters (even if iron stores are adequate at the beginning of pregnancy). Therefore, maternal subjectsare prone to the risk of iron deficiency (WHO, 2001).</w:t>
      </w:r>
    </w:p>
    <w:p>
      <w:pPr>
        <w:pStyle w:val="Heading2"/>
        <w:numPr>
          <w:ilvl w:val="2"/>
          <w:numId w:val="7"/>
        </w:numPr>
        <w:tabs>
          <w:tab w:pos="1280" w:val="left" w:leader="none"/>
        </w:tabs>
        <w:spacing w:line="240" w:lineRule="auto" w:before="236" w:after="0"/>
        <w:ind w:left="1280" w:right="0" w:hanging="720"/>
        <w:jc w:val="left"/>
      </w:pPr>
      <w:r>
        <w:rPr/>
        <w:t>ASSESSMENT</w:t>
      </w:r>
      <w:r>
        <w:rPr>
          <w:spacing w:val="-2"/>
        </w:rPr>
        <w:t> </w:t>
      </w:r>
      <w:r>
        <w:rPr/>
        <w:t>OF</w:t>
      </w:r>
      <w:r>
        <w:rPr>
          <w:spacing w:val="-1"/>
        </w:rPr>
        <w:t> </w:t>
      </w:r>
      <w:r>
        <w:rPr/>
        <w:t>IRON</w:t>
      </w:r>
      <w:r>
        <w:rPr>
          <w:spacing w:val="-1"/>
        </w:rPr>
        <w:t> </w:t>
      </w:r>
      <w:r>
        <w:rPr/>
        <w:t>STATUS</w:t>
      </w:r>
      <w:r>
        <w:rPr>
          <w:spacing w:val="-1"/>
        </w:rPr>
        <w:t> </w:t>
      </w:r>
      <w:r>
        <w:rPr/>
        <w:t>AND</w:t>
      </w:r>
      <w:r>
        <w:rPr>
          <w:spacing w:val="-1"/>
        </w:rPr>
        <w:t> </w:t>
      </w:r>
      <w:r>
        <w:rPr/>
        <w:t>ANAEMIA</w:t>
      </w:r>
      <w:r>
        <w:rPr>
          <w:spacing w:val="-1"/>
        </w:rPr>
        <w:t> </w:t>
      </w:r>
      <w:r>
        <w:rPr/>
        <w:t>IN</w:t>
      </w:r>
      <w:r>
        <w:rPr>
          <w:spacing w:val="-1"/>
        </w:rPr>
        <w:t> </w:t>
      </w:r>
      <w:r>
        <w:rPr>
          <w:spacing w:val="-2"/>
        </w:rPr>
        <w:t>PREGNANCY</w:t>
      </w:r>
    </w:p>
    <w:p>
      <w:pPr>
        <w:pStyle w:val="BodyText"/>
        <w:spacing w:line="480" w:lineRule="auto" w:before="271"/>
        <w:ind w:left="560" w:right="792"/>
        <w:jc w:val="both"/>
      </w:pPr>
      <w:r>
        <w:rPr/>
        <w:t>According to the World Health Organization (WHO), anaemia in pregnancy is a state in which the total circulating haemoglobin concentration is &lt; 11g/dl (110g/L); or packed cell volume (PCV) &lt; 33% (0.33L/L) (WHO, 2001). It is classified in terms of it‟s severity as mild, moderate and severe based on the haemoglobin concentration of the blood; 10g/dl- 11g/dl, 7g/dl-9.9g/dl and &lt;7g/dl respectively (WHO 2001). Anaemia is literally and interchangeably used for iron deficiency anaemia but they are not synonymous (Scholl,</w:t>
      </w:r>
      <w:r>
        <w:rPr>
          <w:spacing w:val="40"/>
        </w:rPr>
        <w:t> </w:t>
      </w:r>
      <w:r>
        <w:rPr/>
        <w:t>2005).</w:t>
      </w:r>
      <w:r>
        <w:rPr>
          <w:spacing w:val="-1"/>
        </w:rPr>
        <w:t> </w:t>
      </w:r>
      <w:r>
        <w:rPr/>
        <w:t>Anaemia</w:t>
      </w:r>
      <w:r>
        <w:rPr>
          <w:spacing w:val="-2"/>
        </w:rPr>
        <w:t> </w:t>
      </w:r>
      <w:r>
        <w:rPr/>
        <w:t>is</w:t>
      </w:r>
      <w:r>
        <w:rPr>
          <w:spacing w:val="-1"/>
        </w:rPr>
        <w:t> </w:t>
      </w:r>
      <w:r>
        <w:rPr/>
        <w:t>as a</w:t>
      </w:r>
      <w:r>
        <w:rPr>
          <w:spacing w:val="-2"/>
        </w:rPr>
        <w:t> </w:t>
      </w:r>
      <w:r>
        <w:rPr/>
        <w:t>result</w:t>
      </w:r>
      <w:r>
        <w:rPr>
          <w:spacing w:val="-1"/>
        </w:rPr>
        <w:t> </w:t>
      </w:r>
      <w:r>
        <w:rPr/>
        <w:t>of</w:t>
      </w:r>
      <w:r>
        <w:rPr>
          <w:spacing w:val="-1"/>
        </w:rPr>
        <w:t> </w:t>
      </w:r>
      <w:r>
        <w:rPr/>
        <w:t>insufficient</w:t>
      </w:r>
      <w:r>
        <w:rPr>
          <w:spacing w:val="-2"/>
        </w:rPr>
        <w:t> </w:t>
      </w:r>
      <w:r>
        <w:rPr/>
        <w:t>iron</w:t>
      </w:r>
      <w:r>
        <w:rPr>
          <w:spacing w:val="-1"/>
        </w:rPr>
        <w:t> </w:t>
      </w:r>
      <w:r>
        <w:rPr/>
        <w:t>for</w:t>
      </w:r>
      <w:r>
        <w:rPr>
          <w:spacing w:val="-2"/>
        </w:rPr>
        <w:t> </w:t>
      </w:r>
      <w:r>
        <w:rPr/>
        <w:t>the</w:t>
      </w:r>
      <w:r>
        <w:rPr>
          <w:spacing w:val="-1"/>
        </w:rPr>
        <w:t> </w:t>
      </w:r>
      <w:r>
        <w:rPr/>
        <w:t>synthesis</w:t>
      </w:r>
      <w:r>
        <w:rPr>
          <w:spacing w:val="-1"/>
        </w:rPr>
        <w:t> </w:t>
      </w:r>
      <w:r>
        <w:rPr/>
        <w:t>of</w:t>
      </w:r>
      <w:r>
        <w:rPr>
          <w:spacing w:val="-1"/>
        </w:rPr>
        <w:t> </w:t>
      </w:r>
      <w:r>
        <w:rPr/>
        <w:t>haemoglobin</w:t>
      </w:r>
      <w:r>
        <w:rPr>
          <w:spacing w:val="-1"/>
        </w:rPr>
        <w:t> </w:t>
      </w:r>
      <w:r>
        <w:rPr/>
        <w:t>and</w:t>
      </w:r>
      <w:r>
        <w:rPr>
          <w:spacing w:val="-1"/>
        </w:rPr>
        <w:t> </w:t>
      </w:r>
      <w:r>
        <w:rPr/>
        <w:t>may</w:t>
      </w:r>
      <w:r>
        <w:rPr>
          <w:spacing w:val="-6"/>
        </w:rPr>
        <w:t> </w:t>
      </w:r>
      <w:r>
        <w:rPr/>
        <w:t>be caused by several factor notably blood loss through heavy</w:t>
      </w:r>
      <w:r>
        <w:rPr>
          <w:spacing w:val="-3"/>
        </w:rPr>
        <w:t> </w:t>
      </w:r>
      <w:r>
        <w:rPr/>
        <w:t>menstruation, gastrointestinal tract infection, malignancy, autoimmune disorders, nutritional factors (including iron deficiency) and genetic disorder such as sickle cells but iron deficiency anaemia is more specific and is caused by loss of large amount of blood or impairment in the absorption of iron in diets.</w:t>
      </w:r>
    </w:p>
    <w:p>
      <w:pPr>
        <w:pStyle w:val="BodyText"/>
        <w:spacing w:line="480" w:lineRule="auto" w:before="275"/>
        <w:ind w:left="560" w:right="794"/>
        <w:jc w:val="both"/>
      </w:pPr>
      <w:r>
        <w:rPr/>
        <w:t>Estimates from WHO indicated that anaemia in pregnancy in developing countries stood on the</w:t>
      </w:r>
      <w:r>
        <w:rPr>
          <w:spacing w:val="8"/>
        </w:rPr>
        <w:t> </w:t>
      </w:r>
      <w:r>
        <w:rPr/>
        <w:t>average</w:t>
      </w:r>
      <w:r>
        <w:rPr>
          <w:spacing w:val="12"/>
        </w:rPr>
        <w:t> </w:t>
      </w:r>
      <w:r>
        <w:rPr/>
        <w:t>of</w:t>
      </w:r>
      <w:r>
        <w:rPr>
          <w:spacing w:val="12"/>
        </w:rPr>
        <w:t> </w:t>
      </w:r>
      <w:r>
        <w:rPr/>
        <w:t>56%;</w:t>
      </w:r>
      <w:r>
        <w:rPr>
          <w:spacing w:val="12"/>
        </w:rPr>
        <w:t> </w:t>
      </w:r>
      <w:r>
        <w:rPr/>
        <w:t>with</w:t>
      </w:r>
      <w:r>
        <w:rPr>
          <w:spacing w:val="11"/>
        </w:rPr>
        <w:t> </w:t>
      </w:r>
      <w:r>
        <w:rPr/>
        <w:t>a</w:t>
      </w:r>
      <w:r>
        <w:rPr>
          <w:spacing w:val="10"/>
        </w:rPr>
        <w:t> </w:t>
      </w:r>
      <w:r>
        <w:rPr/>
        <w:t>range</w:t>
      </w:r>
      <w:r>
        <w:rPr>
          <w:spacing w:val="12"/>
        </w:rPr>
        <w:t> </w:t>
      </w:r>
      <w:r>
        <w:rPr/>
        <w:t>of</w:t>
      </w:r>
      <w:r>
        <w:rPr>
          <w:spacing w:val="11"/>
        </w:rPr>
        <w:t> </w:t>
      </w:r>
      <w:r>
        <w:rPr/>
        <w:t>35%</w:t>
      </w:r>
      <w:r>
        <w:rPr>
          <w:spacing w:val="12"/>
        </w:rPr>
        <w:t> </w:t>
      </w:r>
      <w:r>
        <w:rPr/>
        <w:t>to</w:t>
      </w:r>
      <w:r>
        <w:rPr>
          <w:spacing w:val="12"/>
        </w:rPr>
        <w:t> </w:t>
      </w:r>
      <w:r>
        <w:rPr/>
        <w:t>100%</w:t>
      </w:r>
      <w:r>
        <w:rPr>
          <w:spacing w:val="11"/>
        </w:rPr>
        <w:t> </w:t>
      </w:r>
      <w:r>
        <w:rPr/>
        <w:t>from</w:t>
      </w:r>
      <w:r>
        <w:rPr>
          <w:spacing w:val="12"/>
        </w:rPr>
        <w:t> </w:t>
      </w:r>
      <w:r>
        <w:rPr/>
        <w:t>different</w:t>
      </w:r>
      <w:r>
        <w:rPr>
          <w:spacing w:val="12"/>
        </w:rPr>
        <w:t> </w:t>
      </w:r>
      <w:r>
        <w:rPr/>
        <w:t>regions</w:t>
      </w:r>
      <w:r>
        <w:rPr>
          <w:spacing w:val="12"/>
        </w:rPr>
        <w:t> </w:t>
      </w:r>
      <w:r>
        <w:rPr/>
        <w:t>(WHO,</w:t>
      </w:r>
      <w:r>
        <w:rPr>
          <w:spacing w:val="11"/>
        </w:rPr>
        <w:t> </w:t>
      </w:r>
      <w:r>
        <w:rPr/>
        <w:t>2001).</w:t>
      </w:r>
      <w:r>
        <w:rPr>
          <w:spacing w:val="11"/>
        </w:rPr>
        <w:t> </w:t>
      </w:r>
      <w:r>
        <w:rPr>
          <w:spacing w:val="-5"/>
        </w:rPr>
        <w:t>For</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example, the prevalence of anaemia among pregnant and non-pregnant women in India was up to 88% and 74% respectively (Agrawal and Tejwani, 1999). In contrast, studies from industrialized countries show that 2-45% of women become anaemic during pregnancy (WHO, 2001). Throughout Africa, about 50% of pregnant and 40% of non-pregnant women were anaemic (WHO, 2001). West Africa is the most affected and South Africa the least affected. In Latin America and the Caribbean, anaemia in pregnant and non-pregnant women was about 40% and 30% respectively (WHO, 2001).</w:t>
      </w:r>
    </w:p>
    <w:p>
      <w:pPr>
        <w:pStyle w:val="BodyText"/>
        <w:spacing w:before="1"/>
      </w:pPr>
    </w:p>
    <w:p>
      <w:pPr>
        <w:pStyle w:val="BodyText"/>
        <w:spacing w:line="480" w:lineRule="auto"/>
        <w:ind w:left="560" w:right="793"/>
        <w:jc w:val="both"/>
      </w:pPr>
      <w:r>
        <w:rPr/>
        <w:t>Iron status can be assessed using biochemical, haematologic and histological indices.The biochemicalparameters</w:t>
      </w:r>
      <w:r>
        <w:rPr>
          <w:spacing w:val="-2"/>
        </w:rPr>
        <w:t> </w:t>
      </w:r>
      <w:r>
        <w:rPr/>
        <w:t>are</w:t>
      </w:r>
      <w:r>
        <w:rPr>
          <w:spacing w:val="-3"/>
        </w:rPr>
        <w:t> </w:t>
      </w:r>
      <w:r>
        <w:rPr/>
        <w:t>serum</w:t>
      </w:r>
      <w:r>
        <w:rPr>
          <w:spacing w:val="-3"/>
        </w:rPr>
        <w:t> </w:t>
      </w:r>
      <w:r>
        <w:rPr/>
        <w:t>iron</w:t>
      </w:r>
      <w:r>
        <w:rPr>
          <w:spacing w:val="-4"/>
        </w:rPr>
        <w:t> </w:t>
      </w:r>
      <w:r>
        <w:rPr/>
        <w:t>(SI),</w:t>
      </w:r>
      <w:r>
        <w:rPr>
          <w:spacing w:val="-1"/>
        </w:rPr>
        <w:t> </w:t>
      </w:r>
      <w:r>
        <w:rPr/>
        <w:t>total</w:t>
      </w:r>
      <w:r>
        <w:rPr>
          <w:spacing w:val="-3"/>
        </w:rPr>
        <w:t> </w:t>
      </w:r>
      <w:r>
        <w:rPr/>
        <w:t>iron</w:t>
      </w:r>
      <w:r>
        <w:rPr>
          <w:spacing w:val="-3"/>
        </w:rPr>
        <w:t> </w:t>
      </w:r>
      <w:r>
        <w:rPr/>
        <w:t>binding</w:t>
      </w:r>
      <w:r>
        <w:rPr>
          <w:spacing w:val="-3"/>
        </w:rPr>
        <w:t> </w:t>
      </w:r>
      <w:r>
        <w:rPr/>
        <w:t>capacity</w:t>
      </w:r>
      <w:r>
        <w:rPr>
          <w:spacing w:val="-6"/>
        </w:rPr>
        <w:t> </w:t>
      </w:r>
      <w:r>
        <w:rPr/>
        <w:t>(TIBC)</w:t>
      </w:r>
      <w:r>
        <w:rPr>
          <w:spacing w:val="-3"/>
        </w:rPr>
        <w:t> </w:t>
      </w:r>
      <w:r>
        <w:rPr/>
        <w:t>and</w:t>
      </w:r>
      <w:r>
        <w:rPr>
          <w:spacing w:val="-3"/>
        </w:rPr>
        <w:t> </w:t>
      </w:r>
      <w:r>
        <w:rPr/>
        <w:t>percentage transferrin saturation. Other parameters are transferrin receptor assay, Zinc protoporphyrin, serum/red blood cell ferritin and soluble transferrinreceptor-ferritin Index (sTfR–F). The haematologic parametersare red blood cell counts, haemoglobin concentration, haematocrit, mean corpuscular volume (MCV), mean corpuscular haemoglobin (MCH), mean corpuscular haemoglobin concentration (MCHC) and red blood cell distribution width (RDW) (Pippard and Hoffbrand, 2001).Recently newer red cell indices have been incorporated; these are percentage hypochromic red cells, and reticulocyte iron (CHr) (Hoffbrand and Moss, 2011). Currently, attempts are being made to evaluate the usefulness of hepcidin estimation</w:t>
      </w:r>
      <w:r>
        <w:rPr>
          <w:spacing w:val="40"/>
        </w:rPr>
        <w:t> </w:t>
      </w:r>
      <w:r>
        <w:rPr/>
        <w:t>(Pasricha </w:t>
      </w:r>
      <w:r>
        <w:rPr>
          <w:i/>
        </w:rPr>
        <w:t>et al.,</w:t>
      </w:r>
      <w:r>
        <w:rPr/>
        <w:t>2011). Virtually all the parameters have their respectivelimitations and are affected by some confounding factors,such as diurnal variation,infections and inflammation. Haemoglobin estimation is not suitable enough due to hypovolaemia and haemodilution (Milman,</w:t>
      </w:r>
      <w:r>
        <w:rPr>
          <w:spacing w:val="-2"/>
        </w:rPr>
        <w:t> </w:t>
      </w:r>
      <w:r>
        <w:rPr/>
        <w:t>2006;</w:t>
      </w:r>
      <w:r>
        <w:rPr>
          <w:spacing w:val="-2"/>
        </w:rPr>
        <w:t> </w:t>
      </w:r>
      <w:r>
        <w:rPr/>
        <w:t>Milman,</w:t>
      </w:r>
      <w:r>
        <w:rPr>
          <w:spacing w:val="-3"/>
        </w:rPr>
        <w:t> </w:t>
      </w:r>
      <w:r>
        <w:rPr/>
        <w:t>2008).Haematocrit</w:t>
      </w:r>
      <w:r>
        <w:rPr>
          <w:spacing w:val="-2"/>
        </w:rPr>
        <w:t> </w:t>
      </w:r>
      <w:r>
        <w:rPr/>
        <w:t>lacks standardization,</w:t>
      </w:r>
      <w:r>
        <w:rPr>
          <w:spacing w:val="-2"/>
        </w:rPr>
        <w:t> </w:t>
      </w:r>
      <w:r>
        <w:rPr/>
        <w:t>is</w:t>
      </w:r>
      <w:r>
        <w:rPr>
          <w:spacing w:val="-2"/>
        </w:rPr>
        <w:t> </w:t>
      </w:r>
      <w:r>
        <w:rPr/>
        <w:t>affected</w:t>
      </w:r>
      <w:r>
        <w:rPr>
          <w:spacing w:val="-2"/>
        </w:rPr>
        <w:t> </w:t>
      </w:r>
      <w:r>
        <w:rPr/>
        <w:t>by</w:t>
      </w:r>
      <w:r>
        <w:rPr>
          <w:spacing w:val="-6"/>
        </w:rPr>
        <w:t> </w:t>
      </w:r>
      <w:r>
        <w:rPr/>
        <w:t>dehydration, elevated on storage and by inflammation (Levin and Rocco, 2006). Increased erythropoiesis affects the accuracy of MCV and thus underscores its adoption as a sole index of iron status. Serum Iron (SI), TIBS and %TS are affected by infection, inflammation and circardianand diurnal rhythm in the release of iron.</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Histological assessment of bone marrow iron remains the gold standard for assessing iron stores (Northrop-Clewes, 2008) but because of the invasiveness of the procedure and large volume of sample required, alternative method is sought which is the estimation of plasma ferritin. However, ferritin is an acute phase reactant and is grossly affected by inflammation. For the assessment of iron status,no measurement of aniron parameter is ideal for all diagnostic and clinical circumstances as no single parameter monitors the entire iron compartments. Also changes may develop sequentially that may affect a particular body compartment (Pippard &amp; Hoffbrand, 2001).Therefore, a combination of parameters to measure various iron compartments are adopted. Northrop-Clewes (2008) posited the final recommendation of the WHO/CDC consultative group on assessment of iron status of a population to include estimations of Hb, serum ferritin and sTfR. Haemoglobin is a measure of</w:t>
      </w:r>
      <w:r>
        <w:rPr>
          <w:spacing w:val="-1"/>
        </w:rPr>
        <w:t> </w:t>
      </w:r>
      <w:r>
        <w:rPr/>
        <w:t>anaemiaeven though not all anaemias are</w:t>
      </w:r>
      <w:r>
        <w:rPr>
          <w:spacing w:val="-2"/>
        </w:rPr>
        <w:t> </w:t>
      </w:r>
      <w:r>
        <w:rPr/>
        <w:t>caused by</w:t>
      </w:r>
      <w:r>
        <w:rPr>
          <w:spacing w:val="-8"/>
        </w:rPr>
        <w:t> </w:t>
      </w:r>
      <w:r>
        <w:rPr/>
        <w:t>iron</w:t>
      </w:r>
      <w:r>
        <w:rPr>
          <w:spacing w:val="-1"/>
        </w:rPr>
        <w:t> </w:t>
      </w:r>
      <w:r>
        <w:rPr/>
        <w:t>deficiency</w:t>
      </w:r>
      <w:r>
        <w:rPr>
          <w:spacing w:val="-2"/>
        </w:rPr>
        <w:t> </w:t>
      </w:r>
      <w:r>
        <w:rPr/>
        <w:t>while</w:t>
      </w:r>
      <w:r>
        <w:rPr>
          <w:spacing w:val="-1"/>
        </w:rPr>
        <w:t> </w:t>
      </w:r>
      <w:r>
        <w:rPr/>
        <w:t>plasma ferritin is an important indicator of iron stores.A relationship exists between serum ferritin and storage iron, which calls for the use of serum ferritin assay as a dependable parameter in the evaluation</w:t>
      </w:r>
      <w:r>
        <w:rPr>
          <w:spacing w:val="-1"/>
        </w:rPr>
        <w:t> </w:t>
      </w:r>
      <w:r>
        <w:rPr/>
        <w:t>of</w:t>
      </w:r>
      <w:r>
        <w:rPr>
          <w:spacing w:val="-2"/>
        </w:rPr>
        <w:t> </w:t>
      </w:r>
      <w:r>
        <w:rPr/>
        <w:t>iron</w:t>
      </w:r>
      <w:r>
        <w:rPr>
          <w:spacing w:val="-2"/>
        </w:rPr>
        <w:t> </w:t>
      </w:r>
      <w:r>
        <w:rPr/>
        <w:t>status</w:t>
      </w:r>
      <w:r>
        <w:rPr>
          <w:spacing w:val="-1"/>
        </w:rPr>
        <w:t> </w:t>
      </w:r>
      <w:r>
        <w:rPr/>
        <w:t>(Mark,</w:t>
      </w:r>
      <w:r>
        <w:rPr>
          <w:spacing w:val="-2"/>
        </w:rPr>
        <w:t> </w:t>
      </w:r>
      <w:r>
        <w:rPr/>
        <w:t>2002).</w:t>
      </w:r>
      <w:r>
        <w:rPr>
          <w:spacing w:val="-1"/>
        </w:rPr>
        <w:t> </w:t>
      </w:r>
      <w:r>
        <w:rPr/>
        <w:t>The</w:t>
      </w:r>
      <w:r>
        <w:rPr>
          <w:spacing w:val="-3"/>
        </w:rPr>
        <w:t> </w:t>
      </w:r>
      <w:r>
        <w:rPr/>
        <w:t>relationship</w:t>
      </w:r>
      <w:r>
        <w:rPr>
          <w:spacing w:val="-1"/>
        </w:rPr>
        <w:t> </w:t>
      </w:r>
      <w:r>
        <w:rPr/>
        <w:t>is that</w:t>
      </w:r>
      <w:r>
        <w:rPr>
          <w:spacing w:val="-1"/>
        </w:rPr>
        <w:t> </w:t>
      </w:r>
      <w:r>
        <w:rPr/>
        <w:t>one</w:t>
      </w:r>
      <w:r>
        <w:rPr>
          <w:spacing w:val="-2"/>
        </w:rPr>
        <w:t> </w:t>
      </w:r>
      <w:r>
        <w:rPr/>
        <w:t>microgram</w:t>
      </w:r>
      <w:r>
        <w:rPr>
          <w:spacing w:val="-1"/>
        </w:rPr>
        <w:t> </w:t>
      </w:r>
      <w:r>
        <w:rPr/>
        <w:t>(1µg)</w:t>
      </w:r>
      <w:r>
        <w:rPr>
          <w:spacing w:val="-2"/>
        </w:rPr>
        <w:t> </w:t>
      </w:r>
      <w:r>
        <w:rPr/>
        <w:t>of</w:t>
      </w:r>
      <w:r>
        <w:rPr>
          <w:spacing w:val="-2"/>
        </w:rPr>
        <w:t> </w:t>
      </w:r>
      <w:r>
        <w:rPr/>
        <w:t>serum ferritin corresponds to between eight and ten milligram (8-10mg) of storage iron. Ferritin estimation is particularly useful especially in apparently healthy people because it is usually the earliest laboratory measure to change in iron deficiency states.Under normal conditions, serum ferritin levels less than 15</w:t>
      </w:r>
      <w:r>
        <w:rPr>
          <w:rFonts w:ascii="Symbol" w:hAnsi="Symbol"/>
        </w:rPr>
        <w:t></w:t>
      </w:r>
      <w:r>
        <w:rPr/>
        <w:t>g/l are consistent with depleted iron reserves and levels below 12</w:t>
      </w:r>
      <w:r>
        <w:rPr>
          <w:rFonts w:ascii="Symbol" w:hAnsi="Symbol"/>
        </w:rPr>
        <w:t></w:t>
      </w:r>
      <w:r>
        <w:rPr/>
        <w:t>g/l are associated with IDA (Hoffbrand and Moss, 2011; (Worwood and May, 2012)</w:t>
      </w:r>
      <w:r>
        <w:rPr>
          <w:rFonts w:ascii="Tahoma" w:hAnsi="Tahoma"/>
          <w:sz w:val="28"/>
        </w:rPr>
        <w:t>.</w:t>
      </w:r>
      <w:r>
        <w:rPr/>
        <w:t>Reference values vary with sex (men 15–300ng/ml (median 100ng/ml) and women (pregnant women inclusive) 15– 200ng/ml (median 30ng/ml) (Lewis&amp; Bates, 2012). A combination of low values of serum ferritin and haemoglobin suggests iron deficiency anaemia (Schwartz and Thurnau, 1995). Soluble transferrin (sTFR) reflects the intensity of erythropoiesis</w:t>
      </w:r>
      <w:r>
        <w:rPr>
          <w:spacing w:val="35"/>
        </w:rPr>
        <w:t> </w:t>
      </w:r>
      <w:r>
        <w:rPr/>
        <w:t>or</w:t>
      </w:r>
      <w:r>
        <w:rPr>
          <w:spacing w:val="35"/>
        </w:rPr>
        <w:t> </w:t>
      </w:r>
      <w:r>
        <w:rPr/>
        <w:t>the</w:t>
      </w:r>
      <w:r>
        <w:rPr>
          <w:spacing w:val="35"/>
        </w:rPr>
        <w:t> </w:t>
      </w:r>
      <w:r>
        <w:rPr/>
        <w:t>cellular</w:t>
      </w:r>
      <w:r>
        <w:rPr>
          <w:spacing w:val="35"/>
        </w:rPr>
        <w:t> </w:t>
      </w:r>
      <w:r>
        <w:rPr/>
        <w:t>supply</w:t>
      </w:r>
      <w:r>
        <w:rPr>
          <w:spacing w:val="31"/>
        </w:rPr>
        <w:t> </w:t>
      </w:r>
      <w:r>
        <w:rPr/>
        <w:t>of</w:t>
      </w:r>
      <w:r>
        <w:rPr>
          <w:spacing w:val="35"/>
        </w:rPr>
        <w:t> </w:t>
      </w:r>
      <w:r>
        <w:rPr/>
        <w:t>iron.Values</w:t>
      </w:r>
      <w:r>
        <w:rPr>
          <w:spacing w:val="36"/>
        </w:rPr>
        <w:t> </w:t>
      </w:r>
      <w:r>
        <w:rPr/>
        <w:t>of</w:t>
      </w:r>
      <w:r>
        <w:rPr>
          <w:spacing w:val="35"/>
        </w:rPr>
        <w:t> </w:t>
      </w:r>
      <w:r>
        <w:rPr/>
        <w:t>sTfR</w:t>
      </w:r>
      <w:r>
        <w:rPr>
          <w:spacing w:val="35"/>
        </w:rPr>
        <w:t> </w:t>
      </w:r>
      <w:r>
        <w:rPr/>
        <w:t>assay</w:t>
      </w:r>
      <w:r>
        <w:rPr>
          <w:spacing w:val="30"/>
        </w:rPr>
        <w:t> </w:t>
      </w:r>
      <w:r>
        <w:rPr/>
        <w:t>exceeding</w:t>
      </w:r>
      <w:r>
        <w:rPr>
          <w:spacing w:val="36"/>
        </w:rPr>
        <w:t> </w:t>
      </w:r>
      <w:r>
        <w:rPr/>
        <w:t>the</w:t>
      </w:r>
      <w:r>
        <w:rPr>
          <w:spacing w:val="36"/>
        </w:rPr>
        <w:t> </w:t>
      </w:r>
      <w:r>
        <w:rPr>
          <w:spacing w:val="-2"/>
        </w:rPr>
        <w:t>reference</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range are seen in early ID and may be found in women with depleted iron stores. The unit</w:t>
      </w:r>
      <w:r>
        <w:rPr>
          <w:spacing w:val="80"/>
        </w:rPr>
        <w:t> </w:t>
      </w:r>
      <w:r>
        <w:rPr/>
        <w:t>and reference range are specific to methods (Worwood and May, 2012).</w:t>
      </w:r>
    </w:p>
    <w:p>
      <w:pPr>
        <w:pStyle w:val="BodyText"/>
      </w:pPr>
    </w:p>
    <w:p>
      <w:pPr>
        <w:pStyle w:val="BodyText"/>
        <w:spacing w:line="480" w:lineRule="auto" w:before="1"/>
        <w:ind w:left="560" w:right="794"/>
        <w:jc w:val="both"/>
      </w:pPr>
      <w:r>
        <w:rPr/>
        <w:t>Furthermore, Iron status is affected by infection such as malaria, Innocent</w:t>
      </w:r>
      <w:r>
        <w:rPr>
          <w:i/>
        </w:rPr>
        <w:t>et al.,</w:t>
      </w:r>
      <w:r>
        <w:rPr/>
        <w:t>(2008) contributed that malaria negatively affects iron status and causes redistribution of iron in patients. They observed a significant correlation between serum iron and malaria. Again, the link between malaria and hepcidingrossly influences iron metabolism. This is due to hypoferemia, the end result from the interaction of malaria and hepcidin (Ganz, 2003; Neimeth, 2003).</w:t>
      </w:r>
    </w:p>
    <w:p>
      <w:pPr>
        <w:pStyle w:val="BodyText"/>
      </w:pPr>
    </w:p>
    <w:p>
      <w:pPr>
        <w:pStyle w:val="BodyText"/>
        <w:spacing w:line="480" w:lineRule="auto"/>
        <w:ind w:left="560" w:right="794"/>
        <w:jc w:val="both"/>
      </w:pPr>
      <w:r>
        <w:rPr/>
        <w:t>Defining iron status where chronic inflammation existsmay not always be clear.Itrequires the measurement of one or more acute phase reactants such as C-reactive proteinor/and α-1- acidglycoprotein (AGP). Also, in conditions where inflammation coexists with IDA, characterizing iron status may not be apparent enough. However,Soluble Transferrin – Ferritin Index (sTfR-F Index) has been suggested as an appropriate measure.Soluble Transferrin</w:t>
      </w:r>
      <w:r>
        <w:rPr>
          <w:spacing w:val="9"/>
        </w:rPr>
        <w:t> </w:t>
      </w:r>
      <w:r>
        <w:rPr/>
        <w:t>–</w:t>
      </w:r>
      <w:r>
        <w:rPr>
          <w:spacing w:val="9"/>
        </w:rPr>
        <w:t> </w:t>
      </w:r>
      <w:r>
        <w:rPr/>
        <w:t>Ferritin</w:t>
      </w:r>
      <w:r>
        <w:rPr>
          <w:spacing w:val="11"/>
        </w:rPr>
        <w:t> </w:t>
      </w:r>
      <w:r>
        <w:rPr/>
        <w:t>Indexis</w:t>
      </w:r>
      <w:r>
        <w:rPr>
          <w:spacing w:val="10"/>
        </w:rPr>
        <w:t> </w:t>
      </w:r>
      <w:r>
        <w:rPr/>
        <w:t>the</w:t>
      </w:r>
      <w:r>
        <w:rPr>
          <w:spacing w:val="8"/>
        </w:rPr>
        <w:t> </w:t>
      </w:r>
      <w:r>
        <w:rPr/>
        <w:t>ratio</w:t>
      </w:r>
      <w:r>
        <w:rPr>
          <w:spacing w:val="9"/>
        </w:rPr>
        <w:t> </w:t>
      </w:r>
      <w:r>
        <w:rPr/>
        <w:t>of</w:t>
      </w:r>
      <w:r>
        <w:rPr>
          <w:spacing w:val="10"/>
        </w:rPr>
        <w:t> </w:t>
      </w:r>
      <w:r>
        <w:rPr/>
        <w:t>sTfR</w:t>
      </w:r>
      <w:r>
        <w:rPr>
          <w:spacing w:val="8"/>
        </w:rPr>
        <w:t> </w:t>
      </w:r>
      <w:r>
        <w:rPr/>
        <w:t>assay</w:t>
      </w:r>
      <w:r>
        <w:rPr>
          <w:spacing w:val="8"/>
        </w:rPr>
        <w:t> </w:t>
      </w:r>
      <w:r>
        <w:rPr/>
        <w:t>and</w:t>
      </w:r>
      <w:r>
        <w:rPr>
          <w:spacing w:val="9"/>
        </w:rPr>
        <w:t> </w:t>
      </w:r>
      <w:r>
        <w:rPr/>
        <w:t>the</w:t>
      </w:r>
      <w:r>
        <w:rPr>
          <w:spacing w:val="10"/>
        </w:rPr>
        <w:t> </w:t>
      </w:r>
      <w:r>
        <w:rPr/>
        <w:t>log</w:t>
      </w:r>
      <w:r>
        <w:rPr>
          <w:spacing w:val="9"/>
        </w:rPr>
        <w:t> </w:t>
      </w:r>
      <w:r>
        <w:rPr/>
        <w:t>of</w:t>
      </w:r>
      <w:r>
        <w:rPr>
          <w:spacing w:val="7"/>
        </w:rPr>
        <w:t> </w:t>
      </w:r>
      <w:r>
        <w:rPr/>
        <w:t>ferritin.This</w:t>
      </w:r>
      <w:r>
        <w:rPr>
          <w:spacing w:val="9"/>
        </w:rPr>
        <w:t> </w:t>
      </w:r>
      <w:r>
        <w:rPr/>
        <w:t>is</w:t>
      </w:r>
      <w:r>
        <w:rPr>
          <w:spacing w:val="10"/>
        </w:rPr>
        <w:t> </w:t>
      </w:r>
      <w:r>
        <w:rPr>
          <w:spacing w:val="-2"/>
        </w:rPr>
        <w:t>illustrated</w:t>
      </w:r>
    </w:p>
    <w:p>
      <w:pPr>
        <w:pStyle w:val="BodyText"/>
        <w:spacing w:before="1"/>
        <w:ind w:left="560"/>
      </w:pPr>
      <w:r>
        <w:rPr>
          <w:spacing w:val="-5"/>
        </w:rPr>
        <w:t>as</w:t>
      </w:r>
    </w:p>
    <w:p>
      <w:pPr>
        <w:pStyle w:val="BodyText"/>
        <w:spacing w:before="70"/>
      </w:pPr>
    </w:p>
    <w:p>
      <w:pPr>
        <w:pStyle w:val="BodyText"/>
        <w:tabs>
          <w:tab w:pos="2419" w:val="left" w:leader="none"/>
        </w:tabs>
        <w:spacing w:line="234" w:lineRule="exact" w:before="1"/>
        <w:ind w:right="537"/>
        <w:jc w:val="center"/>
        <w:rPr>
          <w:rFonts w:ascii="Cambria Math" w:eastAsia="Cambria Math"/>
        </w:rPr>
      </w:pPr>
      <w:r>
        <w:rPr/>
        <mc:AlternateContent>
          <mc:Choice Requires="wps">
            <w:drawing>
              <wp:anchor distT="0" distB="0" distL="0" distR="0" allowOverlap="1" layoutInCell="1" locked="0" behindDoc="1" simplePos="0" relativeHeight="484733440">
                <wp:simplePos x="0" y="0"/>
                <wp:positionH relativeFrom="page">
                  <wp:posOffset>4155313</wp:posOffset>
                </wp:positionH>
                <wp:positionV relativeFrom="paragraph">
                  <wp:posOffset>96615</wp:posOffset>
                </wp:positionV>
                <wp:extent cx="612775" cy="1079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612775" cy="10795"/>
                        </a:xfrm>
                        <a:custGeom>
                          <a:avLst/>
                          <a:gdLst/>
                          <a:ahLst/>
                          <a:cxnLst/>
                          <a:rect l="l" t="t" r="r" b="b"/>
                          <a:pathLst>
                            <a:path w="612775" h="10795">
                              <a:moveTo>
                                <a:pt x="612648" y="0"/>
                              </a:moveTo>
                              <a:lnTo>
                                <a:pt x="0" y="0"/>
                              </a:lnTo>
                              <a:lnTo>
                                <a:pt x="0" y="10667"/>
                              </a:lnTo>
                              <a:lnTo>
                                <a:pt x="612648" y="10667"/>
                              </a:lnTo>
                              <a:lnTo>
                                <a:pt x="612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7.190002pt;margin-top:7.6075pt;width:48.24pt;height:.84pt;mso-position-horizontal-relative:page;mso-position-vertical-relative:paragraph;z-index:-18583040" id="docshape2" filled="true" fillcolor="#000000" stroked="false">
                <v:fill type="solid"/>
                <w10:wrap type="none"/>
              </v:rect>
            </w:pict>
          </mc:Fallback>
        </mc:AlternateContent>
      </w:r>
      <w:r>
        <w:rPr/>
        <w:t>sTfR-Ferritin</w:t>
      </w:r>
      <w:r>
        <w:rPr>
          <w:spacing w:val="-3"/>
        </w:rPr>
        <w:t> </w:t>
      </w:r>
      <w:r>
        <w:rPr/>
        <w:t>Index</w:t>
      </w:r>
      <w:r>
        <w:rPr>
          <w:spacing w:val="-4"/>
        </w:rPr>
        <w:t> </w:t>
      </w:r>
      <w:r>
        <w:rPr>
          <w:spacing w:val="-10"/>
        </w:rPr>
        <w:t>=</w:t>
      </w:r>
      <w:r>
        <w:rPr/>
        <w:tab/>
      </w:r>
      <w:r>
        <w:rPr>
          <w:rFonts w:ascii="Cambria Math" w:eastAsia="Cambria Math"/>
          <w:spacing w:val="-4"/>
          <w:vertAlign w:val="superscript"/>
        </w:rPr>
        <w:t>𝑠𝑇𝑓𝑅</w:t>
      </w:r>
    </w:p>
    <w:p>
      <w:pPr>
        <w:spacing w:line="152" w:lineRule="exact" w:before="0"/>
        <w:ind w:left="1845" w:right="0" w:firstLine="0"/>
        <w:jc w:val="center"/>
        <w:rPr>
          <w:rFonts w:ascii="Cambria Math" w:eastAsia="Cambria Math"/>
          <w:sz w:val="17"/>
        </w:rPr>
      </w:pPr>
      <w:r>
        <w:rPr>
          <w:rFonts w:ascii="Cambria Math" w:eastAsia="Cambria Math"/>
          <w:sz w:val="17"/>
        </w:rPr>
        <w:t>log</w:t>
      </w:r>
      <w:r>
        <w:rPr>
          <w:rFonts w:ascii="Cambria Math" w:eastAsia="Cambria Math"/>
          <w:spacing w:val="19"/>
          <w:sz w:val="17"/>
        </w:rPr>
        <w:t> </w:t>
      </w:r>
      <w:r>
        <w:rPr>
          <w:rFonts w:ascii="Cambria Math" w:eastAsia="Cambria Math"/>
          <w:spacing w:val="-2"/>
          <w:sz w:val="17"/>
        </w:rPr>
        <w:t>𝐹𝑒𝑟𝑟𝑖𝑡𝑖𝑛</w:t>
      </w:r>
    </w:p>
    <w:p>
      <w:pPr>
        <w:pStyle w:val="BodyText"/>
        <w:spacing w:line="480" w:lineRule="auto" w:before="274"/>
        <w:ind w:left="560" w:right="794"/>
        <w:jc w:val="both"/>
      </w:pPr>
      <w:r>
        <w:rPr/>
        <w:t>Assessment of iron status of pregnant women is important in order to identify normal and abnormal conditions that might influence pregnancy outcomes. Normal iron status implies a level of erythropoiesis in which the supply of iron is not limited to cope with normal physiological needs (Worwood and May 2012) while abnormal iron status reflects a deficiency that may alter the physiological mechanisms of iron. Abnormal iron status could show in the form ofID, IDA, inflammatory</w:t>
      </w:r>
      <w:r>
        <w:rPr>
          <w:spacing w:val="-4"/>
        </w:rPr>
        <w:t> </w:t>
      </w:r>
      <w:r>
        <w:rPr/>
        <w:t>anaemia and inflammatory</w:t>
      </w:r>
      <w:r>
        <w:rPr>
          <w:spacing w:val="-4"/>
        </w:rPr>
        <w:t> </w:t>
      </w:r>
      <w:r>
        <w:rPr/>
        <w:t>anaemia in association with IDA (Bleyere </w:t>
      </w:r>
      <w:r>
        <w:rPr>
          <w:i/>
        </w:rPr>
        <w:t>et al.,</w:t>
      </w:r>
      <w:r>
        <w:rPr/>
        <w:t>2013). Moreso, it is vital to ascertain whether iron supplementation would</w:t>
      </w:r>
      <w:r>
        <w:rPr>
          <w:spacing w:val="29"/>
        </w:rPr>
        <w:t> </w:t>
      </w:r>
      <w:r>
        <w:rPr/>
        <w:t>be</w:t>
      </w:r>
      <w:r>
        <w:rPr>
          <w:spacing w:val="29"/>
        </w:rPr>
        <w:t> </w:t>
      </w:r>
      <w:r>
        <w:rPr/>
        <w:t>beneficial</w:t>
      </w:r>
      <w:r>
        <w:rPr>
          <w:spacing w:val="30"/>
        </w:rPr>
        <w:t> </w:t>
      </w:r>
      <w:r>
        <w:rPr/>
        <w:t>to</w:t>
      </w:r>
      <w:r>
        <w:rPr>
          <w:spacing w:val="30"/>
        </w:rPr>
        <w:t> </w:t>
      </w:r>
      <w:r>
        <w:rPr/>
        <w:t>the</w:t>
      </w:r>
      <w:r>
        <w:rPr>
          <w:spacing w:val="29"/>
        </w:rPr>
        <w:t> </w:t>
      </w:r>
      <w:r>
        <w:rPr/>
        <w:t>pregnant</w:t>
      </w:r>
      <w:r>
        <w:rPr>
          <w:spacing w:val="31"/>
        </w:rPr>
        <w:t> </w:t>
      </w:r>
      <w:r>
        <w:rPr/>
        <w:t>subjects.</w:t>
      </w:r>
      <w:r>
        <w:rPr>
          <w:spacing w:val="35"/>
        </w:rPr>
        <w:t> </w:t>
      </w:r>
      <w:r>
        <w:rPr/>
        <w:t>Iron</w:t>
      </w:r>
      <w:r>
        <w:rPr>
          <w:spacing w:val="29"/>
        </w:rPr>
        <w:t> </w:t>
      </w:r>
      <w:r>
        <w:rPr/>
        <w:t>supplementation</w:t>
      </w:r>
      <w:r>
        <w:rPr>
          <w:spacing w:val="29"/>
        </w:rPr>
        <w:t> </w:t>
      </w:r>
      <w:r>
        <w:rPr/>
        <w:t>increases</w:t>
      </w:r>
      <w:r>
        <w:rPr>
          <w:spacing w:val="30"/>
        </w:rPr>
        <w:t> </w:t>
      </w:r>
      <w:r>
        <w:rPr/>
        <w:t>maternal</w:t>
      </w:r>
      <w:r>
        <w:rPr>
          <w:spacing w:val="31"/>
        </w:rPr>
        <w:t> </w:t>
      </w:r>
      <w:r>
        <w:rPr>
          <w:spacing w:val="-4"/>
        </w:rPr>
        <w:t>iron</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status or iron stores and may improve pregnancy outcome. However, there are reports that in some subjects prophylactic iron supplementation might not increase the maternal haematocritrather may impose some risk to the pregnant mother because increased haematocrit might counteract haemodilution and result in increased blood viscosity. Also, high maternal iron store is said to be associated with unfavorable pregnancy outcome (Lao </w:t>
      </w:r>
      <w:r>
        <w:rPr>
          <w:i/>
        </w:rPr>
        <w:t>et al.,</w:t>
      </w:r>
      <w:r>
        <w:rPr/>
        <w:t>2000) in that increased iron stores has been linked to maternal complications such as geatational diabetes and increased oxidative stress. In supporting this idea, Scholl, (2005) posited that high levels of haemoglobin, haematocrit and ferritin are associated with</w:t>
      </w:r>
      <w:r>
        <w:rPr>
          <w:spacing w:val="80"/>
        </w:rPr>
        <w:t> </w:t>
      </w:r>
      <w:r>
        <w:rPr/>
        <w:t>increased risk of foetal growth restriction, preterm delivery and preeclampsia.</w:t>
      </w:r>
    </w:p>
    <w:p>
      <w:pPr>
        <w:pStyle w:val="BodyText"/>
        <w:spacing w:before="1"/>
      </w:pPr>
    </w:p>
    <w:p>
      <w:pPr>
        <w:pStyle w:val="BodyText"/>
        <w:spacing w:line="480" w:lineRule="auto"/>
        <w:ind w:left="560" w:right="800"/>
        <w:jc w:val="both"/>
      </w:pPr>
      <w:r>
        <w:rPr/>
        <w:t>Assessment of iron status appears to be difficult especially in pregnancy because of changes in maternal physiology such as expansion of plasma volume, increased erythropoiesis and increased demand for iron by foetal-placental unit and inflammation. Moreover, the physiological changes that occur throughout gestation may differ markedly between individuals (Van den Broek</w:t>
      </w:r>
      <w:r>
        <w:rPr>
          <w:i/>
        </w:rPr>
        <w:t>et al.,</w:t>
      </w:r>
      <w:r>
        <w:rPr/>
        <w:t>1998).</w:t>
      </w:r>
    </w:p>
    <w:p>
      <w:pPr>
        <w:pStyle w:val="BodyText"/>
        <w:spacing w:before="1"/>
      </w:pPr>
    </w:p>
    <w:p>
      <w:pPr>
        <w:pStyle w:val="BodyText"/>
        <w:spacing w:line="480" w:lineRule="auto"/>
        <w:ind w:left="560" w:right="802"/>
        <w:jc w:val="both"/>
      </w:pPr>
      <w:r>
        <w:rPr/>
        <w:t>The exact data on iron status and the prevalence of iron deficiency anaemia among pregnant women in Nigeria is lacking. This is due to the fact that various scholars adopt different criteria in their definitions. Also,iron statusparameters vary withtrimesters.</w:t>
      </w:r>
    </w:p>
    <w:p>
      <w:pPr>
        <w:pStyle w:val="BodyText"/>
        <w:spacing w:before="1"/>
      </w:pPr>
    </w:p>
    <w:p>
      <w:pPr>
        <w:pStyle w:val="BodyText"/>
        <w:ind w:left="560"/>
        <w:jc w:val="both"/>
      </w:pPr>
      <w:r>
        <w:rPr/>
        <w:t>In</w:t>
      </w:r>
      <w:r>
        <w:rPr>
          <w:spacing w:val="15"/>
        </w:rPr>
        <w:t> </w:t>
      </w:r>
      <w:r>
        <w:rPr/>
        <w:t>Calabar,</w:t>
      </w:r>
      <w:r>
        <w:rPr>
          <w:spacing w:val="17"/>
        </w:rPr>
        <w:t> </w:t>
      </w:r>
      <w:r>
        <w:rPr/>
        <w:t>Nigeria,</w:t>
      </w:r>
      <w:r>
        <w:rPr>
          <w:spacing w:val="16"/>
        </w:rPr>
        <w:t> </w:t>
      </w:r>
      <w:r>
        <w:rPr/>
        <w:t>Usanga</w:t>
      </w:r>
      <w:r>
        <w:rPr>
          <w:spacing w:val="15"/>
        </w:rPr>
        <w:t> </w:t>
      </w:r>
      <w:r>
        <w:rPr>
          <w:i/>
        </w:rPr>
        <w:t>et</w:t>
      </w:r>
      <w:r>
        <w:rPr>
          <w:i/>
          <w:spacing w:val="16"/>
        </w:rPr>
        <w:t> </w:t>
      </w:r>
      <w:r>
        <w:rPr>
          <w:i/>
        </w:rPr>
        <w:t>al.,</w:t>
      </w:r>
      <w:r>
        <w:rPr/>
        <w:t>(1994)</w:t>
      </w:r>
      <w:r>
        <w:rPr>
          <w:spacing w:val="17"/>
        </w:rPr>
        <w:t> </w:t>
      </w:r>
      <w:r>
        <w:rPr/>
        <w:t>worked</w:t>
      </w:r>
      <w:r>
        <w:rPr>
          <w:spacing w:val="16"/>
        </w:rPr>
        <w:t> </w:t>
      </w:r>
      <w:r>
        <w:rPr/>
        <w:t>on</w:t>
      </w:r>
      <w:r>
        <w:rPr>
          <w:spacing w:val="15"/>
        </w:rPr>
        <w:t> </w:t>
      </w:r>
      <w:r>
        <w:rPr/>
        <w:t>140</w:t>
      </w:r>
      <w:r>
        <w:rPr>
          <w:spacing w:val="15"/>
        </w:rPr>
        <w:t> </w:t>
      </w:r>
      <w:r>
        <w:rPr/>
        <w:t>pregnant</w:t>
      </w:r>
      <w:r>
        <w:rPr>
          <w:spacing w:val="16"/>
        </w:rPr>
        <w:t> </w:t>
      </w:r>
      <w:r>
        <w:rPr/>
        <w:t>women</w:t>
      </w:r>
      <w:r>
        <w:rPr>
          <w:spacing w:val="17"/>
        </w:rPr>
        <w:t> </w:t>
      </w:r>
      <w:r>
        <w:rPr/>
        <w:t>and</w:t>
      </w:r>
      <w:r>
        <w:rPr>
          <w:spacing w:val="19"/>
        </w:rPr>
        <w:t> </w:t>
      </w:r>
      <w:r>
        <w:rPr/>
        <w:t>affirmed</w:t>
      </w:r>
      <w:r>
        <w:rPr>
          <w:spacing w:val="14"/>
        </w:rPr>
        <w:t> </w:t>
      </w:r>
      <w:r>
        <w:rPr>
          <w:spacing w:val="-4"/>
        </w:rPr>
        <w:t>that</w:t>
      </w:r>
    </w:p>
    <w:p>
      <w:pPr>
        <w:pStyle w:val="BodyText"/>
      </w:pPr>
    </w:p>
    <w:p>
      <w:pPr>
        <w:pStyle w:val="BodyText"/>
        <w:spacing w:line="480" w:lineRule="auto"/>
        <w:ind w:left="560" w:right="798"/>
        <w:jc w:val="both"/>
      </w:pPr>
      <w:r>
        <w:rPr/>
        <w:t>79.1 percent of thesubjects were anaemic of which 22.6 percent were due to iron deficiency anaemia. The study also recorded anaemia in 9.3% of the control group. The criteria for their study were based on estimated values of haemoglobin combined with serum iron and percent transferrin saturation.</w:t>
      </w:r>
      <w:r>
        <w:rPr>
          <w:spacing w:val="40"/>
        </w:rPr>
        <w:t> </w:t>
      </w:r>
      <w:r>
        <w:rPr/>
        <w:t>Haemoglobin values less than 12g/dl was adopted for non pregnant women while haemoglobin values less than 11g/dl was adopted for pregnant subjects. Also serum</w:t>
      </w:r>
      <w:r>
        <w:rPr>
          <w:spacing w:val="55"/>
        </w:rPr>
        <w:t> </w:t>
      </w:r>
      <w:r>
        <w:rPr/>
        <w:t>iron</w:t>
      </w:r>
      <w:r>
        <w:rPr>
          <w:spacing w:val="57"/>
        </w:rPr>
        <w:t> </w:t>
      </w:r>
      <w:r>
        <w:rPr/>
        <w:t>less</w:t>
      </w:r>
      <w:r>
        <w:rPr>
          <w:spacing w:val="59"/>
        </w:rPr>
        <w:t> </w:t>
      </w:r>
      <w:r>
        <w:rPr/>
        <w:t>than</w:t>
      </w:r>
      <w:r>
        <w:rPr>
          <w:spacing w:val="56"/>
        </w:rPr>
        <w:t> </w:t>
      </w:r>
      <w:r>
        <w:rPr/>
        <w:t>12.5</w:t>
      </w:r>
      <w:r>
        <w:rPr>
          <w:spacing w:val="57"/>
        </w:rPr>
        <w:t> </w:t>
      </w:r>
      <w:r>
        <w:rPr/>
        <w:t>µmol/l</w:t>
      </w:r>
      <w:r>
        <w:rPr>
          <w:spacing w:val="58"/>
        </w:rPr>
        <w:t> </w:t>
      </w:r>
      <w:r>
        <w:rPr/>
        <w:t>and</w:t>
      </w:r>
      <w:r>
        <w:rPr>
          <w:spacing w:val="57"/>
        </w:rPr>
        <w:t> </w:t>
      </w:r>
      <w:r>
        <w:rPr/>
        <w:t>percent</w:t>
      </w:r>
      <w:r>
        <w:rPr>
          <w:spacing w:val="57"/>
        </w:rPr>
        <w:t> </w:t>
      </w:r>
      <w:r>
        <w:rPr/>
        <w:t>transferrin</w:t>
      </w:r>
      <w:r>
        <w:rPr>
          <w:spacing w:val="57"/>
        </w:rPr>
        <w:t> </w:t>
      </w:r>
      <w:r>
        <w:rPr/>
        <w:t>saturation</w:t>
      </w:r>
      <w:r>
        <w:rPr>
          <w:spacing w:val="57"/>
        </w:rPr>
        <w:t> </w:t>
      </w:r>
      <w:r>
        <w:rPr/>
        <w:t>less</w:t>
      </w:r>
      <w:r>
        <w:rPr>
          <w:spacing w:val="57"/>
        </w:rPr>
        <w:t> </w:t>
      </w:r>
      <w:r>
        <w:rPr/>
        <w:t>than</w:t>
      </w:r>
      <w:r>
        <w:rPr>
          <w:spacing w:val="56"/>
        </w:rPr>
        <w:t> </w:t>
      </w:r>
      <w:r>
        <w:rPr/>
        <w:t>16%</w:t>
      </w:r>
      <w:r>
        <w:rPr>
          <w:spacing w:val="60"/>
        </w:rPr>
        <w:t> </w:t>
      </w:r>
      <w:r>
        <w:rPr>
          <w:spacing w:val="-4"/>
        </w:rPr>
        <w:t>were</w:t>
      </w:r>
    </w:p>
    <w:p>
      <w:pPr>
        <w:spacing w:after="0" w:line="480" w:lineRule="auto"/>
        <w:jc w:val="both"/>
        <w:sectPr>
          <w:pgSz w:w="11910" w:h="16840"/>
          <w:pgMar w:header="0" w:footer="1067" w:top="1060" w:bottom="1260" w:left="880" w:right="640"/>
        </w:sectPr>
      </w:pPr>
    </w:p>
    <w:p>
      <w:pPr>
        <w:pStyle w:val="BodyText"/>
        <w:spacing w:line="480" w:lineRule="auto" w:before="70"/>
        <w:ind w:left="560" w:right="801"/>
        <w:jc w:val="both"/>
      </w:pPr>
      <w:r>
        <w:rPr/>
        <w:t>adopted for pregnant subjects. Evidence of reduced iron stores among the pregnant women was more among the 19-24 years age group</w:t>
      </w:r>
    </w:p>
    <w:p>
      <w:pPr>
        <w:pStyle w:val="BodyText"/>
      </w:pPr>
    </w:p>
    <w:p>
      <w:pPr>
        <w:pStyle w:val="BodyText"/>
        <w:spacing w:line="480" w:lineRule="auto" w:before="1"/>
        <w:ind w:left="560" w:right="797"/>
        <w:jc w:val="both"/>
      </w:pPr>
      <w:r>
        <w:rPr/>
        <w:t>In a</w:t>
      </w:r>
      <w:r>
        <w:rPr>
          <w:spacing w:val="-1"/>
        </w:rPr>
        <w:t> </w:t>
      </w:r>
      <w:r>
        <w:rPr/>
        <w:t>study</w:t>
      </w:r>
      <w:r>
        <w:rPr>
          <w:spacing w:val="-5"/>
        </w:rPr>
        <w:t> </w:t>
      </w:r>
      <w:r>
        <w:rPr/>
        <w:t>on</w:t>
      </w:r>
      <w:r>
        <w:rPr>
          <w:spacing w:val="-2"/>
        </w:rPr>
        <w:t> </w:t>
      </w:r>
      <w:r>
        <w:rPr/>
        <w:t>288 elite young</w:t>
      </w:r>
      <w:r>
        <w:rPr>
          <w:spacing w:val="-2"/>
        </w:rPr>
        <w:t> </w:t>
      </w:r>
      <w:r>
        <w:rPr/>
        <w:t>Hausa</w:t>
      </w:r>
      <w:r>
        <w:rPr>
          <w:spacing w:val="-1"/>
        </w:rPr>
        <w:t> </w:t>
      </w:r>
      <w:r>
        <w:rPr/>
        <w:t>primigravidae</w:t>
      </w:r>
      <w:r>
        <w:rPr>
          <w:spacing w:val="-1"/>
        </w:rPr>
        <w:t> </w:t>
      </w:r>
      <w:r>
        <w:rPr/>
        <w:t>at</w:t>
      </w:r>
      <w:r>
        <w:rPr>
          <w:spacing w:val="-2"/>
        </w:rPr>
        <w:t> </w:t>
      </w:r>
      <w:r>
        <w:rPr/>
        <w:t>less than</w:t>
      </w:r>
      <w:r>
        <w:rPr>
          <w:spacing w:val="-2"/>
        </w:rPr>
        <w:t> </w:t>
      </w:r>
      <w:r>
        <w:rPr/>
        <w:t>24</w:t>
      </w:r>
      <w:r>
        <w:rPr>
          <w:spacing w:val="-1"/>
        </w:rPr>
        <w:t> </w:t>
      </w:r>
      <w:r>
        <w:rPr/>
        <w:t>weeks</w:t>
      </w:r>
      <w:r>
        <w:rPr>
          <w:spacing w:val="-2"/>
        </w:rPr>
        <w:t> </w:t>
      </w:r>
      <w:r>
        <w:rPr/>
        <w:t>of gestation</w:t>
      </w:r>
      <w:r>
        <w:rPr>
          <w:spacing w:val="-2"/>
        </w:rPr>
        <w:t> </w:t>
      </w:r>
      <w:r>
        <w:rPr/>
        <w:t>in</w:t>
      </w:r>
      <w:r>
        <w:rPr>
          <w:spacing w:val="-2"/>
        </w:rPr>
        <w:t> </w:t>
      </w:r>
      <w:r>
        <w:rPr/>
        <w:t>Zaria, Guinea Savanna, Northern Nigeria, Fleming </w:t>
      </w:r>
      <w:r>
        <w:rPr>
          <w:i/>
        </w:rPr>
        <w:t>et al.,</w:t>
      </w:r>
      <w:r>
        <w:rPr/>
        <w:t>(1984) reported that 99 subjects (43.4%) were anaemic (Hb less than 11.0g/dl). The criteria for defining iron status were red cell indices (MCV and MCH). Iron deficiency was diagnosed in 18% of all and 25% of anaemic women. About 14% of all subjects were folate deficient. Increased MCV and MCH</w:t>
      </w:r>
      <w:r>
        <w:rPr>
          <w:spacing w:val="80"/>
        </w:rPr>
        <w:t> </w:t>
      </w:r>
      <w:r>
        <w:rPr/>
        <w:t>correlated with anaemia while low serum folate showed weak association with anaemia and malaria.</w:t>
      </w:r>
      <w:r>
        <w:rPr>
          <w:spacing w:val="-2"/>
        </w:rPr>
        <w:t> </w:t>
      </w:r>
      <w:r>
        <w:rPr/>
        <w:t>Serum</w:t>
      </w:r>
      <w:r>
        <w:rPr>
          <w:spacing w:val="-2"/>
        </w:rPr>
        <w:t> </w:t>
      </w:r>
      <w:r>
        <w:rPr/>
        <w:t>vitamin B</w:t>
      </w:r>
      <w:r>
        <w:rPr>
          <w:vertAlign w:val="subscript"/>
        </w:rPr>
        <w:t>12</w:t>
      </w:r>
      <w:r>
        <w:rPr>
          <w:spacing w:val="-1"/>
          <w:vertAlign w:val="baseline"/>
        </w:rPr>
        <w:t> </w:t>
      </w:r>
      <w:r>
        <w:rPr>
          <w:vertAlign w:val="baseline"/>
        </w:rPr>
        <w:t>was</w:t>
      </w:r>
      <w:r>
        <w:rPr>
          <w:spacing w:val="-2"/>
          <w:vertAlign w:val="baseline"/>
        </w:rPr>
        <w:t> </w:t>
      </w:r>
      <w:r>
        <w:rPr>
          <w:vertAlign w:val="baseline"/>
        </w:rPr>
        <w:t>normal</w:t>
      </w:r>
      <w:r>
        <w:rPr>
          <w:spacing w:val="-2"/>
          <w:vertAlign w:val="baseline"/>
        </w:rPr>
        <w:t> </w:t>
      </w:r>
      <w:r>
        <w:rPr>
          <w:vertAlign w:val="baseline"/>
        </w:rPr>
        <w:t>or</w:t>
      </w:r>
      <w:r>
        <w:rPr>
          <w:spacing w:val="-1"/>
          <w:vertAlign w:val="baseline"/>
        </w:rPr>
        <w:t> </w:t>
      </w:r>
      <w:r>
        <w:rPr>
          <w:vertAlign w:val="baseline"/>
        </w:rPr>
        <w:t>high</w:t>
      </w:r>
      <w:r>
        <w:rPr>
          <w:spacing w:val="-2"/>
          <w:vertAlign w:val="baseline"/>
        </w:rPr>
        <w:t> </w:t>
      </w:r>
      <w:r>
        <w:rPr>
          <w:vertAlign w:val="baseline"/>
        </w:rPr>
        <w:t>in</w:t>
      </w:r>
      <w:r>
        <w:rPr>
          <w:spacing w:val="-2"/>
          <w:vertAlign w:val="baseline"/>
        </w:rPr>
        <w:t> </w:t>
      </w:r>
      <w:r>
        <w:rPr>
          <w:vertAlign w:val="baseline"/>
        </w:rPr>
        <w:t>145</w:t>
      </w:r>
      <w:r>
        <w:rPr>
          <w:spacing w:val="-2"/>
          <w:vertAlign w:val="baseline"/>
        </w:rPr>
        <w:t> </w:t>
      </w:r>
      <w:r>
        <w:rPr>
          <w:vertAlign w:val="baseline"/>
        </w:rPr>
        <w:t>subjects</w:t>
      </w:r>
      <w:r>
        <w:rPr>
          <w:spacing w:val="-2"/>
          <w:vertAlign w:val="baseline"/>
        </w:rPr>
        <w:t> </w:t>
      </w:r>
      <w:r>
        <w:rPr>
          <w:vertAlign w:val="baseline"/>
        </w:rPr>
        <w:t>in</w:t>
      </w:r>
      <w:r>
        <w:rPr>
          <w:spacing w:val="-2"/>
          <w:vertAlign w:val="baseline"/>
        </w:rPr>
        <w:t> </w:t>
      </w:r>
      <w:r>
        <w:rPr>
          <w:vertAlign w:val="baseline"/>
        </w:rPr>
        <w:t>whom</w:t>
      </w:r>
      <w:r>
        <w:rPr>
          <w:spacing w:val="-2"/>
          <w:vertAlign w:val="baseline"/>
        </w:rPr>
        <w:t> </w:t>
      </w:r>
      <w:r>
        <w:rPr>
          <w:vertAlign w:val="baseline"/>
        </w:rPr>
        <w:t>it</w:t>
      </w:r>
      <w:r>
        <w:rPr>
          <w:spacing w:val="-2"/>
          <w:vertAlign w:val="baseline"/>
        </w:rPr>
        <w:t> </w:t>
      </w:r>
      <w:r>
        <w:rPr>
          <w:vertAlign w:val="baseline"/>
        </w:rPr>
        <w:t>was</w:t>
      </w:r>
      <w:r>
        <w:rPr>
          <w:spacing w:val="-2"/>
          <w:vertAlign w:val="baseline"/>
        </w:rPr>
        <w:t> </w:t>
      </w:r>
      <w:r>
        <w:rPr>
          <w:vertAlign w:val="baseline"/>
        </w:rPr>
        <w:t>measured;</w:t>
      </w:r>
      <w:r>
        <w:rPr>
          <w:spacing w:val="-2"/>
          <w:vertAlign w:val="baseline"/>
        </w:rPr>
        <w:t> </w:t>
      </w:r>
      <w:r>
        <w:rPr>
          <w:vertAlign w:val="baseline"/>
        </w:rPr>
        <w:t>3% had congenital elliptocysis, but did not contribute to anaemia. The common cause of anaemia was malaria and it was diagonised in 28% of all and 40% of all the anaemic subjects.</w:t>
      </w:r>
    </w:p>
    <w:p>
      <w:pPr>
        <w:pStyle w:val="BodyText"/>
        <w:spacing w:before="1"/>
      </w:pPr>
    </w:p>
    <w:p>
      <w:pPr>
        <w:pStyle w:val="BodyText"/>
        <w:spacing w:line="480" w:lineRule="auto"/>
        <w:ind w:left="560" w:right="795"/>
        <w:jc w:val="both"/>
      </w:pPr>
      <w:r>
        <w:rPr/>
        <w:t>In another study on 66 elite non-pregnant and 95 pregnant (27 elite and 68 non-elite)</w:t>
      </w:r>
      <w:r>
        <w:rPr>
          <w:spacing w:val="80"/>
        </w:rPr>
        <w:t> </w:t>
      </w:r>
      <w:r>
        <w:rPr/>
        <w:t>Nigerian</w:t>
      </w:r>
      <w:r>
        <w:rPr>
          <w:spacing w:val="-3"/>
        </w:rPr>
        <w:t> </w:t>
      </w:r>
      <w:r>
        <w:rPr/>
        <w:t>women</w:t>
      </w:r>
      <w:r>
        <w:rPr>
          <w:spacing w:val="-3"/>
        </w:rPr>
        <w:t> </w:t>
      </w:r>
      <w:r>
        <w:rPr/>
        <w:t>in</w:t>
      </w:r>
      <w:r>
        <w:rPr>
          <w:spacing w:val="-3"/>
        </w:rPr>
        <w:t> </w:t>
      </w:r>
      <w:r>
        <w:rPr/>
        <w:t>Zaria,</w:t>
      </w:r>
      <w:r>
        <w:rPr>
          <w:spacing w:val="-3"/>
        </w:rPr>
        <w:t> </w:t>
      </w:r>
      <w:r>
        <w:rPr/>
        <w:t>Guinea</w:t>
      </w:r>
      <w:r>
        <w:rPr>
          <w:spacing w:val="-2"/>
        </w:rPr>
        <w:t> </w:t>
      </w:r>
      <w:r>
        <w:rPr/>
        <w:t>Savannah, Isah </w:t>
      </w:r>
      <w:r>
        <w:rPr>
          <w:i/>
        </w:rPr>
        <w:t>et</w:t>
      </w:r>
      <w:r>
        <w:rPr>
          <w:i/>
          <w:spacing w:val="-3"/>
        </w:rPr>
        <w:t> </w:t>
      </w:r>
      <w:r>
        <w:rPr>
          <w:i/>
        </w:rPr>
        <w:t>al.,</w:t>
      </w:r>
      <w:r>
        <w:rPr/>
        <w:t>(1985)</w:t>
      </w:r>
      <w:r>
        <w:rPr>
          <w:spacing w:val="-4"/>
        </w:rPr>
        <w:t> </w:t>
      </w:r>
      <w:r>
        <w:rPr/>
        <w:t>observed</w:t>
      </w:r>
      <w:r>
        <w:rPr>
          <w:spacing w:val="-1"/>
        </w:rPr>
        <w:t> </w:t>
      </w:r>
      <w:r>
        <w:rPr/>
        <w:t>anaemia</w:t>
      </w:r>
      <w:r>
        <w:rPr>
          <w:spacing w:val="-4"/>
        </w:rPr>
        <w:t> </w:t>
      </w:r>
      <w:r>
        <w:rPr/>
        <w:t>in</w:t>
      </w:r>
      <w:r>
        <w:rPr>
          <w:spacing w:val="-3"/>
        </w:rPr>
        <w:t> </w:t>
      </w:r>
      <w:r>
        <w:rPr/>
        <w:t>46%</w:t>
      </w:r>
      <w:r>
        <w:rPr>
          <w:spacing w:val="-4"/>
        </w:rPr>
        <w:t> </w:t>
      </w:r>
      <w:r>
        <w:rPr/>
        <w:t>non- pregnant, 37% pregnant elite and 52% non-elite pregnant women. The paremeters studied were</w:t>
      </w:r>
      <w:r>
        <w:rPr>
          <w:spacing w:val="-3"/>
        </w:rPr>
        <w:t> </w:t>
      </w:r>
      <w:r>
        <w:rPr/>
        <w:t>haemoglobin</w:t>
      </w:r>
      <w:r>
        <w:rPr>
          <w:spacing w:val="-3"/>
        </w:rPr>
        <w:t> </w:t>
      </w:r>
      <w:r>
        <w:rPr/>
        <w:t>concentration,</w:t>
      </w:r>
      <w:r>
        <w:rPr>
          <w:spacing w:val="-3"/>
        </w:rPr>
        <w:t> </w:t>
      </w:r>
      <w:r>
        <w:rPr/>
        <w:t>serum</w:t>
      </w:r>
      <w:r>
        <w:rPr>
          <w:spacing w:val="-3"/>
        </w:rPr>
        <w:t> </w:t>
      </w:r>
      <w:r>
        <w:rPr/>
        <w:t>iron,</w:t>
      </w:r>
      <w:r>
        <w:rPr>
          <w:spacing w:val="-2"/>
        </w:rPr>
        <w:t> </w:t>
      </w:r>
      <w:r>
        <w:rPr/>
        <w:t>Total</w:t>
      </w:r>
      <w:r>
        <w:rPr>
          <w:spacing w:val="-1"/>
        </w:rPr>
        <w:t> </w:t>
      </w:r>
      <w:r>
        <w:rPr/>
        <w:t>Iron</w:t>
      </w:r>
      <w:r>
        <w:rPr>
          <w:spacing w:val="-2"/>
        </w:rPr>
        <w:t> </w:t>
      </w:r>
      <w:r>
        <w:rPr/>
        <w:t>Binding</w:t>
      </w:r>
      <w:r>
        <w:rPr>
          <w:spacing w:val="-3"/>
        </w:rPr>
        <w:t> </w:t>
      </w:r>
      <w:r>
        <w:rPr/>
        <w:t>Capacity</w:t>
      </w:r>
      <w:r>
        <w:rPr>
          <w:spacing w:val="-6"/>
        </w:rPr>
        <w:t> </w:t>
      </w:r>
      <w:r>
        <w:rPr/>
        <w:t>(TIBC),</w:t>
      </w:r>
      <w:r>
        <w:rPr>
          <w:spacing w:val="-2"/>
        </w:rPr>
        <w:t> </w:t>
      </w:r>
      <w:r>
        <w:rPr/>
        <w:t>transferrin saturation (TSAT), free erythrocyte protoporphyrin and serum ferritin. The mean SF (28.9ug/L) in pregnant elite was significantly lower than 33.6ug/L obtained in non-elite pregnant women. Iron deficiency</w:t>
      </w:r>
      <w:r>
        <w:rPr>
          <w:spacing w:val="-2"/>
        </w:rPr>
        <w:t> </w:t>
      </w:r>
      <w:r>
        <w:rPr/>
        <w:t>was diagnosed at 54%, 30% and 25% in non-pregnant, elite pregnant and non-elite pregnant women respectively. On parity, the prevalence of anaemia falls with increasing parity, being 52% in primigravidae and 40% in multigravidae. In contrast, prevalence of ID increased with parity, 18% and 35% in primigravidae and multigravidae respectively. Furthermore, anaemia and ID were seen most frequently in the third trimester.In a rural area in South Western Nigeria, Oluboyede and Ogunbode, (1976) in a</w:t>
      </w:r>
      <w:r>
        <w:rPr>
          <w:spacing w:val="-2"/>
        </w:rPr>
        <w:t> </w:t>
      </w:r>
      <w:r>
        <w:rPr/>
        <w:t>study</w:t>
      </w:r>
      <w:r>
        <w:rPr>
          <w:spacing w:val="-6"/>
        </w:rPr>
        <w:t> </w:t>
      </w:r>
      <w:r>
        <w:rPr/>
        <w:t>on</w:t>
      </w:r>
      <w:r>
        <w:rPr>
          <w:spacing w:val="-1"/>
        </w:rPr>
        <w:t> </w:t>
      </w:r>
      <w:r>
        <w:rPr/>
        <w:t>iron</w:t>
      </w:r>
      <w:r>
        <w:rPr>
          <w:spacing w:val="-2"/>
        </w:rPr>
        <w:t> </w:t>
      </w:r>
      <w:r>
        <w:rPr/>
        <w:t>deficiency</w:t>
      </w:r>
      <w:r>
        <w:rPr>
          <w:spacing w:val="-4"/>
        </w:rPr>
        <w:t> </w:t>
      </w:r>
      <w:r>
        <w:rPr/>
        <w:t>anaemia;</w:t>
      </w:r>
      <w:r>
        <w:rPr>
          <w:spacing w:val="-1"/>
        </w:rPr>
        <w:t> </w:t>
      </w:r>
      <w:r>
        <w:rPr/>
        <w:t>evaluation</w:t>
      </w:r>
      <w:r>
        <w:rPr>
          <w:spacing w:val="-1"/>
        </w:rPr>
        <w:t> </w:t>
      </w:r>
      <w:r>
        <w:rPr/>
        <w:t>of diagnosis</w:t>
      </w:r>
      <w:r>
        <w:rPr>
          <w:spacing w:val="-1"/>
        </w:rPr>
        <w:t> </w:t>
      </w:r>
      <w:r>
        <w:rPr/>
        <w:t>and</w:t>
      </w:r>
      <w:r>
        <w:rPr>
          <w:spacing w:val="-1"/>
        </w:rPr>
        <w:t> </w:t>
      </w:r>
      <w:r>
        <w:rPr/>
        <w:t>treatment</w:t>
      </w:r>
      <w:r>
        <w:rPr>
          <w:spacing w:val="-1"/>
        </w:rPr>
        <w:t> </w:t>
      </w:r>
      <w:r>
        <w:rPr/>
        <w:t>with</w:t>
      </w:r>
      <w:r>
        <w:rPr>
          <w:spacing w:val="-1"/>
        </w:rPr>
        <w:t> </w:t>
      </w:r>
      <w:r>
        <w:rPr/>
        <w:t>imferon found that 87.5%</w:t>
      </w:r>
      <w:r>
        <w:rPr>
          <w:spacing w:val="-1"/>
        </w:rPr>
        <w:t> </w:t>
      </w:r>
      <w:r>
        <w:rPr/>
        <w:t>of</w:t>
      </w:r>
      <w:r>
        <w:rPr>
          <w:spacing w:val="-1"/>
        </w:rPr>
        <w:t> </w:t>
      </w:r>
      <w:r>
        <w:rPr/>
        <w:t>32</w:t>
      </w:r>
      <w:r>
        <w:rPr>
          <w:spacing w:val="2"/>
        </w:rPr>
        <w:t> </w:t>
      </w:r>
      <w:r>
        <w:rPr/>
        <w:t>pregnant women with PCV of</w:t>
      </w:r>
      <w:r>
        <w:rPr>
          <w:spacing w:val="-1"/>
        </w:rPr>
        <w:t> </w:t>
      </w:r>
      <w:r>
        <w:rPr/>
        <w:t>30%</w:t>
      </w:r>
      <w:r>
        <w:rPr>
          <w:spacing w:val="-1"/>
        </w:rPr>
        <w:t> </w:t>
      </w:r>
      <w:r>
        <w:rPr/>
        <w:t>or less had iron depletion and 84.5%</w:t>
      </w:r>
      <w:r>
        <w:rPr>
          <w:spacing w:val="2"/>
        </w:rPr>
        <w:t> </w:t>
      </w:r>
      <w:r>
        <w:rPr>
          <w:spacing w:val="-5"/>
        </w:rPr>
        <w:t>had</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megaloblastic changes. The criterium used in diagnosis was staining of bone marrow iron. Parental iron gave statistically significant rise in PCV (P&lt;0.001) in those who received iron therapy compared with control group with no iron therapy.</w:t>
      </w:r>
    </w:p>
    <w:p>
      <w:pPr>
        <w:pStyle w:val="BodyText"/>
      </w:pPr>
    </w:p>
    <w:p>
      <w:pPr>
        <w:pStyle w:val="BodyText"/>
        <w:spacing w:line="480" w:lineRule="auto" w:before="1"/>
        <w:ind w:left="560" w:right="793"/>
        <w:jc w:val="both"/>
      </w:pPr>
      <w:r>
        <w:rPr/>
        <w:t>Van den broek and Letsky (2000),in South Malawi,reported 55% prevalence of iron deficiency among 150 study subjects. They used serum ferritin as the single predictor of iron deficiency</w:t>
      </w:r>
      <w:r>
        <w:rPr>
          <w:spacing w:val="-3"/>
        </w:rPr>
        <w:t> </w:t>
      </w:r>
      <w:r>
        <w:rPr/>
        <w:t>and a cutoff</w:t>
      </w:r>
      <w:r>
        <w:rPr>
          <w:spacing w:val="-1"/>
        </w:rPr>
        <w:t> </w:t>
      </w:r>
      <w:r>
        <w:rPr/>
        <w:t>of</w:t>
      </w:r>
      <w:r>
        <w:rPr>
          <w:spacing w:val="-1"/>
        </w:rPr>
        <w:t> </w:t>
      </w:r>
      <w:r>
        <w:rPr/>
        <w:t>&lt;30µg/l (the</w:t>
      </w:r>
      <w:r>
        <w:rPr>
          <w:spacing w:val="-2"/>
        </w:rPr>
        <w:t> </w:t>
      </w:r>
      <w:r>
        <w:rPr/>
        <w:t>most appropriate</w:t>
      </w:r>
      <w:r>
        <w:rPr>
          <w:spacing w:val="-1"/>
        </w:rPr>
        <w:t> </w:t>
      </w:r>
      <w:r>
        <w:rPr/>
        <w:t>cutoff for</w:t>
      </w:r>
      <w:r>
        <w:rPr>
          <w:spacing w:val="-2"/>
        </w:rPr>
        <w:t> </w:t>
      </w:r>
      <w:r>
        <w:rPr/>
        <w:t>diagnosing iron</w:t>
      </w:r>
      <w:r>
        <w:rPr>
          <w:spacing w:val="-1"/>
        </w:rPr>
        <w:t> </w:t>
      </w:r>
      <w:r>
        <w:rPr/>
        <w:t>deficiency in their study environment). They reported that iron deficiency was the most common micronutrient deficiency associated with anaemia during pregnancy. They also demonstrated an absence of stainable iron in bone marrow aspirate. Also, 44% of the pregnant women had haemoglobin levels less than 10.5g/dl, 23% were iron deficient with no evidence of folate, vitamin B</w:t>
      </w:r>
      <w:r>
        <w:rPr>
          <w:vertAlign w:val="subscript"/>
        </w:rPr>
        <w:t>12,</w:t>
      </w:r>
      <w:r>
        <w:rPr>
          <w:vertAlign w:val="baseline"/>
        </w:rPr>
        <w:t> or vitamin A deficiencies; 32% were iron deficient with one or more other micronutrients deficiencies; 26% were not iron deficient but had evidence of one or more of the</w:t>
      </w:r>
      <w:r>
        <w:rPr>
          <w:spacing w:val="-2"/>
          <w:vertAlign w:val="baseline"/>
        </w:rPr>
        <w:t> </w:t>
      </w:r>
      <w:r>
        <w:rPr>
          <w:vertAlign w:val="baseline"/>
        </w:rPr>
        <w:t>other</w:t>
      </w:r>
      <w:r>
        <w:rPr>
          <w:spacing w:val="-3"/>
          <w:vertAlign w:val="baseline"/>
        </w:rPr>
        <w:t> </w:t>
      </w:r>
      <w:r>
        <w:rPr>
          <w:vertAlign w:val="baseline"/>
        </w:rPr>
        <w:t>micronutrient</w:t>
      </w:r>
      <w:r>
        <w:rPr>
          <w:spacing w:val="-1"/>
          <w:vertAlign w:val="baseline"/>
        </w:rPr>
        <w:t> </w:t>
      </w:r>
      <w:r>
        <w:rPr>
          <w:vertAlign w:val="baseline"/>
        </w:rPr>
        <w:t>deficiencies,</w:t>
      </w:r>
      <w:r>
        <w:rPr>
          <w:spacing w:val="-1"/>
          <w:vertAlign w:val="baseline"/>
        </w:rPr>
        <w:t> </w:t>
      </w:r>
      <w:r>
        <w:rPr>
          <w:vertAlign w:val="baseline"/>
        </w:rPr>
        <w:t>most often</w:t>
      </w:r>
      <w:r>
        <w:rPr>
          <w:spacing w:val="-2"/>
          <w:vertAlign w:val="baseline"/>
        </w:rPr>
        <w:t> </w:t>
      </w:r>
      <w:r>
        <w:rPr>
          <w:vertAlign w:val="baseline"/>
        </w:rPr>
        <w:t>vitamin</w:t>
      </w:r>
      <w:r>
        <w:rPr>
          <w:spacing w:val="-1"/>
          <w:vertAlign w:val="baseline"/>
        </w:rPr>
        <w:t> </w:t>
      </w:r>
      <w:r>
        <w:rPr>
          <w:vertAlign w:val="baseline"/>
        </w:rPr>
        <w:t>A;</w:t>
      </w:r>
      <w:r>
        <w:rPr>
          <w:spacing w:val="-1"/>
          <w:vertAlign w:val="baseline"/>
        </w:rPr>
        <w:t> </w:t>
      </w:r>
      <w:r>
        <w:rPr>
          <w:vertAlign w:val="baseline"/>
        </w:rPr>
        <w:t>and</w:t>
      </w:r>
      <w:r>
        <w:rPr>
          <w:spacing w:val="-1"/>
          <w:vertAlign w:val="baseline"/>
        </w:rPr>
        <w:t> </w:t>
      </w:r>
      <w:r>
        <w:rPr>
          <w:vertAlign w:val="baseline"/>
        </w:rPr>
        <w:t>19%</w:t>
      </w:r>
      <w:r>
        <w:rPr>
          <w:spacing w:val="-2"/>
          <w:vertAlign w:val="baseline"/>
        </w:rPr>
        <w:t> </w:t>
      </w:r>
      <w:r>
        <w:rPr>
          <w:vertAlign w:val="baseline"/>
        </w:rPr>
        <w:t>were</w:t>
      </w:r>
      <w:r>
        <w:rPr>
          <w:spacing w:val="-1"/>
          <w:vertAlign w:val="baseline"/>
        </w:rPr>
        <w:t> </w:t>
      </w:r>
      <w:r>
        <w:rPr>
          <w:vertAlign w:val="baseline"/>
        </w:rPr>
        <w:t>not</w:t>
      </w:r>
      <w:r>
        <w:rPr>
          <w:spacing w:val="-1"/>
          <w:vertAlign w:val="baseline"/>
        </w:rPr>
        <w:t> </w:t>
      </w:r>
      <w:r>
        <w:rPr>
          <w:vertAlign w:val="baseline"/>
        </w:rPr>
        <w:t>deficient</w:t>
      </w:r>
      <w:r>
        <w:rPr>
          <w:spacing w:val="-1"/>
          <w:vertAlign w:val="baseline"/>
        </w:rPr>
        <w:t> </w:t>
      </w:r>
      <w:r>
        <w:rPr>
          <w:vertAlign w:val="baseline"/>
        </w:rPr>
        <w:t>in</w:t>
      </w:r>
      <w:r>
        <w:rPr>
          <w:spacing w:val="-1"/>
          <w:vertAlign w:val="baseline"/>
        </w:rPr>
        <w:t> </w:t>
      </w:r>
      <w:r>
        <w:rPr>
          <w:vertAlign w:val="baseline"/>
        </w:rPr>
        <w:t>any of the micronutrients studied.</w:t>
      </w:r>
    </w:p>
    <w:p>
      <w:pPr>
        <w:pStyle w:val="BodyText"/>
        <w:spacing w:before="1"/>
      </w:pPr>
    </w:p>
    <w:p>
      <w:pPr>
        <w:pStyle w:val="BodyText"/>
        <w:spacing w:line="480" w:lineRule="auto"/>
        <w:ind w:left="560" w:right="795"/>
        <w:jc w:val="both"/>
      </w:pPr>
      <w:r>
        <w:rPr/>
        <w:t>In Cote d‟Ivoire, Bleyere </w:t>
      </w:r>
      <w:r>
        <w:rPr>
          <w:i/>
        </w:rPr>
        <w:t>et al.,</w:t>
      </w:r>
      <w:r>
        <w:rPr/>
        <w:t>(2013) assessed iron status of 112 adolescents during pregnancy and reported that iron metabolism was highly altered and the degradation was</w:t>
      </w:r>
      <w:r>
        <w:rPr>
          <w:spacing w:val="40"/>
        </w:rPr>
        <w:t> </w:t>
      </w:r>
      <w:r>
        <w:rPr/>
        <w:t>more significant in third trimester of pregnancy (P&lt;0.05). Findings of the study showed that haemoglobin, haematocrit and mean cell volume were decreased during pregnancy and the decrease was significant in third trimester of pregnancy (P&lt;0.05). Significant decrease (P&lt;0.05) was shown in the saturation coefficient of transferrin (SCT) and serum ferritin estimation. In contrast, mean values of sTfR and TIBC were increased above the reference values and these changes were more during in the third trimester. Iron stores were progressively decreased throughout the third trimester. Furthermore, 77.7% of the</w:t>
      </w:r>
      <w:r>
        <w:rPr>
          <w:spacing w:val="80"/>
        </w:rPr>
        <w:t> </w:t>
      </w:r>
      <w:r>
        <w:rPr/>
        <w:t>adolescents</w:t>
      </w:r>
      <w:r>
        <w:rPr>
          <w:spacing w:val="21"/>
        </w:rPr>
        <w:t> </w:t>
      </w:r>
      <w:r>
        <w:rPr/>
        <w:t>were</w:t>
      </w:r>
      <w:r>
        <w:rPr>
          <w:spacing w:val="19"/>
        </w:rPr>
        <w:t> </w:t>
      </w:r>
      <w:r>
        <w:rPr/>
        <w:t>shown</w:t>
      </w:r>
      <w:r>
        <w:rPr>
          <w:spacing w:val="21"/>
        </w:rPr>
        <w:t> </w:t>
      </w:r>
      <w:r>
        <w:rPr/>
        <w:t>to</w:t>
      </w:r>
      <w:r>
        <w:rPr>
          <w:spacing w:val="20"/>
        </w:rPr>
        <w:t> </w:t>
      </w:r>
      <w:r>
        <w:rPr/>
        <w:t>be</w:t>
      </w:r>
      <w:r>
        <w:rPr>
          <w:spacing w:val="20"/>
        </w:rPr>
        <w:t> </w:t>
      </w:r>
      <w:r>
        <w:rPr/>
        <w:t>anaemic</w:t>
      </w:r>
      <w:r>
        <w:rPr>
          <w:spacing w:val="21"/>
        </w:rPr>
        <w:t> </w:t>
      </w:r>
      <w:r>
        <w:rPr/>
        <w:t>in</w:t>
      </w:r>
      <w:r>
        <w:rPr>
          <w:spacing w:val="20"/>
        </w:rPr>
        <w:t> </w:t>
      </w:r>
      <w:r>
        <w:rPr/>
        <w:t>the</w:t>
      </w:r>
      <w:r>
        <w:rPr>
          <w:spacing w:val="20"/>
        </w:rPr>
        <w:t> </w:t>
      </w:r>
      <w:r>
        <w:rPr/>
        <w:t>third</w:t>
      </w:r>
      <w:r>
        <w:rPr>
          <w:spacing w:val="20"/>
        </w:rPr>
        <w:t> </w:t>
      </w:r>
      <w:r>
        <w:rPr/>
        <w:t>trimester.</w:t>
      </w:r>
      <w:r>
        <w:rPr>
          <w:spacing w:val="20"/>
        </w:rPr>
        <w:t> </w:t>
      </w:r>
      <w:r>
        <w:rPr/>
        <w:t>Severe</w:t>
      </w:r>
      <w:r>
        <w:rPr>
          <w:spacing w:val="18"/>
        </w:rPr>
        <w:t> </w:t>
      </w:r>
      <w:r>
        <w:rPr/>
        <w:t>anaemia</w:t>
      </w:r>
      <w:r>
        <w:rPr>
          <w:spacing w:val="19"/>
        </w:rPr>
        <w:t> </w:t>
      </w:r>
      <w:r>
        <w:rPr/>
        <w:t>was</w:t>
      </w:r>
      <w:r>
        <w:rPr>
          <w:spacing w:val="24"/>
        </w:rPr>
        <w:t> </w:t>
      </w:r>
      <w:r>
        <w:rPr>
          <w:spacing w:val="-2"/>
        </w:rPr>
        <w:t>prevalent</w:t>
      </w:r>
    </w:p>
    <w:p>
      <w:pPr>
        <w:spacing w:after="0" w:line="480" w:lineRule="auto"/>
        <w:jc w:val="both"/>
        <w:sectPr>
          <w:pgSz w:w="11910" w:h="16840"/>
          <w:pgMar w:header="0" w:footer="1067" w:top="1060" w:bottom="1260" w:left="880" w:right="640"/>
        </w:sectPr>
      </w:pPr>
    </w:p>
    <w:p>
      <w:pPr>
        <w:pStyle w:val="BodyText"/>
        <w:spacing w:line="480" w:lineRule="auto" w:before="110"/>
        <w:ind w:left="560" w:right="800"/>
        <w:jc w:val="both"/>
      </w:pPr>
      <w:r>
        <w:rPr/>
        <w:t>throughout pregnancy 23.3%, 15.2% and 8% in the 1</w:t>
      </w:r>
      <w:r>
        <w:rPr>
          <w:vertAlign w:val="superscript"/>
        </w:rPr>
        <w:t>st</w:t>
      </w:r>
      <w:r>
        <w:rPr>
          <w:vertAlign w:val="baseline"/>
        </w:rPr>
        <w:t>, 2</w:t>
      </w:r>
      <w:r>
        <w:rPr>
          <w:vertAlign w:val="superscript"/>
        </w:rPr>
        <w:t>nd</w:t>
      </w:r>
      <w:r>
        <w:rPr>
          <w:vertAlign w:val="baseline"/>
        </w:rPr>
        <w:t> and 3</w:t>
      </w:r>
      <w:r>
        <w:rPr>
          <w:vertAlign w:val="superscript"/>
        </w:rPr>
        <w:t>rd</w:t>
      </w:r>
      <w:r>
        <w:rPr>
          <w:vertAlign w:val="baseline"/>
        </w:rPr>
        <w:t> trimesters respectively. They also reported few adolescents to be with normal iron status during pregnancy.</w:t>
      </w:r>
    </w:p>
    <w:p>
      <w:pPr>
        <w:pStyle w:val="BodyText"/>
      </w:pPr>
    </w:p>
    <w:p>
      <w:pPr>
        <w:pStyle w:val="BodyText"/>
        <w:spacing w:line="480" w:lineRule="auto" w:before="1"/>
        <w:ind w:left="560" w:right="797"/>
        <w:jc w:val="both"/>
      </w:pPr>
      <w:r>
        <w:rPr/>
        <w:t>A work on iron status of pregnant Seychellois women showed an increased incidence of iron deficiency.</w:t>
      </w:r>
      <w:r>
        <w:rPr>
          <w:spacing w:val="52"/>
          <w:w w:val="150"/>
        </w:rPr>
        <w:t> </w:t>
      </w:r>
      <w:r>
        <w:rPr/>
        <w:t>The</w:t>
      </w:r>
      <w:r>
        <w:rPr>
          <w:spacing w:val="79"/>
        </w:rPr>
        <w:t> </w:t>
      </w:r>
      <w:r>
        <w:rPr/>
        <w:t>criteria</w:t>
      </w:r>
      <w:r>
        <w:rPr>
          <w:spacing w:val="52"/>
          <w:w w:val="150"/>
        </w:rPr>
        <w:t> </w:t>
      </w:r>
      <w:r>
        <w:rPr/>
        <w:t>for</w:t>
      </w:r>
      <w:r>
        <w:rPr>
          <w:spacing w:val="79"/>
        </w:rPr>
        <w:t> </w:t>
      </w:r>
      <w:r>
        <w:rPr/>
        <w:t>defining</w:t>
      </w:r>
      <w:r>
        <w:rPr>
          <w:spacing w:val="50"/>
          <w:w w:val="150"/>
        </w:rPr>
        <w:t> </w:t>
      </w:r>
      <w:r>
        <w:rPr/>
        <w:t>iron</w:t>
      </w:r>
      <w:r>
        <w:rPr>
          <w:spacing w:val="50"/>
          <w:w w:val="150"/>
        </w:rPr>
        <w:t> </w:t>
      </w:r>
      <w:r>
        <w:rPr/>
        <w:t>deficiency</w:t>
      </w:r>
      <w:r>
        <w:rPr>
          <w:spacing w:val="75"/>
        </w:rPr>
        <w:t> </w:t>
      </w:r>
      <w:r>
        <w:rPr/>
        <w:t>were</w:t>
      </w:r>
      <w:r>
        <w:rPr>
          <w:spacing w:val="52"/>
          <w:w w:val="150"/>
        </w:rPr>
        <w:t> </w:t>
      </w:r>
      <w:r>
        <w:rPr/>
        <w:t>ferritin</w:t>
      </w:r>
      <w:r>
        <w:rPr>
          <w:spacing w:val="51"/>
          <w:w w:val="150"/>
        </w:rPr>
        <w:t> </w:t>
      </w:r>
      <w:r>
        <w:rPr/>
        <w:t>&lt;15ng/ml</w:t>
      </w:r>
      <w:r>
        <w:rPr>
          <w:spacing w:val="50"/>
          <w:w w:val="150"/>
        </w:rPr>
        <w:t> </w:t>
      </w:r>
      <w:r>
        <w:rPr/>
        <w:t>and</w:t>
      </w:r>
      <w:r>
        <w:rPr>
          <w:spacing w:val="51"/>
          <w:w w:val="150"/>
        </w:rPr>
        <w:t> </w:t>
      </w:r>
      <w:r>
        <w:rPr>
          <w:spacing w:val="-4"/>
        </w:rPr>
        <w:t>sTfR</w:t>
      </w:r>
    </w:p>
    <w:p>
      <w:pPr>
        <w:pStyle w:val="BodyText"/>
        <w:spacing w:line="480" w:lineRule="auto"/>
        <w:ind w:left="560" w:right="796"/>
        <w:jc w:val="both"/>
      </w:pPr>
      <w:r>
        <w:rPr/>
        <w:t>&gt;28nmol/l. IDA was present in 6% of the subjects at enrollment and 20% at delivery. Mean values of maternal serum ferritin (normal range 15-300ng/ml) was 50.2 </w:t>
      </w:r>
      <w:r>
        <w:rPr>
          <w:rFonts w:ascii="Symbol" w:hAnsi="Symbol"/>
        </w:rPr>
        <w:t></w:t>
      </w:r>
      <w:r>
        <w:rPr/>
        <w:t> 49.4 ng/ml at enrolment while at delivery, it was 39.4</w:t>
      </w:r>
      <w:r>
        <w:rPr>
          <w:rFonts w:ascii="Symbol" w:hAnsi="Symbol"/>
        </w:rPr>
        <w:t></w:t>
      </w:r>
      <w:r>
        <w:rPr/>
        <w:t>42.1ng/ml. The study also showed that parity had a negative effect on sTfR and ferritin at delivery. Mean values of sTfR (normal range 8.7- 28.1nmol/l) was 23.0</w:t>
      </w:r>
      <w:r>
        <w:rPr>
          <w:rFonts w:ascii="Symbol" w:hAnsi="Symbol"/>
        </w:rPr>
        <w:t></w:t>
      </w:r>
      <w:r>
        <w:rPr/>
        <w:t>7.0nmol/l at enrolment while at delivery, it was 36.6</w:t>
      </w:r>
      <w:r>
        <w:rPr>
          <w:rFonts w:ascii="Symbol" w:hAnsi="Symbol"/>
        </w:rPr>
        <w:t></w:t>
      </w:r>
      <w:r>
        <w:rPr/>
        <w:t>17.2 nmol/l (Duffy </w:t>
      </w:r>
      <w:r>
        <w:rPr>
          <w:i/>
        </w:rPr>
        <w:t>et al.,</w:t>
      </w:r>
      <w:r>
        <w:rPr/>
        <w:t>2009).</w:t>
      </w:r>
    </w:p>
    <w:p>
      <w:pPr>
        <w:pStyle w:val="BodyText"/>
      </w:pPr>
    </w:p>
    <w:p>
      <w:pPr>
        <w:pStyle w:val="BodyText"/>
        <w:spacing w:line="480" w:lineRule="auto"/>
        <w:ind w:left="560" w:right="796"/>
        <w:jc w:val="both"/>
      </w:pPr>
      <w:r>
        <w:rPr/>
        <w:t>Erhabor </w:t>
      </w:r>
      <w:r>
        <w:rPr>
          <w:i/>
        </w:rPr>
        <w:t>et al.,</w:t>
      </w:r>
      <w:r>
        <w:rPr/>
        <w:t>(2010) showed the effect of P. </w:t>
      </w:r>
      <w:r>
        <w:rPr>
          <w:i/>
        </w:rPr>
        <w:t>falciparum </w:t>
      </w:r>
      <w:r>
        <w:rPr/>
        <w:t>malaria on the indices of anaemia among 50 pregnant women in the Niger Delta of Nigeria. In the study, the mean haematological values was significantly lower among parasitized pregnant women compared to non parasitized pregnant subjects (</w:t>
      </w:r>
      <w:r>
        <w:rPr>
          <w:i/>
        </w:rPr>
        <w:t>p</w:t>
      </w:r>
      <w:r>
        <w:rPr/>
        <w:t>= 0.01). The incidence of anaemia among the parasitized and non parasitized pregnant subjects was 66% and 48% respectively. A positive correlation was obtained between the level of parasitaemia and anaemia (r= 0.67, </w:t>
      </w:r>
      <w:r>
        <w:rPr>
          <w:i/>
        </w:rPr>
        <w:t>p</w:t>
      </w:r>
      <w:r>
        <w:rPr/>
        <w:t>= 0.04).</w:t>
      </w:r>
    </w:p>
    <w:p>
      <w:pPr>
        <w:pStyle w:val="BodyText"/>
        <w:spacing w:line="480" w:lineRule="auto"/>
        <w:ind w:left="560" w:right="794"/>
        <w:jc w:val="both"/>
      </w:pPr>
      <w:r>
        <w:rPr/>
        <w:t>In a work in Rawa, Pinindi, Haq </w:t>
      </w:r>
      <w:r>
        <w:rPr>
          <w:i/>
        </w:rPr>
        <w:t>et al </w:t>
      </w:r>
      <w:r>
        <w:rPr/>
        <w:t>(2008) determined iron status of 100 non-anaemic pregnant females during their third trimester, 47% were found to have serum ferritin levels below the reference range where as 18% had SF levels at lower limits of the normal. Conclusively, 65% of non-anaemic females were found to have iron deficiency and with increased levels of sTfR.In determining the prevalence and severity of anaemia in 570 pregnant women at Enugu, Nigeria, (Chukudebelu and Obi, 1979) found 33.7 percent to be anaemic.By severity, 25 (50%) were mildly anaemic (haemoglobin values 9-10g/dl); 19 (38%) moderate anaemia (haemoglobin values 8.9g/dl) while 6 (12%) had severe anaemia (haemoglobin</w:t>
      </w:r>
      <w:r>
        <w:rPr>
          <w:spacing w:val="39"/>
        </w:rPr>
        <w:t> </w:t>
      </w:r>
      <w:r>
        <w:rPr/>
        <w:t>values</w:t>
      </w:r>
      <w:r>
        <w:rPr>
          <w:spacing w:val="42"/>
        </w:rPr>
        <w:t> </w:t>
      </w:r>
      <w:r>
        <w:rPr/>
        <w:t>below</w:t>
      </w:r>
      <w:r>
        <w:rPr>
          <w:spacing w:val="42"/>
        </w:rPr>
        <w:t> </w:t>
      </w:r>
      <w:r>
        <w:rPr/>
        <w:t>8g/dl).</w:t>
      </w:r>
      <w:r>
        <w:rPr>
          <w:spacing w:val="42"/>
        </w:rPr>
        <w:t> </w:t>
      </w:r>
      <w:r>
        <w:rPr/>
        <w:t>Of</w:t>
      </w:r>
      <w:r>
        <w:rPr>
          <w:spacing w:val="41"/>
        </w:rPr>
        <w:t> </w:t>
      </w:r>
      <w:r>
        <w:rPr/>
        <w:t>theanaemic</w:t>
      </w:r>
      <w:r>
        <w:rPr>
          <w:spacing w:val="41"/>
        </w:rPr>
        <w:t> </w:t>
      </w:r>
      <w:r>
        <w:rPr/>
        <w:t>subjects,</w:t>
      </w:r>
      <w:r>
        <w:rPr>
          <w:spacing w:val="43"/>
        </w:rPr>
        <w:t> </w:t>
      </w:r>
      <w:r>
        <w:rPr/>
        <w:t>14</w:t>
      </w:r>
      <w:r>
        <w:rPr>
          <w:spacing w:val="42"/>
        </w:rPr>
        <w:t> </w:t>
      </w:r>
      <w:r>
        <w:rPr/>
        <w:t>(28%)</w:t>
      </w:r>
      <w:r>
        <w:rPr>
          <w:spacing w:val="42"/>
        </w:rPr>
        <w:t> </w:t>
      </w:r>
      <w:r>
        <w:rPr/>
        <w:t>were</w:t>
      </w:r>
      <w:r>
        <w:rPr>
          <w:spacing w:val="41"/>
        </w:rPr>
        <w:t> </w:t>
      </w:r>
      <w:r>
        <w:rPr>
          <w:spacing w:val="-2"/>
        </w:rPr>
        <w:t>primigravidae</w:t>
      </w:r>
    </w:p>
    <w:p>
      <w:pPr>
        <w:spacing w:after="0" w:line="480" w:lineRule="auto"/>
        <w:jc w:val="both"/>
        <w:sectPr>
          <w:pgSz w:w="11910" w:h="16840"/>
          <w:pgMar w:header="0" w:footer="1067" w:top="1020" w:bottom="1260" w:left="880" w:right="640"/>
        </w:sectPr>
      </w:pPr>
    </w:p>
    <w:p>
      <w:pPr>
        <w:pStyle w:val="BodyText"/>
        <w:spacing w:line="480" w:lineRule="auto" w:before="70"/>
        <w:ind w:left="560" w:right="797"/>
        <w:jc w:val="both"/>
      </w:pPr>
      <w:r>
        <w:rPr/>
        <w:t>while 36 (72%) were multiparous. By gestational age, one of the subjects was anaemic in the first trimester representing 1.9% of the anaemic subjects while 20 subjects were anaemic during the second trimester and 31 were anaemic during the third trimester, representing 38.4% and 59.6% respectively.</w:t>
      </w:r>
    </w:p>
    <w:p>
      <w:pPr>
        <w:pStyle w:val="BodyText"/>
      </w:pPr>
    </w:p>
    <w:p>
      <w:pPr>
        <w:pStyle w:val="BodyText"/>
        <w:spacing w:line="480" w:lineRule="auto" w:before="1"/>
        <w:ind w:left="560" w:right="796"/>
        <w:jc w:val="both"/>
      </w:pPr>
      <w:r>
        <w:rPr/>
        <w:t>Iloabachie and Meniru, (1990) studied the incidence of anaemia among 144 pregnant women attending antenatal care in Enugu, Eastern Nigeria. The incidence of anaemia at booking was 30.6% (using haemoglobin value less than 10g/dl) and 67.7% using the World Health Organization minimum values of haemoglobin less than 11g/dl. By adopting the World Health Organization standard, mild anaemia (haemoglobin 10g/dl – 10.9g/dl) was observed</w:t>
      </w:r>
      <w:r>
        <w:rPr>
          <w:spacing w:val="80"/>
        </w:rPr>
        <w:t> </w:t>
      </w:r>
      <w:r>
        <w:rPr/>
        <w:t>in 44 subjects, moderate anaemia (8g/dl – 9.9g/dl) was 27.5%while severe anaemia (below 8g/dl) stood at 2.6%. Thirteen subjects (9%) had anaemia due to malaria. Also, in the study, there was no definite relationship between anaemia at booking and either age or parity, rather anaemia increased with gestational age. The most common aetiologic factors of anaemia</w:t>
      </w:r>
      <w:r>
        <w:rPr>
          <w:spacing w:val="80"/>
        </w:rPr>
        <w:t> </w:t>
      </w:r>
      <w:r>
        <w:rPr/>
        <w:t>were iron and folic acid deficiency.</w:t>
      </w:r>
    </w:p>
    <w:p>
      <w:pPr>
        <w:pStyle w:val="BodyText"/>
        <w:spacing w:before="1"/>
      </w:pPr>
    </w:p>
    <w:p>
      <w:pPr>
        <w:pStyle w:val="BodyText"/>
        <w:spacing w:line="480" w:lineRule="auto"/>
        <w:ind w:left="560" w:right="796"/>
        <w:jc w:val="both"/>
      </w:pPr>
      <w:r>
        <w:rPr/>
        <w:t>The study by Saadiya, </w:t>
      </w:r>
      <w:r>
        <w:rPr>
          <w:i/>
        </w:rPr>
        <w:t>et al.,</w:t>
      </w:r>
      <w:r>
        <w:rPr/>
        <w:t>(1990) in Karachi, Pakistan on 709 pregnant women aged 16-45 years found 17% of the women to be anaemic. Anaemia was defined as haemoglobin concentration below 10g/dl. Thirty six out of 232 primigravidae (16%) were anaemic while 63 out of 412 gravidae 2-6 (16%) were anaemic.</w:t>
      </w:r>
      <w:r>
        <w:rPr>
          <w:spacing w:val="40"/>
        </w:rPr>
        <w:t> </w:t>
      </w:r>
      <w:r>
        <w:rPr/>
        <w:t>Anaemia was common among gravidae 7 and above of whom 23 out of 61 (38%) were anaemic.</w:t>
      </w:r>
      <w:r>
        <w:rPr>
          <w:spacing w:val="40"/>
        </w:rPr>
        <w:t> </w:t>
      </w:r>
      <w:r>
        <w:rPr/>
        <w:t>Anaemia was more in the third trimester (80 out of 345 [23%]) than any other gestational age.</w:t>
      </w:r>
    </w:p>
    <w:p>
      <w:pPr>
        <w:pStyle w:val="BodyText"/>
        <w:spacing w:before="3"/>
      </w:pPr>
    </w:p>
    <w:p>
      <w:pPr>
        <w:pStyle w:val="BodyText"/>
        <w:spacing w:line="480" w:lineRule="auto"/>
        <w:ind w:left="560" w:right="794"/>
        <w:jc w:val="both"/>
      </w:pPr>
      <w:r>
        <w:rPr/>
        <w:t>In awork on 533 pregnant women in Sagamuand using packed cell volume (PCV</w:t>
      </w:r>
      <w:r>
        <w:rPr>
          <w:rFonts w:ascii="Symbol" w:hAnsi="Symbol"/>
        </w:rPr>
        <w:t></w:t>
      </w:r>
      <w:r>
        <w:rPr/>
        <w:t> 30%) as the criterium for</w:t>
      </w:r>
      <w:r>
        <w:rPr>
          <w:spacing w:val="-1"/>
        </w:rPr>
        <w:t> </w:t>
      </w:r>
      <w:r>
        <w:rPr/>
        <w:t>establishing anaemia,(Olodeoku, 1991) found</w:t>
      </w:r>
      <w:r>
        <w:rPr>
          <w:spacing w:val="-1"/>
        </w:rPr>
        <w:t> </w:t>
      </w:r>
      <w:r>
        <w:rPr/>
        <w:t>29.1%</w:t>
      </w:r>
      <w:r>
        <w:rPr>
          <w:spacing w:val="-1"/>
        </w:rPr>
        <w:t> </w:t>
      </w:r>
      <w:r>
        <w:rPr/>
        <w:t>of the pregnant women to be anaemic. In classifying the anaemia by severity, majority of the anaemic subjects 124 (23.3</w:t>
      </w:r>
      <w:r>
        <w:rPr>
          <w:spacing w:val="47"/>
        </w:rPr>
        <w:t> </w:t>
      </w:r>
      <w:r>
        <w:rPr/>
        <w:t>%)</w:t>
      </w:r>
      <w:r>
        <w:rPr>
          <w:spacing w:val="49"/>
        </w:rPr>
        <w:t> </w:t>
      </w:r>
      <w:r>
        <w:rPr/>
        <w:t>were</w:t>
      </w:r>
      <w:r>
        <w:rPr>
          <w:spacing w:val="49"/>
        </w:rPr>
        <w:t> </w:t>
      </w:r>
      <w:r>
        <w:rPr/>
        <w:t>mildly</w:t>
      </w:r>
      <w:r>
        <w:rPr>
          <w:spacing w:val="45"/>
        </w:rPr>
        <w:t> </w:t>
      </w:r>
      <w:r>
        <w:rPr/>
        <w:t>anaemic</w:t>
      </w:r>
      <w:r>
        <w:rPr>
          <w:spacing w:val="49"/>
        </w:rPr>
        <w:t> </w:t>
      </w:r>
      <w:r>
        <w:rPr/>
        <w:t>(packed</w:t>
      </w:r>
      <w:r>
        <w:rPr>
          <w:spacing w:val="51"/>
        </w:rPr>
        <w:t> </w:t>
      </w:r>
      <w:r>
        <w:rPr/>
        <w:t>cell</w:t>
      </w:r>
      <w:r>
        <w:rPr>
          <w:spacing w:val="52"/>
        </w:rPr>
        <w:t> </w:t>
      </w:r>
      <w:r>
        <w:rPr/>
        <w:t>volume</w:t>
      </w:r>
      <w:r>
        <w:rPr>
          <w:spacing w:val="49"/>
        </w:rPr>
        <w:t> </w:t>
      </w:r>
      <w:r>
        <w:rPr/>
        <w:t>27–30%).</w:t>
      </w:r>
      <w:r>
        <w:rPr>
          <w:spacing w:val="50"/>
        </w:rPr>
        <w:t> </w:t>
      </w:r>
      <w:r>
        <w:rPr/>
        <w:t>Twenty</w:t>
      </w:r>
      <w:r>
        <w:rPr>
          <w:spacing w:val="47"/>
        </w:rPr>
        <w:t> </w:t>
      </w:r>
      <w:r>
        <w:rPr/>
        <w:t>nine</w:t>
      </w:r>
      <w:r>
        <w:rPr>
          <w:spacing w:val="49"/>
        </w:rPr>
        <w:t> </w:t>
      </w:r>
      <w:r>
        <w:rPr/>
        <w:t>(5.4%)</w:t>
      </w:r>
      <w:r>
        <w:rPr>
          <w:spacing w:val="50"/>
        </w:rPr>
        <w:t> </w:t>
      </w:r>
      <w:r>
        <w:rPr>
          <w:spacing w:val="-4"/>
        </w:rPr>
        <w:t>were</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moderately anaemic (packed cell volume 19 – 26%) while 2 (0.4 %) were severely anaemic (packed cell volume &lt;19 %).</w:t>
      </w:r>
      <w:r>
        <w:rPr>
          <w:spacing w:val="40"/>
        </w:rPr>
        <w:t> </w:t>
      </w:r>
      <w:r>
        <w:rPr/>
        <w:t>On parity, 42 (30.2%) of 139 primiparous women were anaemic. He indicated that the percentage of patients that were anaemic did not change appreciably with increasing parity</w:t>
      </w:r>
      <w:r>
        <w:rPr>
          <w:spacing w:val="-2"/>
        </w:rPr>
        <w:t> </w:t>
      </w:r>
      <w:r>
        <w:rPr/>
        <w:t>except in women para 5 and above. A study</w:t>
      </w:r>
      <w:r>
        <w:rPr>
          <w:spacing w:val="-2"/>
        </w:rPr>
        <w:t> </w:t>
      </w:r>
      <w:r>
        <w:rPr/>
        <w:t>on anaemia in pregnancy in Aba, (Aluka </w:t>
      </w:r>
      <w:r>
        <w:rPr>
          <w:i/>
        </w:rPr>
        <w:t>et al.,</w:t>
      </w:r>
      <w:r>
        <w:rPr/>
        <w:t>2001) showed that 300 (29%) of the 1,034 pregnant women were anaemic. Forty-three percent of the anaemic subjects were in the ages of 26–30 years. Mild anaemia occurred in 82 (97.6%) of the anaemic subjects while moderate anaemia was recorded in 2 (2.4%). There was no case of severe anaemia.</w:t>
      </w:r>
      <w:r>
        <w:rPr>
          <w:spacing w:val="40"/>
        </w:rPr>
        <w:t> </w:t>
      </w:r>
      <w:r>
        <w:rPr/>
        <w:t>Out of the anaemic subjects, 51.3% presented anaemia in the second trimester, 44.6% in the third trimester while 4.1% presented in the first trimester. Primigravidae women (28.7%) had the highest prevalence followed by those who had 3 (19%) deliveries.</w:t>
      </w:r>
    </w:p>
    <w:p>
      <w:pPr>
        <w:pStyle w:val="Heading2"/>
        <w:numPr>
          <w:ilvl w:val="2"/>
          <w:numId w:val="7"/>
        </w:numPr>
        <w:tabs>
          <w:tab w:pos="1280" w:val="left" w:leader="none"/>
        </w:tabs>
        <w:spacing w:line="240" w:lineRule="auto" w:before="237" w:after="0"/>
        <w:ind w:left="1280" w:right="0" w:hanging="720"/>
        <w:jc w:val="left"/>
      </w:pPr>
      <w:r>
        <w:rPr/>
        <w:t>MODULATIONBETWEEN</w:t>
      </w:r>
      <w:r>
        <w:rPr>
          <w:spacing w:val="-2"/>
        </w:rPr>
        <w:t> </w:t>
      </w:r>
      <w:r>
        <w:rPr/>
        <w:t>CYTOKINE</w:t>
      </w:r>
      <w:r>
        <w:rPr>
          <w:spacing w:val="-1"/>
        </w:rPr>
        <w:t> </w:t>
      </w:r>
      <w:r>
        <w:rPr/>
        <w:t>AND</w:t>
      </w:r>
      <w:r>
        <w:rPr>
          <w:spacing w:val="-1"/>
        </w:rPr>
        <w:t> </w:t>
      </w:r>
      <w:r>
        <w:rPr>
          <w:spacing w:val="-4"/>
        </w:rPr>
        <w:t>IRON</w:t>
      </w:r>
    </w:p>
    <w:p>
      <w:pPr>
        <w:pStyle w:val="BodyText"/>
        <w:spacing w:line="480" w:lineRule="auto" w:before="271"/>
        <w:ind w:left="560" w:right="793"/>
        <w:jc w:val="both"/>
      </w:pPr>
      <w:r>
        <w:rPr/>
        <w:t>Immunomodulation can be defined as a biologic response whereby some modifying substances affect the function of immune system. The modifying substance, called the immunomodulator, may either enhance or suppress the immune function (Venugopal, 2007). It is possible that cytokines and iron may suppress or enhance the expression of each other thus</w:t>
      </w:r>
      <w:r>
        <w:rPr>
          <w:spacing w:val="-1"/>
        </w:rPr>
        <w:t> </w:t>
      </w:r>
      <w:r>
        <w:rPr/>
        <w:t>modulating</w:t>
      </w:r>
      <w:r>
        <w:rPr>
          <w:spacing w:val="-4"/>
        </w:rPr>
        <w:t> </w:t>
      </w:r>
      <w:r>
        <w:rPr/>
        <w:t>the</w:t>
      </w:r>
      <w:r>
        <w:rPr>
          <w:spacing w:val="-2"/>
        </w:rPr>
        <w:t> </w:t>
      </w:r>
      <w:r>
        <w:rPr/>
        <w:t>immune</w:t>
      </w:r>
      <w:r>
        <w:rPr>
          <w:spacing w:val="-2"/>
        </w:rPr>
        <w:t> </w:t>
      </w:r>
      <w:r>
        <w:rPr/>
        <w:t>system.</w:t>
      </w:r>
      <w:r>
        <w:rPr>
          <w:spacing w:val="-1"/>
        </w:rPr>
        <w:t> </w:t>
      </w:r>
      <w:r>
        <w:rPr/>
        <w:t>Cytokinemay</w:t>
      </w:r>
      <w:r>
        <w:rPr>
          <w:spacing w:val="-6"/>
        </w:rPr>
        <w:t> </w:t>
      </w:r>
      <w:r>
        <w:rPr/>
        <w:t>suppress</w:t>
      </w:r>
      <w:r>
        <w:rPr>
          <w:spacing w:val="-1"/>
        </w:rPr>
        <w:t> </w:t>
      </w:r>
      <w:r>
        <w:rPr/>
        <w:t>or</w:t>
      </w:r>
      <w:r>
        <w:rPr>
          <w:spacing w:val="-2"/>
        </w:rPr>
        <w:t> </w:t>
      </w:r>
      <w:r>
        <w:rPr/>
        <w:t>enhance</w:t>
      </w:r>
      <w:r>
        <w:rPr>
          <w:spacing w:val="-1"/>
        </w:rPr>
        <w:t> </w:t>
      </w:r>
      <w:r>
        <w:rPr/>
        <w:t>the</w:t>
      </w:r>
      <w:r>
        <w:rPr>
          <w:spacing w:val="-2"/>
        </w:rPr>
        <w:t> </w:t>
      </w:r>
      <w:r>
        <w:rPr/>
        <w:t>level</w:t>
      </w:r>
      <w:r>
        <w:rPr>
          <w:spacing w:val="-1"/>
        </w:rPr>
        <w:t> </w:t>
      </w:r>
      <w:r>
        <w:rPr/>
        <w:t>of</w:t>
      </w:r>
      <w:r>
        <w:rPr>
          <w:spacing w:val="-1"/>
        </w:rPr>
        <w:t> </w:t>
      </w:r>
      <w:r>
        <w:rPr/>
        <w:t>ironin</w:t>
      </w:r>
      <w:r>
        <w:rPr>
          <w:spacing w:val="-1"/>
        </w:rPr>
        <w:t> </w:t>
      </w:r>
      <w:r>
        <w:rPr/>
        <w:t>the bodythrough various pathways that effect change in iron homeostasis and metabolism. These mechanisms involve the processes of absorption, transport,storage andrelease of iron bythe macrophages and are</w:t>
      </w:r>
      <w:r>
        <w:rPr>
          <w:spacing w:val="-1"/>
        </w:rPr>
        <w:t> </w:t>
      </w:r>
      <w:r>
        <w:rPr/>
        <w:t>as follows: IFN</w:t>
      </w:r>
      <w:r>
        <w:rPr>
          <w:rFonts w:ascii="Symbol" w:hAnsi="Symbol"/>
        </w:rPr>
        <w:t></w:t>
      </w:r>
      <w:r>
        <w:rPr/>
        <w:t>increases the</w:t>
      </w:r>
      <w:r>
        <w:rPr>
          <w:spacing w:val="-1"/>
        </w:rPr>
        <w:t> </w:t>
      </w:r>
      <w:r>
        <w:rPr/>
        <w:t>expression of divalent metal transporter-1 in the gut enterocytes and macrophages and stimulate the uptake of ferrous iron (Fe</w:t>
      </w:r>
      <w:r>
        <w:rPr>
          <w:vertAlign w:val="superscript"/>
        </w:rPr>
        <w:t>2+</w:t>
      </w:r>
      <w:r>
        <w:rPr>
          <w:vertAlign w:val="baseline"/>
        </w:rPr>
        <w:t>).</w:t>
      </w:r>
      <w:r>
        <w:rPr>
          <w:spacing w:val="80"/>
          <w:vertAlign w:val="baseline"/>
        </w:rPr>
        <w:t> </w:t>
      </w:r>
      <w:r>
        <w:rPr>
          <w:vertAlign w:val="baseline"/>
        </w:rPr>
        <w:t>Again, IFN</w:t>
      </w:r>
      <w:r>
        <w:rPr>
          <w:rFonts w:ascii="Symbol" w:hAnsi="Symbol"/>
          <w:vertAlign w:val="baseline"/>
        </w:rPr>
        <w:t></w:t>
      </w:r>
      <w:r>
        <w:rPr>
          <w:vertAlign w:val="baseline"/>
        </w:rPr>
        <w:t>, TNF</w:t>
      </w:r>
      <w:r>
        <w:rPr>
          <w:rFonts w:ascii="Symbol" w:hAnsi="Symbol"/>
          <w:vertAlign w:val="baseline"/>
        </w:rPr>
        <w:t></w:t>
      </w:r>
      <w:r>
        <w:rPr>
          <w:vertAlign w:val="baseline"/>
        </w:rPr>
        <w:t>, IL-1 and IL-6 stimulate hepatic synthesis of hepcidin, which inhibits duodenal absorption of iron(Hillman and Ault, 1995; Ludwiczek </w:t>
      </w:r>
      <w:r>
        <w:rPr>
          <w:i/>
          <w:vertAlign w:val="baseline"/>
        </w:rPr>
        <w:t>et al.,</w:t>
      </w:r>
      <w:r>
        <w:rPr>
          <w:vertAlign w:val="baseline"/>
        </w:rPr>
        <w:t>2003; Ganz, 2003).Also, proinflammatoy stimuli - IFNγ and lipopolysaccharides (LPS), increases the uptake</w:t>
      </w:r>
      <w:r>
        <w:rPr>
          <w:spacing w:val="25"/>
          <w:vertAlign w:val="baseline"/>
        </w:rPr>
        <w:t> </w:t>
      </w:r>
      <w:r>
        <w:rPr>
          <w:vertAlign w:val="baseline"/>
        </w:rPr>
        <w:t>of</w:t>
      </w:r>
      <w:r>
        <w:rPr>
          <w:spacing w:val="28"/>
          <w:vertAlign w:val="baseline"/>
        </w:rPr>
        <w:t> </w:t>
      </w:r>
      <w:r>
        <w:rPr>
          <w:vertAlign w:val="baseline"/>
        </w:rPr>
        <w:t>non-transferrin</w:t>
      </w:r>
      <w:r>
        <w:rPr>
          <w:spacing w:val="28"/>
          <w:vertAlign w:val="baseline"/>
        </w:rPr>
        <w:t> </w:t>
      </w:r>
      <w:r>
        <w:rPr>
          <w:vertAlign w:val="baseline"/>
        </w:rPr>
        <w:t>bound</w:t>
      </w:r>
      <w:r>
        <w:rPr>
          <w:spacing w:val="28"/>
          <w:vertAlign w:val="baseline"/>
        </w:rPr>
        <w:t> </w:t>
      </w:r>
      <w:r>
        <w:rPr>
          <w:vertAlign w:val="baseline"/>
        </w:rPr>
        <w:t>iron</w:t>
      </w:r>
      <w:r>
        <w:rPr>
          <w:spacing w:val="28"/>
          <w:vertAlign w:val="baseline"/>
        </w:rPr>
        <w:t> </w:t>
      </w:r>
      <w:r>
        <w:rPr>
          <w:vertAlign w:val="baseline"/>
        </w:rPr>
        <w:t>(NTBI)</w:t>
      </w:r>
      <w:r>
        <w:rPr>
          <w:spacing w:val="28"/>
          <w:vertAlign w:val="baseline"/>
        </w:rPr>
        <w:t> </w:t>
      </w:r>
      <w:r>
        <w:rPr>
          <w:vertAlign w:val="baseline"/>
        </w:rPr>
        <w:t>via</w:t>
      </w:r>
      <w:r>
        <w:rPr>
          <w:spacing w:val="27"/>
          <w:vertAlign w:val="baseline"/>
        </w:rPr>
        <w:t> </w:t>
      </w:r>
      <w:r>
        <w:rPr>
          <w:vertAlign w:val="baseline"/>
        </w:rPr>
        <w:t>stimulation</w:t>
      </w:r>
      <w:r>
        <w:rPr>
          <w:spacing w:val="30"/>
          <w:vertAlign w:val="baseline"/>
        </w:rPr>
        <w:t> </w:t>
      </w:r>
      <w:r>
        <w:rPr>
          <w:vertAlign w:val="baseline"/>
        </w:rPr>
        <w:t>of</w:t>
      </w:r>
      <w:r>
        <w:rPr>
          <w:spacing w:val="27"/>
          <w:vertAlign w:val="baseline"/>
        </w:rPr>
        <w:t> </w:t>
      </w:r>
      <w:r>
        <w:rPr>
          <w:vertAlign w:val="baseline"/>
        </w:rPr>
        <w:t>divalent</w:t>
      </w:r>
      <w:r>
        <w:rPr>
          <w:spacing w:val="31"/>
          <w:vertAlign w:val="baseline"/>
        </w:rPr>
        <w:t> </w:t>
      </w:r>
      <w:r>
        <w:rPr>
          <w:vertAlign w:val="baseline"/>
        </w:rPr>
        <w:t>metal</w:t>
      </w:r>
      <w:r>
        <w:rPr>
          <w:spacing w:val="29"/>
          <w:vertAlign w:val="baseline"/>
        </w:rPr>
        <w:t> </w:t>
      </w:r>
      <w:r>
        <w:rPr>
          <w:vertAlign w:val="baseline"/>
        </w:rPr>
        <w:t>transporter-</w:t>
      </w:r>
      <w:r>
        <w:rPr>
          <w:spacing w:val="-10"/>
          <w:vertAlign w:val="baseline"/>
        </w:rPr>
        <w:t>.</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NTBI induces the retention of iron within monocytes by down regulating the synthesisof ferroportin; a process that is also affected by Hepcidin. In addition, IL-10 stimulates TfR- mediated iron uptake by activated monocytes; the effect in time leads to hypoferraemia and haemosiderosis of the macrophage. Furthermore, TNF</w:t>
      </w:r>
      <w:r>
        <w:rPr>
          <w:rFonts w:ascii="Symbol" w:hAnsi="Symbol"/>
        </w:rPr>
        <w:t></w:t>
      </w:r>
      <w:r>
        <w:rPr/>
        <w:t>, IL-1, IL-6 and IL-10 induce the synthesis, storage and retention of ferritin within macrophages. Again, IL-1 induces the neutrophils to release lactoferrin which returns its bound iron to macrophages instead of the erythrons (Hillman and Ault, 1995; Ludwiczek </w:t>
      </w:r>
      <w:r>
        <w:rPr>
          <w:i/>
        </w:rPr>
        <w:t>et al.,</w:t>
      </w:r>
      <w:r>
        <w:rPr/>
        <w:t>2003</w:t>
      </w:r>
      <w:r>
        <w:rPr>
          <w:i/>
        </w:rPr>
        <w:t>)</w:t>
      </w:r>
      <w:r>
        <w:rPr/>
        <w:t>.</w:t>
      </w:r>
    </w:p>
    <w:p>
      <w:pPr>
        <w:pStyle w:val="BodyText"/>
        <w:spacing w:before="1"/>
      </w:pPr>
    </w:p>
    <w:p>
      <w:pPr>
        <w:pStyle w:val="BodyText"/>
        <w:spacing w:line="480" w:lineRule="auto"/>
        <w:ind w:left="560" w:right="793"/>
        <w:jc w:val="both"/>
      </w:pPr>
      <w:r>
        <w:rPr/>
        <w:t>Similarly, iron has been reported to modulate cytokine secretion (Foster </w:t>
      </w:r>
      <w:r>
        <w:rPr>
          <w:i/>
        </w:rPr>
        <w:t>et al., </w:t>
      </w:r>
      <w:r>
        <w:rPr/>
        <w:t>2000). It is reported that iron</w:t>
      </w:r>
      <w:r>
        <w:rPr>
          <w:spacing w:val="-1"/>
        </w:rPr>
        <w:t> </w:t>
      </w:r>
      <w:r>
        <w:rPr/>
        <w:t>directs immune</w:t>
      </w:r>
      <w:r>
        <w:rPr>
          <w:spacing w:val="-1"/>
        </w:rPr>
        <w:t> </w:t>
      </w:r>
      <w:r>
        <w:rPr/>
        <w:t>response</w:t>
      </w:r>
      <w:r>
        <w:rPr>
          <w:spacing w:val="-1"/>
        </w:rPr>
        <w:t> </w:t>
      </w:r>
      <w:r>
        <w:rPr/>
        <w:t>towards T</w:t>
      </w:r>
      <w:r>
        <w:rPr>
          <w:vertAlign w:val="subscript"/>
        </w:rPr>
        <w:t>H</w:t>
      </w:r>
      <w:r>
        <w:rPr>
          <w:vertAlign w:val="baseline"/>
        </w:rPr>
        <w:t>2 response; a pattern that is believed to be unfavourable for the killing of many intracellular pathogens (Weiss </w:t>
      </w:r>
      <w:r>
        <w:rPr>
          <w:i/>
          <w:vertAlign w:val="baseline"/>
        </w:rPr>
        <w:t>et al.,</w:t>
      </w:r>
      <w:r>
        <w:rPr>
          <w:vertAlign w:val="baseline"/>
        </w:rPr>
        <w:t>1997). In addition, iron chelation could increase the T</w:t>
      </w:r>
      <w:r>
        <w:rPr>
          <w:vertAlign w:val="subscript"/>
        </w:rPr>
        <w:t>H</w:t>
      </w:r>
      <w:r>
        <w:rPr>
          <w:vertAlign w:val="baseline"/>
        </w:rPr>
        <w:t>1 mediated immune response in </w:t>
      </w:r>
      <w:r>
        <w:rPr>
          <w:i/>
          <w:vertAlign w:val="baseline"/>
        </w:rPr>
        <w:t>P.falciparum </w:t>
      </w:r>
      <w:r>
        <w:rPr>
          <w:vertAlign w:val="baseline"/>
        </w:rPr>
        <w:t>infection (Weiss </w:t>
      </w:r>
      <w:r>
        <w:rPr>
          <w:i/>
          <w:vertAlign w:val="baseline"/>
        </w:rPr>
        <w:t>et al.,</w:t>
      </w:r>
      <w:r>
        <w:rPr>
          <w:vertAlign w:val="baseline"/>
        </w:rPr>
        <w:t>1997); an effect that is associated with more efficient clearance of the parasite (Gordeuk</w:t>
      </w:r>
      <w:r>
        <w:rPr>
          <w:i/>
          <w:vertAlign w:val="baseline"/>
        </w:rPr>
        <w:t>et al.,</w:t>
      </w:r>
      <w:r>
        <w:rPr>
          <w:vertAlign w:val="baseline"/>
        </w:rPr>
        <w:t>1992).</w:t>
      </w:r>
    </w:p>
    <w:p>
      <w:pPr>
        <w:pStyle w:val="Heading2"/>
        <w:numPr>
          <w:ilvl w:val="2"/>
          <w:numId w:val="7"/>
        </w:numPr>
        <w:tabs>
          <w:tab w:pos="1040" w:val="left" w:leader="none"/>
        </w:tabs>
        <w:spacing w:line="240" w:lineRule="auto" w:before="236" w:after="0"/>
        <w:ind w:left="1040" w:right="0" w:hanging="480"/>
        <w:jc w:val="both"/>
      </w:pPr>
      <w:r>
        <w:rPr/>
        <w:t>INTERACTIONS</w:t>
      </w:r>
      <w:r>
        <w:rPr>
          <w:spacing w:val="-3"/>
        </w:rPr>
        <w:t> </w:t>
      </w:r>
      <w:r>
        <w:rPr/>
        <w:t>OF ACUTE</w:t>
      </w:r>
      <w:r>
        <w:rPr>
          <w:spacing w:val="-1"/>
        </w:rPr>
        <w:t> </w:t>
      </w:r>
      <w:r>
        <w:rPr/>
        <w:t>PHASE REACTANT,</w:t>
      </w:r>
      <w:r>
        <w:rPr>
          <w:spacing w:val="-1"/>
        </w:rPr>
        <w:t> </w:t>
      </w:r>
      <w:r>
        <w:rPr/>
        <w:t>CYTOKINE</w:t>
      </w:r>
      <w:r>
        <w:rPr>
          <w:spacing w:val="-1"/>
        </w:rPr>
        <w:t> </w:t>
      </w:r>
      <w:r>
        <w:rPr/>
        <w:t>AND </w:t>
      </w:r>
      <w:r>
        <w:rPr>
          <w:spacing w:val="-4"/>
        </w:rPr>
        <w:t>IRON</w:t>
      </w:r>
    </w:p>
    <w:p>
      <w:pPr>
        <w:pStyle w:val="BodyText"/>
        <w:spacing w:line="480" w:lineRule="auto" w:before="271"/>
        <w:ind w:left="560" w:right="793"/>
        <w:jc w:val="both"/>
      </w:pPr>
      <w:r>
        <w:rPr/>
        <w:t>Acute phase response involves a large number of non-specific, physiological and metabolic changes that occur within hours after an inflammatory stimulus. The stimuli could be bacterial, viral andmyocardial infections, trauma and cancers (Ceciliani </w:t>
      </w:r>
      <w:r>
        <w:rPr>
          <w:i/>
        </w:rPr>
        <w:t>et al., </w:t>
      </w:r>
      <w:r>
        <w:rPr/>
        <w:t>2002; Venugopal, 2007). During acute phase responses, some proteins may be synthesized by the hepatocytes and their concentrations could be upregulated beyond the normal plasma level (Warren, 2010). Such proteins are known as AcutePhase Proteins (APP). Theseinclude cardiovascular reactive protein (C-RP), serum amyloid P component (SAA), ferritin, α-1- antichymotrypsin (ACT), α-1 acid glycoprotein (AGP), fibrinogen, haptoglobin, mannose binding protein and hepcidin (WHO, 2004; Venugopal, 2007). The acute phase response is usually transient and its main purpose is to prevent further damage to the tissue affected and to</w:t>
      </w:r>
      <w:r>
        <w:rPr>
          <w:spacing w:val="29"/>
        </w:rPr>
        <w:t> </w:t>
      </w:r>
      <w:r>
        <w:rPr/>
        <w:t>remove</w:t>
      </w:r>
      <w:r>
        <w:rPr>
          <w:spacing w:val="29"/>
        </w:rPr>
        <w:t> </w:t>
      </w:r>
      <w:r>
        <w:rPr/>
        <w:t>harmful</w:t>
      </w:r>
      <w:r>
        <w:rPr>
          <w:spacing w:val="29"/>
        </w:rPr>
        <w:t> </w:t>
      </w:r>
      <w:r>
        <w:rPr/>
        <w:t>molecules</w:t>
      </w:r>
      <w:r>
        <w:rPr>
          <w:spacing w:val="29"/>
        </w:rPr>
        <w:t> </w:t>
      </w:r>
      <w:r>
        <w:rPr/>
        <w:t>(Northrop-Clewes,</w:t>
      </w:r>
      <w:r>
        <w:rPr>
          <w:spacing w:val="31"/>
        </w:rPr>
        <w:t> </w:t>
      </w:r>
      <w:r>
        <w:rPr/>
        <w:t>2008).</w:t>
      </w:r>
      <w:r>
        <w:rPr>
          <w:spacing w:val="29"/>
        </w:rPr>
        <w:t> </w:t>
      </w:r>
      <w:r>
        <w:rPr/>
        <w:t>Their</w:t>
      </w:r>
      <w:r>
        <w:rPr>
          <w:spacing w:val="28"/>
        </w:rPr>
        <w:t> </w:t>
      </w:r>
      <w:r>
        <w:rPr/>
        <w:t>levels</w:t>
      </w:r>
      <w:r>
        <w:rPr>
          <w:spacing w:val="30"/>
        </w:rPr>
        <w:t> </w:t>
      </w:r>
      <w:r>
        <w:rPr/>
        <w:t>provide</w:t>
      </w:r>
      <w:r>
        <w:rPr>
          <w:spacing w:val="28"/>
        </w:rPr>
        <w:t> </w:t>
      </w:r>
      <w:r>
        <w:rPr/>
        <w:t>an</w:t>
      </w:r>
      <w:r>
        <w:rPr>
          <w:spacing w:val="29"/>
        </w:rPr>
        <w:t> </w:t>
      </w:r>
      <w:r>
        <w:rPr/>
        <w:t>idea</w:t>
      </w:r>
      <w:r>
        <w:rPr>
          <w:spacing w:val="28"/>
        </w:rPr>
        <w:t> </w:t>
      </w:r>
      <w:r>
        <w:rPr>
          <w:spacing w:val="-2"/>
        </w:rPr>
        <w:t>about</w:t>
      </w:r>
    </w:p>
    <w:p>
      <w:pPr>
        <w:spacing w:after="0" w:line="480" w:lineRule="auto"/>
        <w:jc w:val="both"/>
        <w:sectPr>
          <w:pgSz w:w="11910" w:h="16840"/>
          <w:pgMar w:header="0" w:footer="1067" w:top="1060" w:bottom="1260" w:left="880" w:right="640"/>
        </w:sectPr>
      </w:pPr>
    </w:p>
    <w:p>
      <w:pPr>
        <w:pStyle w:val="BodyText"/>
        <w:spacing w:line="480" w:lineRule="auto" w:before="70"/>
        <w:ind w:left="560" w:right="796"/>
        <w:jc w:val="both"/>
      </w:pPr>
      <w:r>
        <w:rPr/>
        <w:t>the extent or degree of inflammatory response (Venugopal, 2007). An explanation has been given on the synthesis of acute phase reactants as it is thought to be the result of interactions of cytokineincluding IL-1, TNFα, IL-6 and sometimes with iron. For example,Interleukin-1 (IL - 1) stimulates the synthesis of ferritin. This is trapped by apoferritin in the phagocytic cells leading to adequate or high amount of iron in the macrophages, or in the store with a corresponding reduction of iron to be transported to bone marrow (Fairbanks and Beutler</w:t>
      </w:r>
      <w:r>
        <w:rPr>
          <w:i/>
        </w:rPr>
        <w:t>,</w:t>
      </w:r>
      <w:r>
        <w:rPr/>
        <w:t>2011; Cazzola, </w:t>
      </w:r>
      <w:r>
        <w:rPr>
          <w:i/>
        </w:rPr>
        <w:t>et al., </w:t>
      </w:r>
      <w:r>
        <w:rPr/>
        <w:t>1997; Pippard and Hoffbrand, 2001; Mark, 2002). In</w:t>
      </w:r>
      <w:r>
        <w:rPr>
          <w:spacing w:val="40"/>
        </w:rPr>
        <w:t> </w:t>
      </w:r>
      <w:r>
        <w:rPr/>
        <w:t>HIV/AIDS patients also, ferritin synthesis is elevated. In this condition, the presence of the virus elicits reactive haemophagocytosis. Reactive haemophagocytosis is a disorder caused</w:t>
      </w:r>
      <w:r>
        <w:rPr>
          <w:spacing w:val="40"/>
        </w:rPr>
        <w:t> </w:t>
      </w:r>
      <w:r>
        <w:rPr/>
        <w:t>by inappropriate activation of the mononuclear phagocytes characterized by benign and generalized proliferation of histiocytes with the release of cytokines (Cline, 1994; Imashuku, 1997).Another</w:t>
      </w:r>
      <w:r>
        <w:rPr>
          <w:spacing w:val="-3"/>
        </w:rPr>
        <w:t> </w:t>
      </w:r>
      <w:r>
        <w:rPr/>
        <w:t>classical</w:t>
      </w:r>
      <w:r>
        <w:rPr>
          <w:spacing w:val="-2"/>
        </w:rPr>
        <w:t> </w:t>
      </w:r>
      <w:r>
        <w:rPr/>
        <w:t>example</w:t>
      </w:r>
      <w:r>
        <w:rPr>
          <w:spacing w:val="-3"/>
        </w:rPr>
        <w:t> </w:t>
      </w:r>
      <w:r>
        <w:rPr/>
        <w:t>of</w:t>
      </w:r>
      <w:r>
        <w:rPr>
          <w:spacing w:val="-3"/>
        </w:rPr>
        <w:t> </w:t>
      </w:r>
      <w:r>
        <w:rPr/>
        <w:t>the</w:t>
      </w:r>
      <w:r>
        <w:rPr>
          <w:spacing w:val="-3"/>
        </w:rPr>
        <w:t> </w:t>
      </w:r>
      <w:r>
        <w:rPr/>
        <w:t>interactions</w:t>
      </w:r>
      <w:r>
        <w:rPr>
          <w:spacing w:val="-2"/>
        </w:rPr>
        <w:t> </w:t>
      </w:r>
      <w:r>
        <w:rPr/>
        <w:t>of</w:t>
      </w:r>
      <w:r>
        <w:rPr>
          <w:spacing w:val="-3"/>
        </w:rPr>
        <w:t> </w:t>
      </w:r>
      <w:r>
        <w:rPr/>
        <w:t>acute</w:t>
      </w:r>
      <w:r>
        <w:rPr>
          <w:spacing w:val="-3"/>
        </w:rPr>
        <w:t> </w:t>
      </w:r>
      <w:r>
        <w:rPr/>
        <w:t>phase</w:t>
      </w:r>
      <w:r>
        <w:rPr>
          <w:spacing w:val="-3"/>
        </w:rPr>
        <w:t> </w:t>
      </w:r>
      <w:r>
        <w:rPr/>
        <w:t>proteins, cytokine and</w:t>
      </w:r>
      <w:r>
        <w:rPr>
          <w:spacing w:val="-2"/>
        </w:rPr>
        <w:t> </w:t>
      </w:r>
      <w:r>
        <w:rPr/>
        <w:t>iron is</w:t>
      </w:r>
      <w:r>
        <w:rPr>
          <w:spacing w:val="-2"/>
        </w:rPr>
        <w:t> </w:t>
      </w:r>
      <w:r>
        <w:rPr/>
        <w:t>in</w:t>
      </w:r>
      <w:r>
        <w:rPr>
          <w:spacing w:val="-2"/>
        </w:rPr>
        <w:t> </w:t>
      </w:r>
      <w:r>
        <w:rPr/>
        <w:t>the</w:t>
      </w:r>
      <w:r>
        <w:rPr>
          <w:spacing w:val="-2"/>
        </w:rPr>
        <w:t> </w:t>
      </w:r>
      <w:r>
        <w:rPr/>
        <w:t>hepatic</w:t>
      </w:r>
      <w:r>
        <w:rPr>
          <w:spacing w:val="-1"/>
        </w:rPr>
        <w:t> </w:t>
      </w:r>
      <w:r>
        <w:rPr/>
        <w:t>synthesis</w:t>
      </w:r>
      <w:r>
        <w:rPr>
          <w:spacing w:val="-2"/>
        </w:rPr>
        <w:t> </w:t>
      </w:r>
      <w:r>
        <w:rPr/>
        <w:t>of</w:t>
      </w:r>
      <w:r>
        <w:rPr>
          <w:spacing w:val="-2"/>
        </w:rPr>
        <w:t> </w:t>
      </w:r>
      <w:r>
        <w:rPr/>
        <w:t>Hepcidin.</w:t>
      </w:r>
      <w:r>
        <w:rPr>
          <w:spacing w:val="-2"/>
        </w:rPr>
        <w:t> </w:t>
      </w:r>
      <w:r>
        <w:rPr/>
        <w:t>Thehepatic</w:t>
      </w:r>
      <w:r>
        <w:rPr>
          <w:spacing w:val="-3"/>
        </w:rPr>
        <w:t> </w:t>
      </w:r>
      <w:r>
        <w:rPr/>
        <w:t>sinusoids</w:t>
      </w:r>
      <w:r>
        <w:rPr>
          <w:spacing w:val="-2"/>
        </w:rPr>
        <w:t> </w:t>
      </w:r>
      <w:r>
        <w:rPr/>
        <w:t>are</w:t>
      </w:r>
      <w:r>
        <w:rPr>
          <w:spacing w:val="-1"/>
        </w:rPr>
        <w:t> </w:t>
      </w:r>
      <w:r>
        <w:rPr/>
        <w:t>lined</w:t>
      </w:r>
      <w:r>
        <w:rPr>
          <w:spacing w:val="-2"/>
        </w:rPr>
        <w:t> </w:t>
      </w:r>
      <w:r>
        <w:rPr/>
        <w:t>by</w:t>
      </w:r>
      <w:r>
        <w:rPr>
          <w:spacing w:val="-5"/>
        </w:rPr>
        <w:t> </w:t>
      </w:r>
      <w:r>
        <w:rPr/>
        <w:t>endothelial</w:t>
      </w:r>
      <w:r>
        <w:rPr>
          <w:spacing w:val="-2"/>
        </w:rPr>
        <w:t> </w:t>
      </w:r>
      <w:r>
        <w:rPr/>
        <w:t>cells</w:t>
      </w:r>
      <w:r>
        <w:rPr>
          <w:spacing w:val="-2"/>
        </w:rPr>
        <w:t> </w:t>
      </w:r>
      <w:r>
        <w:rPr/>
        <w:t>and Kupffer cells. Exposure of the endothelial cells and Kupffer cells to microbes or high iron- saturated transferrin (Fe/Tf) causes the release of IL-6 and possibly other cytokines that act</w:t>
      </w:r>
      <w:r>
        <w:rPr>
          <w:spacing w:val="40"/>
        </w:rPr>
        <w:t> </w:t>
      </w:r>
      <w:r>
        <w:rPr/>
        <w:t>on hepatocytes to induce the synthesis and secretion of hepcidin (Neimeth</w:t>
      </w:r>
      <w:r>
        <w:rPr>
          <w:i/>
        </w:rPr>
        <w:t>et al.,</w:t>
      </w:r>
      <w:r>
        <w:rPr/>
        <w:t>2003).</w:t>
      </w:r>
    </w:p>
    <w:p>
      <w:pPr>
        <w:pStyle w:val="Heading2"/>
        <w:numPr>
          <w:ilvl w:val="2"/>
          <w:numId w:val="7"/>
        </w:numPr>
        <w:tabs>
          <w:tab w:pos="1040" w:val="left" w:leader="none"/>
        </w:tabs>
        <w:spacing w:line="240" w:lineRule="auto" w:before="237" w:after="0"/>
        <w:ind w:left="1040" w:right="0" w:hanging="480"/>
        <w:jc w:val="left"/>
      </w:pPr>
      <w:r>
        <w:rPr/>
        <w:t>IRON</w:t>
      </w:r>
      <w:r>
        <w:rPr>
          <w:spacing w:val="-1"/>
        </w:rPr>
        <w:t> </w:t>
      </w:r>
      <w:r>
        <w:rPr/>
        <w:t>STATUS</w:t>
      </w:r>
      <w:r>
        <w:rPr>
          <w:spacing w:val="-1"/>
        </w:rPr>
        <w:t> </w:t>
      </w:r>
      <w:r>
        <w:rPr/>
        <w:t>AND</w:t>
      </w:r>
      <w:r>
        <w:rPr>
          <w:spacing w:val="-2"/>
        </w:rPr>
        <w:t> </w:t>
      </w:r>
      <w:r>
        <w:rPr/>
        <w:t>ANAEMIA</w:t>
      </w:r>
      <w:r>
        <w:rPr>
          <w:spacing w:val="-1"/>
        </w:rPr>
        <w:t> </w:t>
      </w:r>
      <w:r>
        <w:rPr/>
        <w:t>OF</w:t>
      </w:r>
      <w:r>
        <w:rPr>
          <w:spacing w:val="-1"/>
        </w:rPr>
        <w:t> </w:t>
      </w:r>
      <w:r>
        <w:rPr>
          <w:spacing w:val="-2"/>
        </w:rPr>
        <w:t>INFLAMMATION</w:t>
      </w:r>
    </w:p>
    <w:p>
      <w:pPr>
        <w:pStyle w:val="BodyText"/>
        <w:spacing w:line="480" w:lineRule="auto" w:before="270"/>
        <w:ind w:left="560" w:right="793"/>
        <w:jc w:val="both"/>
      </w:pPr>
      <w:r>
        <w:rPr/>
        <w:t>Anaemia of Inflammation is a term used to describe the hypoproliferative anaemias. Hypoproliferative anaemias are anaemias that occur due to diminished production or diminished response to erythropoietin. Most cytokines such as IFNγ and TNFα are incriminated in the inhibitory activity against erythropoietin in the kidney or its response at the erythriods.It is reported that hypoproliferative anaemias occur as a result of systemic illness or inflammation (Cullis, 2011). It was formerly known as Anaemia of Chronic Diseases (ACD). The cause of the anaemia of inflammationis multifactorial and it is posited that</w:t>
      </w:r>
      <w:r>
        <w:rPr>
          <w:spacing w:val="43"/>
        </w:rPr>
        <w:t>  </w:t>
      </w:r>
      <w:r>
        <w:rPr/>
        <w:t>systemic</w:t>
      </w:r>
      <w:r>
        <w:rPr>
          <w:spacing w:val="45"/>
        </w:rPr>
        <w:t>  </w:t>
      </w:r>
      <w:r>
        <w:rPr/>
        <w:t>illnesses,</w:t>
      </w:r>
      <w:r>
        <w:rPr>
          <w:spacing w:val="43"/>
        </w:rPr>
        <w:t>  </w:t>
      </w:r>
      <w:r>
        <w:rPr/>
        <w:t>infectious</w:t>
      </w:r>
      <w:r>
        <w:rPr>
          <w:spacing w:val="45"/>
        </w:rPr>
        <w:t>  </w:t>
      </w:r>
      <w:r>
        <w:rPr/>
        <w:t>and</w:t>
      </w:r>
      <w:r>
        <w:rPr>
          <w:spacing w:val="44"/>
        </w:rPr>
        <w:t>  </w:t>
      </w:r>
      <w:r>
        <w:rPr/>
        <w:t>non-infectious</w:t>
      </w:r>
      <w:r>
        <w:rPr>
          <w:spacing w:val="44"/>
        </w:rPr>
        <w:t>  </w:t>
      </w:r>
      <w:r>
        <w:rPr/>
        <w:t>inflammatory</w:t>
      </w:r>
      <w:r>
        <w:rPr>
          <w:spacing w:val="42"/>
        </w:rPr>
        <w:t>  </w:t>
      </w:r>
      <w:r>
        <w:rPr/>
        <w:t>disorders</w:t>
      </w:r>
      <w:r>
        <w:rPr>
          <w:spacing w:val="44"/>
        </w:rPr>
        <w:t>  </w:t>
      </w:r>
      <w:r>
        <w:rPr>
          <w:spacing w:val="-5"/>
        </w:rPr>
        <w:t>may</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induceabnormal antigenic activation of immune cells and/with sequestration of iron in macrophages which result in anaemia; hence the name anaemia of inflammation (Ganz, 2003). During acute phase response, proinflammatory cytokines are released, the vascular system and the proinflammatory cells are also activated leading to the production of more cytokines and other inflammatory mediators that diffuse into the extracellular fluid compartment and circulate in the blood. Anaemia of inflammation is characterized by</w:t>
      </w:r>
      <w:r>
        <w:rPr>
          <w:spacing w:val="40"/>
        </w:rPr>
        <w:t> </w:t>
      </w:r>
      <w:r>
        <w:rPr/>
        <w:t>reduced iron uptake, disturbed iron metabolism,hypoferraemia and iron limitations to the erythron</w:t>
      </w:r>
      <w:r>
        <w:rPr>
          <w:spacing w:val="-3"/>
        </w:rPr>
        <w:t> </w:t>
      </w:r>
      <w:r>
        <w:rPr/>
        <w:t>(Weiss</w:t>
      </w:r>
      <w:r>
        <w:rPr>
          <w:spacing w:val="-1"/>
        </w:rPr>
        <w:t> </w:t>
      </w:r>
      <w:r>
        <w:rPr/>
        <w:t>and</w:t>
      </w:r>
      <w:r>
        <w:rPr>
          <w:spacing w:val="-3"/>
        </w:rPr>
        <w:t> </w:t>
      </w:r>
      <w:r>
        <w:rPr/>
        <w:t>Goodnough,</w:t>
      </w:r>
      <w:r>
        <w:rPr>
          <w:spacing w:val="-3"/>
        </w:rPr>
        <w:t> </w:t>
      </w:r>
      <w:r>
        <w:rPr/>
        <w:t>2005).</w:t>
      </w:r>
      <w:r>
        <w:rPr>
          <w:spacing w:val="-2"/>
        </w:rPr>
        <w:t> </w:t>
      </w:r>
      <w:r>
        <w:rPr/>
        <w:t>The</w:t>
      </w:r>
      <w:r>
        <w:rPr>
          <w:spacing w:val="-4"/>
        </w:rPr>
        <w:t> </w:t>
      </w:r>
      <w:r>
        <w:rPr/>
        <w:t>diversion</w:t>
      </w:r>
      <w:r>
        <w:rPr>
          <w:spacing w:val="-3"/>
        </w:rPr>
        <w:t> </w:t>
      </w:r>
      <w:r>
        <w:rPr/>
        <w:t>of</w:t>
      </w:r>
      <w:r>
        <w:rPr>
          <w:spacing w:val="-3"/>
        </w:rPr>
        <w:t> </w:t>
      </w:r>
      <w:r>
        <w:rPr/>
        <w:t>iron</w:t>
      </w:r>
      <w:r>
        <w:rPr>
          <w:spacing w:val="-1"/>
        </w:rPr>
        <w:t> </w:t>
      </w:r>
      <w:r>
        <w:rPr/>
        <w:t>from</w:t>
      </w:r>
      <w:r>
        <w:rPr>
          <w:spacing w:val="-2"/>
        </w:rPr>
        <w:t> </w:t>
      </w:r>
      <w:r>
        <w:rPr/>
        <w:t>circulation,its</w:t>
      </w:r>
      <w:r>
        <w:rPr>
          <w:spacing w:val="-3"/>
        </w:rPr>
        <w:t> </w:t>
      </w:r>
      <w:r>
        <w:rPr/>
        <w:t>retention</w:t>
      </w:r>
      <w:r>
        <w:rPr>
          <w:spacing w:val="-3"/>
        </w:rPr>
        <w:t> </w:t>
      </w:r>
      <w:r>
        <w:rPr/>
        <w:t>at the storage site of reticuloendothelial cells and liver and inappropriate release of iron to the erythrons, results in iron restricted erythropoisis which terminates with reduced haemoglobin synthesis. The hallmark of anaemia of inflammation is the dysregulation of iron homeostasis, impaired red blood cell production and shortened red cell life span. There are no uniform criteria for diagnosis of anaemia of inflammation. However, combinations of iron parameters have proved useful. These include MCV, MCH, CHr and hypochromic red blood cells. Other parameters are ferritin, transferrin saturation, sTfR and sTfR/Log Ferritin ratio. The</w:t>
      </w:r>
      <w:r>
        <w:rPr>
          <w:spacing w:val="40"/>
        </w:rPr>
        <w:t> </w:t>
      </w:r>
      <w:r>
        <w:rPr/>
        <w:t>diagnostic feature that may show anaemia of inflammation are low values of serum iron, normal or raised serum ferritin, normal sTfR assay, sTfR-Ferritin ratio &lt;1.0 and elevated values of acute phase protein. sTfR-ferritin ratio &gt;2.0 suggests that iron stores are deficient with or without anaemia of inflammation(Roy, 2010).</w:t>
      </w:r>
    </w:p>
    <w:p>
      <w:pPr>
        <w:pStyle w:val="Heading2"/>
        <w:numPr>
          <w:ilvl w:val="2"/>
          <w:numId w:val="7"/>
        </w:numPr>
        <w:tabs>
          <w:tab w:pos="1280" w:val="left" w:leader="none"/>
        </w:tabs>
        <w:spacing w:line="240" w:lineRule="auto" w:before="236" w:after="0"/>
        <w:ind w:left="1280" w:right="0" w:hanging="720"/>
        <w:jc w:val="left"/>
      </w:pPr>
      <w:r>
        <w:rPr/>
        <w:t>IRON</w:t>
      </w:r>
      <w:r>
        <w:rPr>
          <w:spacing w:val="-3"/>
        </w:rPr>
        <w:t> </w:t>
      </w:r>
      <w:r>
        <w:rPr/>
        <w:t>STATUS</w:t>
      </w:r>
      <w:r>
        <w:rPr>
          <w:spacing w:val="-1"/>
        </w:rPr>
        <w:t> </w:t>
      </w:r>
      <w:r>
        <w:rPr/>
        <w:t>AND</w:t>
      </w:r>
      <w:r>
        <w:rPr>
          <w:spacing w:val="-1"/>
        </w:rPr>
        <w:t> </w:t>
      </w:r>
      <w:r>
        <w:rPr/>
        <w:t>HEPCIDININ </w:t>
      </w:r>
      <w:r>
        <w:rPr>
          <w:spacing w:val="-2"/>
        </w:rPr>
        <w:t>PREGNANCY</w:t>
      </w:r>
    </w:p>
    <w:p>
      <w:pPr>
        <w:pStyle w:val="BodyText"/>
        <w:spacing w:line="480" w:lineRule="auto" w:before="271"/>
        <w:ind w:left="560" w:right="796"/>
        <w:jc w:val="both"/>
      </w:pPr>
      <w:r>
        <w:rPr/>
        <w:t>Hepcidin, a 25 amino acid peptide,was recently discovered as the hormone/acute phase protein that controls or regulates iron metabolism and anaemia of inflammation (Neimeth</w:t>
      </w:r>
      <w:r>
        <w:rPr>
          <w:i/>
        </w:rPr>
        <w:t>et al., </w:t>
      </w:r>
      <w:r>
        <w:rPr/>
        <w:t>2003). It is converted from prohepcidin in a process mediated by furin (a prohormone convertase)</w:t>
      </w:r>
      <w:r>
        <w:rPr>
          <w:spacing w:val="-1"/>
        </w:rPr>
        <w:t> </w:t>
      </w:r>
      <w:r>
        <w:rPr/>
        <w:t>(Ganz, 2003). Hepcidin is found</w:t>
      </w:r>
      <w:r>
        <w:rPr>
          <w:spacing w:val="-1"/>
        </w:rPr>
        <w:t> </w:t>
      </w:r>
      <w:r>
        <w:rPr/>
        <w:t>in human</w:t>
      </w:r>
      <w:r>
        <w:rPr>
          <w:spacing w:val="-1"/>
        </w:rPr>
        <w:t> </w:t>
      </w:r>
      <w:r>
        <w:rPr/>
        <w:t>plasma</w:t>
      </w:r>
      <w:r>
        <w:rPr>
          <w:spacing w:val="-1"/>
        </w:rPr>
        <w:t> </w:t>
      </w:r>
      <w:r>
        <w:rPr/>
        <w:t>and urine, and it is synthesized primarily</w:t>
      </w:r>
      <w:r>
        <w:rPr>
          <w:spacing w:val="-8"/>
        </w:rPr>
        <w:t> </w:t>
      </w:r>
      <w:r>
        <w:rPr/>
        <w:t>in the</w:t>
      </w:r>
      <w:r>
        <w:rPr>
          <w:spacing w:val="1"/>
        </w:rPr>
        <w:t> </w:t>
      </w:r>
      <w:r>
        <w:rPr/>
        <w:t>liver (Krause </w:t>
      </w:r>
      <w:r>
        <w:rPr>
          <w:i/>
        </w:rPr>
        <w:t>et al.,</w:t>
      </w:r>
      <w:r>
        <w:rPr/>
        <w:t>2000).</w:t>
      </w:r>
      <w:r>
        <w:rPr>
          <w:spacing w:val="4"/>
        </w:rPr>
        <w:t> </w:t>
      </w:r>
      <w:r>
        <w:rPr/>
        <w:t>It regulates</w:t>
      </w:r>
      <w:r>
        <w:rPr>
          <w:spacing w:val="-1"/>
        </w:rPr>
        <w:t> </w:t>
      </w:r>
      <w:r>
        <w:rPr/>
        <w:t>iron metabolism by</w:t>
      </w:r>
      <w:r>
        <w:rPr>
          <w:spacing w:val="-5"/>
        </w:rPr>
        <w:t> </w:t>
      </w:r>
      <w:r>
        <w:rPr/>
        <w:t>inhibiting </w:t>
      </w:r>
      <w:r>
        <w:rPr>
          <w:spacing w:val="-2"/>
        </w:rPr>
        <w:t>duodenal</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iron absortion in the gut, and by affecting mobilization of iron from liver and spleen (Malyszko </w:t>
      </w:r>
      <w:r>
        <w:rPr>
          <w:i/>
        </w:rPr>
        <w:t>et al.,</w:t>
      </w:r>
      <w:r>
        <w:rPr/>
        <w:t>2006). Plasma hepcidin regulates iron absorption (by binding to ferropotin) in the duodenum and iron released from macrophages in the spleen and other reticulo- endothelial cells (Neimeth</w:t>
      </w:r>
      <w:r>
        <w:rPr>
          <w:i/>
        </w:rPr>
        <w:t>et al, </w:t>
      </w:r>
      <w:r>
        <w:rPr/>
        <w:t>2003;Haurani, 2006). Ferroportin is found in all cells that export iron into plasma and is the only</w:t>
      </w:r>
      <w:r>
        <w:rPr>
          <w:spacing w:val="-2"/>
        </w:rPr>
        <w:t> </w:t>
      </w:r>
      <w:r>
        <w:rPr/>
        <w:t>known cellular exporter of iron. Hepcidin binds to the iron exporter, ferroportin, inducing its internalization and degradation thereby affecting iron status. Ferroportin is necessary</w:t>
      </w:r>
      <w:r>
        <w:rPr>
          <w:spacing w:val="-4"/>
        </w:rPr>
        <w:t> </w:t>
      </w:r>
      <w:r>
        <w:rPr/>
        <w:t>for materno-foetal iron transfer and iron efflux from duodenal enterocytes, macrophages and hepatocytes (Neimeth</w:t>
      </w:r>
      <w:r>
        <w:rPr>
          <w:i/>
        </w:rPr>
        <w:t>et al.,</w:t>
      </w:r>
      <w:r>
        <w:rPr/>
        <w:t>2004). Consequent to down regulation of iron absorption by hepcidin is that functional iron deficiency may occur even when iron stores are present (Gasche </w:t>
      </w:r>
      <w:r>
        <w:rPr>
          <w:i/>
        </w:rPr>
        <w:t>et al.,</w:t>
      </w:r>
      <w:r>
        <w:rPr/>
        <w:t>2004). During infections/inflammation such as malaria, most cytokines that are expressed induces the synthesis of Hepcidin (WHO,</w:t>
      </w:r>
      <w:r>
        <w:rPr>
          <w:spacing w:val="40"/>
        </w:rPr>
        <w:t> </w:t>
      </w:r>
      <w:r>
        <w:rPr/>
        <w:t>2004).As would be expected of an iron regulatory hormone, the production of hepcidin is homeostatically regulated by plasma iron concentrations and iron stores, predominantly, through a transcriptional mechanism. It is posited to be expressed in an iron-replete state or iron overload (Pigeon </w:t>
      </w:r>
      <w:r>
        <w:rPr>
          <w:i/>
        </w:rPr>
        <w:t>et al., </w:t>
      </w:r>
      <w:r>
        <w:rPr/>
        <w:t>2001; Neimeth</w:t>
      </w:r>
      <w:r>
        <w:rPr>
          <w:i/>
        </w:rPr>
        <w:t>et al.,</w:t>
      </w:r>
      <w:r>
        <w:rPr/>
        <w:t>2004). Increased hepcidin released in response to increased iron concentration generates a negative feedback loop that limits iron absorption</w:t>
      </w:r>
      <w:r>
        <w:rPr>
          <w:spacing w:val="-2"/>
        </w:rPr>
        <w:t> </w:t>
      </w:r>
      <w:r>
        <w:rPr/>
        <w:t>and</w:t>
      </w:r>
      <w:r>
        <w:rPr>
          <w:spacing w:val="-2"/>
        </w:rPr>
        <w:t> </w:t>
      </w:r>
      <w:r>
        <w:rPr/>
        <w:t>retains</w:t>
      </w:r>
      <w:r>
        <w:rPr>
          <w:spacing w:val="-2"/>
        </w:rPr>
        <w:t> </w:t>
      </w:r>
      <w:r>
        <w:rPr/>
        <w:t>iron</w:t>
      </w:r>
      <w:r>
        <w:rPr>
          <w:spacing w:val="-1"/>
        </w:rPr>
        <w:t> </w:t>
      </w:r>
      <w:r>
        <w:rPr/>
        <w:t>in</w:t>
      </w:r>
      <w:r>
        <w:rPr>
          <w:spacing w:val="-2"/>
        </w:rPr>
        <w:t> </w:t>
      </w:r>
      <w:r>
        <w:rPr/>
        <w:t>the</w:t>
      </w:r>
      <w:r>
        <w:rPr>
          <w:spacing w:val="-2"/>
        </w:rPr>
        <w:t> </w:t>
      </w:r>
      <w:r>
        <w:rPr/>
        <w:t>stores</w:t>
      </w:r>
      <w:r>
        <w:rPr>
          <w:spacing w:val="-2"/>
        </w:rPr>
        <w:t> </w:t>
      </w:r>
      <w:r>
        <w:rPr/>
        <w:t>(Ganz,</w:t>
      </w:r>
      <w:r>
        <w:rPr>
          <w:spacing w:val="-2"/>
        </w:rPr>
        <w:t> </w:t>
      </w:r>
      <w:r>
        <w:rPr/>
        <w:t>2003).</w:t>
      </w:r>
      <w:r>
        <w:rPr>
          <w:spacing w:val="-3"/>
        </w:rPr>
        <w:t> </w:t>
      </w:r>
      <w:r>
        <w:rPr/>
        <w:t>Hepcidin</w:t>
      </w:r>
      <w:r>
        <w:rPr>
          <w:spacing w:val="-2"/>
        </w:rPr>
        <w:t> </w:t>
      </w:r>
      <w:r>
        <w:rPr/>
        <w:t>levels</w:t>
      </w:r>
      <w:r>
        <w:rPr>
          <w:spacing w:val="-2"/>
        </w:rPr>
        <w:t> </w:t>
      </w:r>
      <w:r>
        <w:rPr/>
        <w:t>seem</w:t>
      </w:r>
      <w:r>
        <w:rPr>
          <w:spacing w:val="-2"/>
        </w:rPr>
        <w:t> </w:t>
      </w:r>
      <w:r>
        <w:rPr/>
        <w:t>to</w:t>
      </w:r>
      <w:r>
        <w:rPr>
          <w:spacing w:val="-2"/>
        </w:rPr>
        <w:t> </w:t>
      </w:r>
      <w:r>
        <w:rPr/>
        <w:t>change</w:t>
      </w:r>
      <w:r>
        <w:rPr>
          <w:spacing w:val="-3"/>
        </w:rPr>
        <w:t> </w:t>
      </w:r>
      <w:r>
        <w:rPr/>
        <w:t>rapidly in response to changes in iron status. This is demonstrated in a study on urinary hepcidin (Krause </w:t>
      </w:r>
      <w:r>
        <w:rPr>
          <w:i/>
        </w:rPr>
        <w:t>et al.,</w:t>
      </w:r>
      <w:r>
        <w:rPr/>
        <w:t>2000). In normal human volunteers, urinary</w:t>
      </w:r>
      <w:r>
        <w:rPr>
          <w:spacing w:val="-3"/>
        </w:rPr>
        <w:t> </w:t>
      </w:r>
      <w:r>
        <w:rPr/>
        <w:t>hepcidin levels increased up to 15- fold within 24 hours after 65 mg of oral iron supplementation. In iron deficiency anaemia, urinary hepcidin levels are low or undetectable.</w:t>
      </w:r>
    </w:p>
    <w:p>
      <w:pPr>
        <w:pStyle w:val="BodyText"/>
        <w:spacing w:before="3"/>
      </w:pPr>
    </w:p>
    <w:p>
      <w:pPr>
        <w:pStyle w:val="BodyText"/>
        <w:spacing w:line="480" w:lineRule="auto"/>
        <w:ind w:left="560" w:right="793"/>
        <w:jc w:val="both"/>
      </w:pPr>
      <w:r>
        <w:rPr/>
        <w:t>In a study in Bangladesh on hepcidin and iron status of 149 pregnant women,(Schulze </w:t>
      </w:r>
      <w:r>
        <w:rPr>
          <w:i/>
        </w:rPr>
        <w:t>et al.,</w:t>
      </w:r>
      <w:r>
        <w:rPr/>
        <w:t>2008) observed a correlation between hepcidin and some iron parameters. Urinary hepcidin used in the study showed apositive correlation with ferritin (r= 0. 33, </w:t>
      </w:r>
      <w:r>
        <w:rPr>
          <w:i/>
        </w:rPr>
        <w:t>p&lt;</w:t>
      </w:r>
      <w:r>
        <w:rPr/>
        <w:t>0.001) but no</w:t>
      </w:r>
      <w:r>
        <w:rPr>
          <w:spacing w:val="37"/>
        </w:rPr>
        <w:t> </w:t>
      </w:r>
      <w:r>
        <w:rPr/>
        <w:t>significant</w:t>
      </w:r>
      <w:r>
        <w:rPr>
          <w:spacing w:val="41"/>
        </w:rPr>
        <w:t> </w:t>
      </w:r>
      <w:r>
        <w:rPr/>
        <w:t>correlationexisted</w:t>
      </w:r>
      <w:r>
        <w:rPr>
          <w:spacing w:val="40"/>
        </w:rPr>
        <w:t> </w:t>
      </w:r>
      <w:r>
        <w:rPr/>
        <w:t>between</w:t>
      </w:r>
      <w:r>
        <w:rPr>
          <w:spacing w:val="41"/>
        </w:rPr>
        <w:t> </w:t>
      </w:r>
      <w:r>
        <w:rPr/>
        <w:t>urinary</w:t>
      </w:r>
      <w:r>
        <w:rPr>
          <w:spacing w:val="38"/>
        </w:rPr>
        <w:t> </w:t>
      </w:r>
      <w:r>
        <w:rPr/>
        <w:t>hepcidin</w:t>
      </w:r>
      <w:r>
        <w:rPr>
          <w:spacing w:val="39"/>
        </w:rPr>
        <w:t> </w:t>
      </w:r>
      <w:r>
        <w:rPr/>
        <w:t>and</w:t>
      </w:r>
      <w:r>
        <w:rPr>
          <w:spacing w:val="42"/>
        </w:rPr>
        <w:t> </w:t>
      </w:r>
      <w:r>
        <w:rPr/>
        <w:t>sTfR,</w:t>
      </w:r>
      <w:r>
        <w:rPr>
          <w:spacing w:val="40"/>
        </w:rPr>
        <w:t> </w:t>
      </w:r>
      <w:r>
        <w:rPr/>
        <w:t>and</w:t>
      </w:r>
      <w:r>
        <w:rPr>
          <w:spacing w:val="40"/>
        </w:rPr>
        <w:t> </w:t>
      </w:r>
      <w:r>
        <w:rPr/>
        <w:t>between</w:t>
      </w:r>
      <w:r>
        <w:rPr>
          <w:spacing w:val="42"/>
        </w:rPr>
        <w:t> </w:t>
      </w:r>
      <w:r>
        <w:rPr>
          <w:spacing w:val="-2"/>
        </w:rPr>
        <w:t>urinary</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hepcidin and haemoglobin.In a similar study in Poland, Rams </w:t>
      </w:r>
      <w:r>
        <w:rPr>
          <w:i/>
        </w:rPr>
        <w:t>et al.,</w:t>
      </w:r>
      <w:r>
        <w:rPr/>
        <w:t>(2008) demonstrated a possible role of prohepcidin in anaemia in pregnancy. Recruited in the study were 37 healthy pregnant women in third trimester, 34 anaemic pregnant women in third trimester, 20 healthy pregnant women in first trimester and 30 healthy female volunteers. The study showed elevated</w:t>
      </w:r>
      <w:r>
        <w:rPr>
          <w:spacing w:val="-1"/>
        </w:rPr>
        <w:t> </w:t>
      </w:r>
      <w:r>
        <w:rPr/>
        <w:t>prohepcidin in pregnancy</w:t>
      </w:r>
      <w:r>
        <w:rPr>
          <w:spacing w:val="-3"/>
        </w:rPr>
        <w:t> </w:t>
      </w:r>
      <w:r>
        <w:rPr/>
        <w:t>which was also related to ferritin and sTfR. The</w:t>
      </w:r>
      <w:r>
        <w:rPr>
          <w:spacing w:val="-2"/>
        </w:rPr>
        <w:t> </w:t>
      </w:r>
      <w:r>
        <w:rPr/>
        <w:t>study</w:t>
      </w:r>
      <w:r>
        <w:rPr>
          <w:spacing w:val="-5"/>
        </w:rPr>
        <w:t> </w:t>
      </w:r>
      <w:r>
        <w:rPr/>
        <w:t>also showed that prohepcidin, IL-6, high Sensitivity C-Reactive protein (hsC-RP), sTfR, TIBC</w:t>
      </w:r>
      <w:r>
        <w:rPr>
          <w:spacing w:val="40"/>
        </w:rPr>
        <w:t> </w:t>
      </w:r>
      <w:r>
        <w:rPr/>
        <w:t>and TSAT were significantly higher in anaemic pregnant women than non - anaemic</w:t>
      </w:r>
      <w:r>
        <w:rPr>
          <w:spacing w:val="80"/>
        </w:rPr>
        <w:t> </w:t>
      </w:r>
      <w:r>
        <w:rPr/>
        <w:t>pregnant women in their third trimester. In anaemic pregnant women, prohepcidin showed negative correlation with haemoglobin (r= -0.34, </w:t>
      </w:r>
      <w:r>
        <w:rPr>
          <w:i/>
        </w:rPr>
        <w:t>p</w:t>
      </w:r>
      <w:r>
        <w:rPr/>
        <w:t>&lt; 0.005), haematocrit (r= -0.39, </w:t>
      </w:r>
      <w:r>
        <w:rPr>
          <w:i/>
        </w:rPr>
        <w:t>p</w:t>
      </w:r>
      <w:r>
        <w:rPr/>
        <w:t>&lt; 0.05) and total protein (r= -0.34, </w:t>
      </w:r>
      <w:r>
        <w:rPr>
          <w:i/>
        </w:rPr>
        <w:t>p</w:t>
      </w:r>
      <w:r>
        <w:rPr/>
        <w:t>&lt; 0.05). Prohepcidin was positively correlated with hsC-RP (r= 0.49, </w:t>
      </w:r>
      <w:r>
        <w:rPr>
          <w:i/>
        </w:rPr>
        <w:t>p</w:t>
      </w:r>
      <w:r>
        <w:rPr/>
        <w:t>&lt; 0.05) in pregnant females in their first trimester. Furthermore,innon-anaemic pregnant women (first and third trimesters) prohepcidin correlated negatively</w:t>
      </w:r>
      <w:r>
        <w:rPr>
          <w:spacing w:val="-1"/>
        </w:rPr>
        <w:t> </w:t>
      </w:r>
      <w:r>
        <w:rPr/>
        <w:t>with sTfR (r= - 0.27, </w:t>
      </w:r>
      <w:r>
        <w:rPr>
          <w:i/>
        </w:rPr>
        <w:t>p</w:t>
      </w:r>
      <w:r>
        <w:rPr/>
        <w:t>&lt; 0.05) and positively with ferritin (r= 0.26, </w:t>
      </w:r>
      <w:r>
        <w:rPr>
          <w:i/>
        </w:rPr>
        <w:t>p&lt; </w:t>
      </w:r>
      <w:r>
        <w:rPr/>
        <w:t>0.05) while in the healthy volunteers prohepcidin corelated positively with ferritin (r= 0.37, </w:t>
      </w:r>
      <w:r>
        <w:rPr>
          <w:i/>
        </w:rPr>
        <w:t>p</w:t>
      </w:r>
      <w:r>
        <w:rPr/>
        <w:t>&lt; 0.05).</w:t>
      </w:r>
    </w:p>
    <w:p>
      <w:pPr>
        <w:pStyle w:val="Heading2"/>
        <w:numPr>
          <w:ilvl w:val="2"/>
          <w:numId w:val="7"/>
        </w:numPr>
        <w:tabs>
          <w:tab w:pos="1280" w:val="left" w:leader="none"/>
        </w:tabs>
        <w:spacing w:line="240" w:lineRule="auto" w:before="237" w:after="0"/>
        <w:ind w:left="1280" w:right="0" w:hanging="720"/>
        <w:jc w:val="left"/>
      </w:pPr>
      <w:r>
        <w:rPr/>
        <w:t>C-</w:t>
      </w:r>
      <w:r>
        <w:rPr>
          <w:spacing w:val="-5"/>
        </w:rPr>
        <w:t> </w:t>
      </w:r>
      <w:r>
        <w:rPr/>
        <w:t>REACTIVE</w:t>
      </w:r>
      <w:r>
        <w:rPr>
          <w:spacing w:val="-1"/>
        </w:rPr>
        <w:t> </w:t>
      </w:r>
      <w:r>
        <w:rPr/>
        <w:t>PROTEIN</w:t>
      </w:r>
      <w:r>
        <w:rPr>
          <w:spacing w:val="-1"/>
        </w:rPr>
        <w:t> </w:t>
      </w:r>
      <w:r>
        <w:rPr/>
        <w:t>(C-</w:t>
      </w:r>
      <w:r>
        <w:rPr>
          <w:spacing w:val="-5"/>
        </w:rPr>
        <w:t>RP)</w:t>
      </w:r>
    </w:p>
    <w:p>
      <w:pPr>
        <w:pStyle w:val="BodyText"/>
        <w:spacing w:line="480" w:lineRule="auto" w:before="272"/>
        <w:ind w:left="560" w:right="795"/>
        <w:jc w:val="both"/>
      </w:pPr>
      <w:r>
        <w:rPr/>
        <w:t>C-RP has been described as a substance that was present in the sera of acutely ill patients. It binds to the C-polysaccharide on thecell wall of </w:t>
      </w:r>
      <w:r>
        <w:rPr>
          <w:i/>
        </w:rPr>
        <w:t>Streptococcus pneumoniae </w:t>
      </w:r>
      <w:r>
        <w:rPr/>
        <w:t>and agglutinates the organism (Ridker and Henneens, 2000). The substance was shown to be a protein and given the name cardiovascular reactive protein, commonly referred to as C-reactive protein. C-RP consists of five identical non-glycosylated polypeptide subunits non-covalently linked to form a disc-shaped cyclic polymer with a molecular weight of approximately 115kda. Tumor necrosis factor -alpha and IL-1 induce the expression IL-6 which later stimulates the hepatic synthesis of C-RP.It was subsequently shown to be an acute phase reactant and important in non-specific host defence and binds to polysaccharides present in many</w:t>
      </w:r>
      <w:r>
        <w:rPr>
          <w:spacing w:val="-3"/>
        </w:rPr>
        <w:t> </w:t>
      </w:r>
      <w:r>
        <w:rPr/>
        <w:t>bacteria, fungi and protozoal parasites and polycations such as histones (Kimberly and Vesper, 2003)</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Cardiovascular Reactive Protein (C-RP)is a notable APP often used to assay samples for infection/inflammation. It has also shown to be predictive of future events in patients with acute coronary syndromes; stable angina and coronary artery defects (Roberts and Moulton, 2001).Elevated C-RP appears to be a better predictor of risk of heart attack than elevated cholesterol levels (Warren, 2010).It may enhance inflammatory and prothrombotic responses (Fred and Allan, 2006).</w:t>
      </w:r>
    </w:p>
    <w:p>
      <w:pPr>
        <w:spacing w:after="0" w:line="480" w:lineRule="auto"/>
        <w:jc w:val="both"/>
        <w:sectPr>
          <w:pgSz w:w="11910" w:h="16840"/>
          <w:pgMar w:header="0" w:footer="1067" w:top="1060" w:bottom="1260" w:left="880" w:right="640"/>
        </w:sectPr>
      </w:pPr>
    </w:p>
    <w:p>
      <w:pPr>
        <w:spacing w:before="75"/>
        <w:ind w:left="0" w:right="235" w:firstLine="0"/>
        <w:jc w:val="center"/>
        <w:rPr>
          <w:b/>
          <w:sz w:val="24"/>
        </w:rPr>
      </w:pPr>
      <w:r>
        <w:rPr>
          <w:b/>
          <w:sz w:val="24"/>
        </w:rPr>
        <w:t>CHAPTER</w:t>
      </w:r>
      <w:r>
        <w:rPr>
          <w:b/>
          <w:spacing w:val="-1"/>
          <w:sz w:val="24"/>
        </w:rPr>
        <w:t> </w:t>
      </w:r>
      <w:r>
        <w:rPr>
          <w:b/>
          <w:spacing w:val="-2"/>
          <w:sz w:val="24"/>
        </w:rPr>
        <w:t>THREE:</w:t>
      </w:r>
    </w:p>
    <w:p>
      <w:pPr>
        <w:pStyle w:val="BodyText"/>
        <w:rPr>
          <w:b/>
        </w:rPr>
      </w:pPr>
    </w:p>
    <w:p>
      <w:pPr>
        <w:pStyle w:val="BodyText"/>
        <w:spacing w:before="185"/>
        <w:rPr>
          <w:b/>
        </w:rPr>
      </w:pPr>
    </w:p>
    <w:p>
      <w:pPr>
        <w:pStyle w:val="ListParagraph"/>
        <w:numPr>
          <w:ilvl w:val="1"/>
          <w:numId w:val="8"/>
        </w:numPr>
        <w:tabs>
          <w:tab w:pos="1280" w:val="left" w:leader="none"/>
        </w:tabs>
        <w:spacing w:line="240" w:lineRule="auto" w:before="0" w:after="0"/>
        <w:ind w:left="1280" w:right="0" w:hanging="720"/>
        <w:jc w:val="left"/>
        <w:rPr>
          <w:b/>
          <w:sz w:val="24"/>
        </w:rPr>
      </w:pPr>
      <w:r>
        <w:rPr>
          <w:b/>
          <w:sz w:val="24"/>
        </w:rPr>
        <w:t>SUBJECTS AND </w:t>
      </w:r>
      <w:r>
        <w:rPr>
          <w:b/>
          <w:spacing w:val="-2"/>
          <w:sz w:val="24"/>
        </w:rPr>
        <w:t>METHOD</w:t>
      </w:r>
    </w:p>
    <w:p>
      <w:pPr>
        <w:pStyle w:val="BodyText"/>
        <w:rPr>
          <w:b/>
        </w:rPr>
      </w:pPr>
    </w:p>
    <w:p>
      <w:pPr>
        <w:pStyle w:val="ListParagraph"/>
        <w:numPr>
          <w:ilvl w:val="2"/>
          <w:numId w:val="8"/>
        </w:numPr>
        <w:tabs>
          <w:tab w:pos="1280" w:val="left" w:leader="none"/>
        </w:tabs>
        <w:spacing w:line="240" w:lineRule="auto" w:before="0" w:after="0"/>
        <w:ind w:left="1280" w:right="0" w:hanging="720"/>
        <w:jc w:val="left"/>
        <w:rPr>
          <w:b/>
          <w:sz w:val="24"/>
        </w:rPr>
      </w:pPr>
      <w:r>
        <w:rPr>
          <w:b/>
          <w:sz w:val="24"/>
        </w:rPr>
        <w:t>STUDY</w:t>
      </w:r>
      <w:r>
        <w:rPr>
          <w:b/>
          <w:spacing w:val="-1"/>
          <w:sz w:val="24"/>
        </w:rPr>
        <w:t> </w:t>
      </w:r>
      <w:r>
        <w:rPr>
          <w:b/>
          <w:spacing w:val="-4"/>
          <w:sz w:val="24"/>
        </w:rPr>
        <w:t>AREA</w:t>
      </w:r>
    </w:p>
    <w:p>
      <w:pPr>
        <w:pStyle w:val="BodyText"/>
        <w:spacing w:line="480" w:lineRule="auto" w:before="271"/>
        <w:ind w:left="560" w:right="797"/>
        <w:jc w:val="both"/>
      </w:pPr>
      <w:r>
        <w:rPr/>
        <w:t>This study took place at Aba, Abia State, Nigeria. Aba is located on latitude 05</w:t>
      </w:r>
      <w:r>
        <w:rPr>
          <w:vertAlign w:val="superscript"/>
        </w:rPr>
        <w:t>o</w:t>
      </w:r>
      <w:r>
        <w:rPr>
          <w:vertAlign w:val="baseline"/>
        </w:rPr>
        <w:t>10‟N and longitude 07</w:t>
      </w:r>
      <w:r>
        <w:rPr>
          <w:vertAlign w:val="superscript"/>
        </w:rPr>
        <w:t>o</w:t>
      </w:r>
      <w:r>
        <w:rPr>
          <w:vertAlign w:val="baseline"/>
        </w:rPr>
        <w:t>19‟E with a population estimated at 1,020,900 (National Population Commission, 2006). It is a cosmopolitan town in Abia State and the second largest commercial city of South Eastern Nigeria. The area experiences malaria transmission throughout the year with the majority of clinically evident infection occurring following the long and short rains that generally occur during the months of April-July and September - November respectively. The stagnant water in the drainages in the metropolis provide adequate ecological habitat for the breeding of mosquitoes. The mosquitoes are less susceptible to insecticides and the majority of the study population sleep outside mosquito nets. Apart from the ethnic Igbos, there are other ethnic groups living in Aba. The subjects therefore represent a sub-group of mothers in Nigeria.</w:t>
      </w:r>
    </w:p>
    <w:p>
      <w:pPr>
        <w:pStyle w:val="BodyText"/>
        <w:spacing w:before="4"/>
      </w:pPr>
    </w:p>
    <w:p>
      <w:pPr>
        <w:pStyle w:val="Heading2"/>
        <w:numPr>
          <w:ilvl w:val="2"/>
          <w:numId w:val="8"/>
        </w:numPr>
        <w:tabs>
          <w:tab w:pos="1280" w:val="left" w:leader="none"/>
        </w:tabs>
        <w:spacing w:line="240" w:lineRule="auto" w:before="0" w:after="0"/>
        <w:ind w:left="1280" w:right="0" w:hanging="720"/>
        <w:jc w:val="left"/>
      </w:pPr>
      <w:r>
        <w:rPr/>
        <w:t>STUDY</w:t>
      </w:r>
      <w:r>
        <w:rPr>
          <w:spacing w:val="-1"/>
        </w:rPr>
        <w:t> </w:t>
      </w:r>
      <w:r>
        <w:rPr>
          <w:spacing w:val="-2"/>
        </w:rPr>
        <w:t>POPULATION</w:t>
      </w:r>
    </w:p>
    <w:p>
      <w:pPr>
        <w:pStyle w:val="BodyText"/>
        <w:spacing w:line="480" w:lineRule="auto" w:before="272"/>
        <w:ind w:left="560" w:right="792"/>
        <w:jc w:val="both"/>
      </w:pPr>
      <w:r>
        <w:rPr>
          <w:b/>
        </w:rPr>
        <w:t>Subjects: </w:t>
      </w:r>
      <w:r>
        <w:rPr/>
        <w:t>Two groups of subject were recruited for the study. They were asymptomatic pregnant and immediate post partum women. They were within 17–44 years. Each of the groups was further sub-divided into parasitaemic and aparasitaemic group based on the detection of malaria parasite in the peripheral blood of the pregnant subjects and blood from the placenta of the immediate post-partum. The pregnant subjects were on enrollment for antenatal care while the immediate post-partum had their delivery shortly before the</w:t>
      </w:r>
      <w:r>
        <w:rPr>
          <w:spacing w:val="40"/>
        </w:rPr>
        <w:t> </w:t>
      </w:r>
      <w:r>
        <w:rPr/>
        <w:t>collection of specimen. Both groups were drawn at antenatal care and delivery units of Abia State</w:t>
      </w:r>
      <w:r>
        <w:rPr>
          <w:spacing w:val="-3"/>
        </w:rPr>
        <w:t> </w:t>
      </w:r>
      <w:r>
        <w:rPr/>
        <w:t>University</w:t>
      </w:r>
      <w:r>
        <w:rPr>
          <w:spacing w:val="-7"/>
        </w:rPr>
        <w:t> </w:t>
      </w:r>
      <w:r>
        <w:rPr/>
        <w:t>Teaching</w:t>
      </w:r>
      <w:r>
        <w:rPr>
          <w:spacing w:val="-2"/>
        </w:rPr>
        <w:t> </w:t>
      </w:r>
      <w:r>
        <w:rPr/>
        <w:t>Hospital</w:t>
      </w:r>
      <w:r>
        <w:rPr>
          <w:spacing w:val="-2"/>
        </w:rPr>
        <w:t> </w:t>
      </w:r>
      <w:r>
        <w:rPr/>
        <w:t>(ABSUTH)</w:t>
      </w:r>
      <w:r>
        <w:rPr>
          <w:spacing w:val="-2"/>
        </w:rPr>
        <w:t> </w:t>
      </w:r>
      <w:r>
        <w:rPr/>
        <w:t>and</w:t>
      </w:r>
      <w:r>
        <w:rPr>
          <w:spacing w:val="-1"/>
        </w:rPr>
        <w:t> </w:t>
      </w:r>
      <w:r>
        <w:rPr/>
        <w:t>Living</w:t>
      </w:r>
      <w:r>
        <w:rPr>
          <w:spacing w:val="-1"/>
        </w:rPr>
        <w:t> </w:t>
      </w:r>
      <w:r>
        <w:rPr/>
        <w:t>Word</w:t>
      </w:r>
      <w:r>
        <w:rPr>
          <w:spacing w:val="-2"/>
        </w:rPr>
        <w:t> </w:t>
      </w:r>
      <w:r>
        <w:rPr/>
        <w:t>Mission</w:t>
      </w:r>
      <w:r>
        <w:rPr>
          <w:spacing w:val="-2"/>
        </w:rPr>
        <w:t> </w:t>
      </w:r>
      <w:r>
        <w:rPr/>
        <w:t>Hospital</w:t>
      </w:r>
      <w:r>
        <w:rPr>
          <w:spacing w:val="-2"/>
        </w:rPr>
        <w:t> </w:t>
      </w:r>
      <w:r>
        <w:rPr/>
        <w:t>(LWMH). ABSUTH</w:t>
      </w:r>
      <w:r>
        <w:rPr>
          <w:spacing w:val="26"/>
        </w:rPr>
        <w:t> </w:t>
      </w:r>
      <w:r>
        <w:rPr/>
        <w:t>and</w:t>
      </w:r>
      <w:r>
        <w:rPr>
          <w:spacing w:val="33"/>
        </w:rPr>
        <w:t> </w:t>
      </w:r>
      <w:r>
        <w:rPr/>
        <w:t>LWMH</w:t>
      </w:r>
      <w:r>
        <w:rPr>
          <w:spacing w:val="33"/>
        </w:rPr>
        <w:t> </w:t>
      </w:r>
      <w:r>
        <w:rPr/>
        <w:t>have</w:t>
      </w:r>
      <w:r>
        <w:rPr>
          <w:spacing w:val="30"/>
        </w:rPr>
        <w:t> </w:t>
      </w:r>
      <w:r>
        <w:rPr/>
        <w:t>standard</w:t>
      </w:r>
      <w:r>
        <w:rPr>
          <w:spacing w:val="30"/>
        </w:rPr>
        <w:t> </w:t>
      </w:r>
      <w:r>
        <w:rPr/>
        <w:t>health</w:t>
      </w:r>
      <w:r>
        <w:rPr>
          <w:spacing w:val="30"/>
        </w:rPr>
        <w:t> </w:t>
      </w:r>
      <w:r>
        <w:rPr/>
        <w:t>facilities,</w:t>
      </w:r>
      <w:r>
        <w:rPr>
          <w:spacing w:val="30"/>
        </w:rPr>
        <w:t> </w:t>
      </w:r>
      <w:r>
        <w:rPr/>
        <w:t>frequently</w:t>
      </w:r>
      <w:r>
        <w:rPr>
          <w:spacing w:val="26"/>
        </w:rPr>
        <w:t> </w:t>
      </w:r>
      <w:r>
        <w:rPr/>
        <w:t>used</w:t>
      </w:r>
      <w:r>
        <w:rPr>
          <w:spacing w:val="30"/>
        </w:rPr>
        <w:t> </w:t>
      </w:r>
      <w:r>
        <w:rPr/>
        <w:t>by</w:t>
      </w:r>
      <w:r>
        <w:rPr>
          <w:spacing w:val="28"/>
        </w:rPr>
        <w:t> </w:t>
      </w:r>
      <w:r>
        <w:rPr/>
        <w:t>pregnant</w:t>
      </w:r>
      <w:r>
        <w:rPr>
          <w:spacing w:val="33"/>
        </w:rPr>
        <w:t> </w:t>
      </w:r>
      <w:r>
        <w:rPr>
          <w:spacing w:val="-2"/>
        </w:rPr>
        <w:t>women</w:t>
      </w:r>
    </w:p>
    <w:p>
      <w:pPr>
        <w:spacing w:after="0" w:line="480" w:lineRule="auto"/>
        <w:jc w:val="both"/>
        <w:sectPr>
          <w:pgSz w:w="11910" w:h="16840"/>
          <w:pgMar w:header="0" w:footer="1067" w:top="1060" w:bottom="1260" w:left="880" w:right="640"/>
        </w:sectPr>
      </w:pPr>
    </w:p>
    <w:p>
      <w:pPr>
        <w:pStyle w:val="BodyText"/>
        <w:spacing w:line="480" w:lineRule="auto" w:before="70"/>
        <w:ind w:left="560" w:right="796"/>
        <w:jc w:val="both"/>
      </w:pPr>
      <w:r>
        <w:rPr/>
        <w:t>and are manned by qualified and experienced health professionals. The malaria parasitaemic pregnant women were 144 in number and considered as the first group of the test subjects while the malaria aparasitaemic pregnant women were 62 in number and considered as the</w:t>
      </w:r>
      <w:r>
        <w:rPr>
          <w:spacing w:val="40"/>
        </w:rPr>
        <w:t> </w:t>
      </w:r>
      <w:r>
        <w:rPr/>
        <w:t>2</w:t>
      </w:r>
      <w:r>
        <w:rPr>
          <w:vertAlign w:val="superscript"/>
        </w:rPr>
        <w:t>nd</w:t>
      </w:r>
      <w:r>
        <w:rPr>
          <w:vertAlign w:val="baseline"/>
        </w:rPr>
        <w:t> batch of the test group. The malariaparasitaemic immediate post-partum were 30 in number and taken as the third group of the test subjects while the malaria aparasiteamic immediate post-partum were 20 in number and taken as the 4th batch of the test group. Similarly, 40malaria aparasitaemic apparently healthy non-pregnant women of the same agewith the test groups were recruited as controls and served as the 5</w:t>
      </w:r>
      <w:r>
        <w:rPr>
          <w:vertAlign w:val="superscript"/>
        </w:rPr>
        <w:t>th</w:t>
      </w:r>
      <w:r>
        <w:rPr>
          <w:vertAlign w:val="baseline"/>
        </w:rPr>
        <w:t> group. The control subjects were drawn from the Students of School of Nursing, ABSUTH.</w:t>
      </w:r>
    </w:p>
    <w:p>
      <w:pPr>
        <w:pStyle w:val="BodyText"/>
      </w:pPr>
    </w:p>
    <w:p>
      <w:pPr>
        <w:pStyle w:val="BodyText"/>
        <w:spacing w:before="6"/>
      </w:pPr>
    </w:p>
    <w:p>
      <w:pPr>
        <w:pStyle w:val="Heading2"/>
        <w:numPr>
          <w:ilvl w:val="1"/>
          <w:numId w:val="8"/>
        </w:numPr>
        <w:tabs>
          <w:tab w:pos="1279" w:val="left" w:leader="none"/>
        </w:tabs>
        <w:spacing w:line="240" w:lineRule="auto" w:before="0" w:after="0"/>
        <w:ind w:left="1279" w:right="0" w:hanging="719"/>
        <w:jc w:val="both"/>
      </w:pPr>
      <w:r>
        <w:rPr/>
        <w:t>STUDY</w:t>
      </w:r>
      <w:r>
        <w:rPr>
          <w:spacing w:val="-1"/>
        </w:rPr>
        <w:t> </w:t>
      </w:r>
      <w:r>
        <w:rPr>
          <w:spacing w:val="-2"/>
        </w:rPr>
        <w:t>DESIGN</w:t>
      </w:r>
    </w:p>
    <w:p>
      <w:pPr>
        <w:pStyle w:val="BodyText"/>
        <w:spacing w:line="480" w:lineRule="auto" w:before="272"/>
        <w:ind w:left="560" w:right="795"/>
        <w:jc w:val="both"/>
      </w:pPr>
      <w:r>
        <w:rPr/>
        <w:t>The study was a cross-sectionalresearch work that involved pregnant and immediate post partum women. Samples were collected from the pregnant subjects on enrollment for antenatal care. Again blood from the placenta was collected from them shortly after delivery. For</w:t>
      </w:r>
      <w:r>
        <w:rPr>
          <w:spacing w:val="32"/>
        </w:rPr>
        <w:t> </w:t>
      </w:r>
      <w:r>
        <w:rPr/>
        <w:t>the</w:t>
      </w:r>
      <w:r>
        <w:rPr>
          <w:spacing w:val="34"/>
        </w:rPr>
        <w:t> </w:t>
      </w:r>
      <w:r>
        <w:rPr/>
        <w:t>pregnant</w:t>
      </w:r>
      <w:r>
        <w:rPr>
          <w:spacing w:val="35"/>
        </w:rPr>
        <w:t> </w:t>
      </w:r>
      <w:r>
        <w:rPr/>
        <w:t>and</w:t>
      </w:r>
      <w:r>
        <w:rPr>
          <w:spacing w:val="34"/>
        </w:rPr>
        <w:t> </w:t>
      </w:r>
      <w:r>
        <w:rPr/>
        <w:t>non</w:t>
      </w:r>
      <w:r>
        <w:rPr>
          <w:spacing w:val="34"/>
        </w:rPr>
        <w:t> </w:t>
      </w:r>
      <w:r>
        <w:rPr/>
        <w:t>pregnant</w:t>
      </w:r>
      <w:r>
        <w:rPr>
          <w:spacing w:val="35"/>
        </w:rPr>
        <w:t> </w:t>
      </w:r>
      <w:r>
        <w:rPr/>
        <w:t>(control)</w:t>
      </w:r>
      <w:r>
        <w:rPr>
          <w:spacing w:val="34"/>
        </w:rPr>
        <w:t> </w:t>
      </w:r>
      <w:r>
        <w:rPr/>
        <w:t>subjects,</w:t>
      </w:r>
      <w:r>
        <w:rPr>
          <w:spacing w:val="35"/>
        </w:rPr>
        <w:t> </w:t>
      </w:r>
      <w:r>
        <w:rPr/>
        <w:t>the</w:t>
      </w:r>
      <w:r>
        <w:rPr>
          <w:spacing w:val="33"/>
        </w:rPr>
        <w:t> </w:t>
      </w:r>
      <w:r>
        <w:rPr/>
        <w:t>samples</w:t>
      </w:r>
      <w:r>
        <w:rPr>
          <w:spacing w:val="35"/>
        </w:rPr>
        <w:t> </w:t>
      </w:r>
      <w:r>
        <w:rPr/>
        <w:t>were</w:t>
      </w:r>
      <w:r>
        <w:rPr>
          <w:spacing w:val="35"/>
        </w:rPr>
        <w:t> </w:t>
      </w:r>
      <w:r>
        <w:rPr/>
        <w:t>collected</w:t>
      </w:r>
      <w:r>
        <w:rPr>
          <w:spacing w:val="34"/>
        </w:rPr>
        <w:t> </w:t>
      </w:r>
      <w:r>
        <w:rPr>
          <w:spacing w:val="-2"/>
        </w:rPr>
        <w:t>between</w:t>
      </w:r>
    </w:p>
    <w:p>
      <w:pPr>
        <w:pStyle w:val="BodyText"/>
        <w:spacing w:line="480" w:lineRule="auto"/>
        <w:ind w:left="560" w:right="803"/>
        <w:jc w:val="both"/>
      </w:pPr>
      <w:r>
        <w:rPr/>
        <w:t>9.00 am 11.00 am. The samples collected were screened for malaria parasite and HIV and those</w:t>
      </w:r>
      <w:r>
        <w:rPr>
          <w:spacing w:val="-3"/>
        </w:rPr>
        <w:t> </w:t>
      </w:r>
      <w:r>
        <w:rPr/>
        <w:t>that</w:t>
      </w:r>
      <w:r>
        <w:rPr>
          <w:spacing w:val="-3"/>
        </w:rPr>
        <w:t> </w:t>
      </w:r>
      <w:r>
        <w:rPr/>
        <w:t>tested</w:t>
      </w:r>
      <w:r>
        <w:rPr>
          <w:spacing w:val="-2"/>
        </w:rPr>
        <w:t> </w:t>
      </w:r>
      <w:r>
        <w:rPr/>
        <w:t>positive</w:t>
      </w:r>
      <w:r>
        <w:rPr>
          <w:spacing w:val="-2"/>
        </w:rPr>
        <w:t> </w:t>
      </w:r>
      <w:r>
        <w:rPr/>
        <w:t>were</w:t>
      </w:r>
      <w:r>
        <w:rPr>
          <w:spacing w:val="-3"/>
        </w:rPr>
        <w:t> </w:t>
      </w:r>
      <w:r>
        <w:rPr/>
        <w:t>referred</w:t>
      </w:r>
      <w:r>
        <w:rPr>
          <w:spacing w:val="-1"/>
        </w:rPr>
        <w:t> </w:t>
      </w:r>
      <w:r>
        <w:rPr/>
        <w:t>to</w:t>
      </w:r>
      <w:r>
        <w:rPr>
          <w:spacing w:val="-3"/>
        </w:rPr>
        <w:t> </w:t>
      </w:r>
      <w:r>
        <w:rPr/>
        <w:t>their</w:t>
      </w:r>
      <w:r>
        <w:rPr>
          <w:spacing w:val="-2"/>
        </w:rPr>
        <w:t> </w:t>
      </w:r>
      <w:r>
        <w:rPr/>
        <w:t>respective</w:t>
      </w:r>
      <w:r>
        <w:rPr>
          <w:spacing w:val="-4"/>
        </w:rPr>
        <w:t> </w:t>
      </w:r>
      <w:r>
        <w:rPr/>
        <w:t>hospitals</w:t>
      </w:r>
      <w:r>
        <w:rPr>
          <w:spacing w:val="-3"/>
        </w:rPr>
        <w:t> </w:t>
      </w:r>
      <w:r>
        <w:rPr/>
        <w:t>for</w:t>
      </w:r>
      <w:r>
        <w:rPr>
          <w:spacing w:val="-3"/>
        </w:rPr>
        <w:t> </w:t>
      </w:r>
      <w:r>
        <w:rPr/>
        <w:t>necessary</w:t>
      </w:r>
      <w:r>
        <w:rPr>
          <w:spacing w:val="-8"/>
        </w:rPr>
        <w:t> </w:t>
      </w:r>
      <w:r>
        <w:rPr/>
        <w:t>intervention. Based on the pattern of recruitment and information conveyed by the various parameters, the study was designed into 4 modules.</w:t>
      </w:r>
    </w:p>
    <w:p>
      <w:pPr>
        <w:pStyle w:val="BodyText"/>
        <w:spacing w:before="6"/>
      </w:pPr>
    </w:p>
    <w:p>
      <w:pPr>
        <w:pStyle w:val="Heading3"/>
        <w:numPr>
          <w:ilvl w:val="2"/>
          <w:numId w:val="8"/>
        </w:numPr>
        <w:tabs>
          <w:tab w:pos="1279" w:val="left" w:leader="none"/>
        </w:tabs>
        <w:spacing w:line="240" w:lineRule="auto" w:before="0" w:after="0"/>
        <w:ind w:left="1279" w:right="0" w:hanging="719"/>
        <w:jc w:val="both"/>
      </w:pPr>
      <w:r>
        <w:rPr/>
        <w:t>Module</w:t>
      </w:r>
      <w:r>
        <w:rPr>
          <w:spacing w:val="-4"/>
        </w:rPr>
        <w:t> </w:t>
      </w:r>
      <w:r>
        <w:rPr/>
        <w:t>I:</w:t>
      </w:r>
      <w:r>
        <w:rPr>
          <w:spacing w:val="-3"/>
        </w:rPr>
        <w:t> </w:t>
      </w:r>
      <w:r>
        <w:rPr/>
        <w:t>Assessment</w:t>
      </w:r>
      <w:r>
        <w:rPr>
          <w:spacing w:val="-1"/>
        </w:rPr>
        <w:t> </w:t>
      </w:r>
      <w:r>
        <w:rPr/>
        <w:t>of</w:t>
      </w:r>
      <w:r>
        <w:rPr>
          <w:spacing w:val="-1"/>
        </w:rPr>
        <w:t> </w:t>
      </w:r>
      <w:r>
        <w:rPr/>
        <w:t>Immune</w:t>
      </w:r>
      <w:r>
        <w:rPr>
          <w:spacing w:val="-2"/>
        </w:rPr>
        <w:t> Stimulation</w:t>
      </w:r>
    </w:p>
    <w:p>
      <w:pPr>
        <w:pStyle w:val="BodyText"/>
        <w:spacing w:line="480" w:lineRule="auto" w:before="271"/>
        <w:ind w:left="560" w:right="791"/>
        <w:jc w:val="both"/>
      </w:pPr>
      <w:r>
        <w:rPr/>
        <w:t>Samples were screened for malaria and HIV.Subsequent analysis was carried out only on</w:t>
      </w:r>
      <w:r>
        <w:rPr>
          <w:spacing w:val="40"/>
        </w:rPr>
        <w:t> </w:t>
      </w:r>
      <w:r>
        <w:rPr/>
        <w:t>HIV negative samples. The degree of malaria parasitaemia was quantitatively determined by the parasite count.Cytokine assay establishes the presence of immune stimulation. It</w:t>
      </w:r>
      <w:r>
        <w:rPr>
          <w:spacing w:val="80"/>
        </w:rPr>
        <w:t> </w:t>
      </w:r>
      <w:r>
        <w:rPr/>
        <w:t>describes the activity of all leucocytes of bothinnate andadaptive immune responses. The cytokines evaluated were IL-4, IL-6, 1L-10, TNF</w:t>
      </w:r>
      <w:r>
        <w:rPr>
          <w:rFonts w:ascii="Symbol" w:hAnsi="Symbol"/>
        </w:rPr>
        <w:t></w:t>
      </w:r>
      <w:r>
        <w:rPr/>
        <w:t> and IFN</w:t>
      </w:r>
      <w:r>
        <w:rPr>
          <w:rFonts w:ascii="Symbol" w:hAnsi="Symbol"/>
        </w:rPr>
        <w:t></w:t>
      </w:r>
      <w:r>
        <w:rPr/>
        <w:t>.</w:t>
      </w:r>
    </w:p>
    <w:p>
      <w:pPr>
        <w:spacing w:after="0" w:line="480" w:lineRule="auto"/>
        <w:jc w:val="both"/>
        <w:sectPr>
          <w:pgSz w:w="11910" w:h="16840"/>
          <w:pgMar w:header="0" w:footer="1067" w:top="1060" w:bottom="1260" w:left="880" w:right="640"/>
        </w:sectPr>
      </w:pPr>
    </w:p>
    <w:p>
      <w:pPr>
        <w:pStyle w:val="Heading3"/>
        <w:numPr>
          <w:ilvl w:val="2"/>
          <w:numId w:val="8"/>
        </w:numPr>
        <w:tabs>
          <w:tab w:pos="1279" w:val="left" w:leader="none"/>
        </w:tabs>
        <w:spacing w:line="240" w:lineRule="auto" w:before="75" w:after="0"/>
        <w:ind w:left="1279" w:right="0" w:hanging="719"/>
        <w:jc w:val="both"/>
      </w:pPr>
      <w:r>
        <w:rPr/>
        <w:t>Module</w:t>
      </w:r>
      <w:r>
        <w:rPr>
          <w:spacing w:val="-2"/>
        </w:rPr>
        <w:t> </w:t>
      </w:r>
      <w:r>
        <w:rPr/>
        <w:t>II:</w:t>
      </w:r>
      <w:r>
        <w:rPr>
          <w:spacing w:val="-2"/>
        </w:rPr>
        <w:t> </w:t>
      </w:r>
      <w:r>
        <w:rPr/>
        <w:t>Determination</w:t>
      </w:r>
      <w:r>
        <w:rPr>
          <w:spacing w:val="-1"/>
        </w:rPr>
        <w:t> </w:t>
      </w:r>
      <w:r>
        <w:rPr/>
        <w:t>of some</w:t>
      </w:r>
      <w:r>
        <w:rPr>
          <w:spacing w:val="-3"/>
        </w:rPr>
        <w:t> </w:t>
      </w:r>
      <w:r>
        <w:rPr/>
        <w:t>iron</w:t>
      </w:r>
      <w:r>
        <w:rPr>
          <w:spacing w:val="-1"/>
        </w:rPr>
        <w:t> </w:t>
      </w:r>
      <w:r>
        <w:rPr/>
        <w:t>parameters and</w:t>
      </w:r>
      <w:r>
        <w:rPr>
          <w:spacing w:val="-1"/>
        </w:rPr>
        <w:t> </w:t>
      </w:r>
      <w:r>
        <w:rPr/>
        <w:t>Red</w:t>
      </w:r>
      <w:r>
        <w:rPr>
          <w:spacing w:val="-1"/>
        </w:rPr>
        <w:t> </w:t>
      </w:r>
      <w:r>
        <w:rPr/>
        <w:t>Cell</w:t>
      </w:r>
      <w:r>
        <w:rPr>
          <w:spacing w:val="-1"/>
        </w:rPr>
        <w:t> </w:t>
      </w:r>
      <w:r>
        <w:rPr>
          <w:spacing w:val="-2"/>
        </w:rPr>
        <w:t>profile</w:t>
      </w:r>
    </w:p>
    <w:p>
      <w:pPr>
        <w:pStyle w:val="BodyText"/>
        <w:spacing w:line="480" w:lineRule="auto" w:before="271"/>
        <w:ind w:left="560" w:right="795"/>
        <w:jc w:val="both"/>
      </w:pPr>
      <w:r>
        <w:rPr/>
        <w:t>Iron parameters were carefully selected to evaluate iron at the store, transport and functional levels. Those assessed were serum ferritin (SF) and soluble transferrin receptor (sTfR). Values of sTfR and SF were used to calculate sTfR – F Index. Full blood count with differential and red cell indices evaluates only</w:t>
      </w:r>
      <w:r>
        <w:rPr>
          <w:spacing w:val="-6"/>
        </w:rPr>
        <w:t> </w:t>
      </w:r>
      <w:r>
        <w:rPr/>
        <w:t>the innate immune response. It was used in the determination and classification of anaemia.</w:t>
      </w:r>
    </w:p>
    <w:p>
      <w:pPr>
        <w:pStyle w:val="Heading3"/>
        <w:numPr>
          <w:ilvl w:val="2"/>
          <w:numId w:val="8"/>
        </w:numPr>
        <w:tabs>
          <w:tab w:pos="1279" w:val="left" w:leader="none"/>
        </w:tabs>
        <w:spacing w:line="240" w:lineRule="auto" w:before="246" w:after="0"/>
        <w:ind w:left="1279" w:right="0" w:hanging="719"/>
        <w:jc w:val="both"/>
      </w:pPr>
      <w:r>
        <w:rPr/>
        <w:t>Module</w:t>
      </w:r>
      <w:r>
        <w:rPr>
          <w:spacing w:val="-2"/>
        </w:rPr>
        <w:t> </w:t>
      </w:r>
      <w:r>
        <w:rPr/>
        <w:t>III:</w:t>
      </w:r>
      <w:r>
        <w:rPr>
          <w:spacing w:val="-1"/>
        </w:rPr>
        <w:t> </w:t>
      </w:r>
      <w:r>
        <w:rPr/>
        <w:t>Assessment</w:t>
      </w:r>
      <w:r>
        <w:rPr>
          <w:spacing w:val="-1"/>
        </w:rPr>
        <w:t> </w:t>
      </w:r>
      <w:r>
        <w:rPr/>
        <w:t>of some metabolic and</w:t>
      </w:r>
      <w:r>
        <w:rPr>
          <w:spacing w:val="-1"/>
        </w:rPr>
        <w:t> </w:t>
      </w:r>
      <w:r>
        <w:rPr/>
        <w:t>surrogate</w:t>
      </w:r>
      <w:r>
        <w:rPr>
          <w:spacing w:val="-2"/>
        </w:rPr>
        <w:t> parameters</w:t>
      </w:r>
    </w:p>
    <w:p>
      <w:pPr>
        <w:pStyle w:val="BodyText"/>
        <w:spacing w:line="480" w:lineRule="auto" w:before="271"/>
        <w:ind w:left="560" w:right="795"/>
        <w:jc w:val="both"/>
      </w:pPr>
      <w:r>
        <w:rPr/>
        <w:t>The</w:t>
      </w:r>
      <w:r>
        <w:rPr>
          <w:spacing w:val="-5"/>
        </w:rPr>
        <w:t> </w:t>
      </w:r>
      <w:r>
        <w:rPr/>
        <w:t>parameters</w:t>
      </w:r>
      <w:r>
        <w:rPr>
          <w:spacing w:val="-2"/>
        </w:rPr>
        <w:t> </w:t>
      </w:r>
      <w:r>
        <w:rPr/>
        <w:t>measured</w:t>
      </w:r>
      <w:r>
        <w:rPr>
          <w:spacing w:val="-3"/>
        </w:rPr>
        <w:t> </w:t>
      </w:r>
      <w:r>
        <w:rPr/>
        <w:t>were</w:t>
      </w:r>
      <w:r>
        <w:rPr>
          <w:spacing w:val="-2"/>
        </w:rPr>
        <w:t> </w:t>
      </w:r>
      <w:r>
        <w:rPr/>
        <w:t>levels</w:t>
      </w:r>
      <w:r>
        <w:rPr>
          <w:spacing w:val="-3"/>
        </w:rPr>
        <w:t> </w:t>
      </w:r>
      <w:r>
        <w:rPr/>
        <w:t>of</w:t>
      </w:r>
      <w:r>
        <w:rPr>
          <w:spacing w:val="-4"/>
        </w:rPr>
        <w:t> </w:t>
      </w:r>
      <w:r>
        <w:rPr/>
        <w:t>C-reactive</w:t>
      </w:r>
      <w:r>
        <w:rPr>
          <w:spacing w:val="-4"/>
        </w:rPr>
        <w:t> </w:t>
      </w:r>
      <w:r>
        <w:rPr/>
        <w:t>protein,</w:t>
      </w:r>
      <w:r>
        <w:rPr>
          <w:spacing w:val="-3"/>
        </w:rPr>
        <w:t> </w:t>
      </w:r>
      <w:r>
        <w:rPr/>
        <w:t>glucose</w:t>
      </w:r>
      <w:r>
        <w:rPr>
          <w:spacing w:val="-4"/>
        </w:rPr>
        <w:t> </w:t>
      </w:r>
      <w:r>
        <w:rPr/>
        <w:t>and</w:t>
      </w:r>
      <w:r>
        <w:rPr>
          <w:spacing w:val="-1"/>
        </w:rPr>
        <w:t> </w:t>
      </w:r>
      <w:r>
        <w:rPr/>
        <w:t>creatinine.</w:t>
      </w:r>
      <w:r>
        <w:rPr>
          <w:spacing w:val="-1"/>
        </w:rPr>
        <w:t> </w:t>
      </w:r>
      <w:r>
        <w:rPr/>
        <w:t>C-RP</w:t>
      </w:r>
      <w:r>
        <w:rPr>
          <w:spacing w:val="-3"/>
        </w:rPr>
        <w:t> </w:t>
      </w:r>
      <w:r>
        <w:rPr/>
        <w:t>was adopted not only to assess infections/inflammation but as a surrogate marker to show the influence of inflammation/ infection on SF.Serum ferritin would be elevated in infection/ inflammatory response. The glucose estimation was to show the effect of parasitaemia on glucose metabolism while creatinine evaluation assesses the normal functioning of the</w:t>
      </w:r>
      <w:r>
        <w:rPr>
          <w:spacing w:val="40"/>
        </w:rPr>
        <w:t> </w:t>
      </w:r>
      <w:r>
        <w:rPr>
          <w:spacing w:val="-2"/>
        </w:rPr>
        <w:t>kidney.</w:t>
      </w:r>
    </w:p>
    <w:p>
      <w:pPr>
        <w:pStyle w:val="BodyText"/>
        <w:spacing w:before="6"/>
      </w:pPr>
    </w:p>
    <w:p>
      <w:pPr>
        <w:pStyle w:val="Heading3"/>
        <w:numPr>
          <w:ilvl w:val="2"/>
          <w:numId w:val="8"/>
        </w:numPr>
        <w:tabs>
          <w:tab w:pos="1100" w:val="left" w:leader="none"/>
        </w:tabs>
        <w:spacing w:line="240" w:lineRule="auto" w:before="0" w:after="0"/>
        <w:ind w:left="1100" w:right="0" w:hanging="540"/>
        <w:jc w:val="both"/>
      </w:pPr>
      <w:r>
        <w:rPr/>
        <w:t>Module</w:t>
      </w:r>
      <w:r>
        <w:rPr>
          <w:spacing w:val="-2"/>
        </w:rPr>
        <w:t> </w:t>
      </w:r>
      <w:r>
        <w:rPr/>
        <w:t>IV:</w:t>
      </w:r>
      <w:r>
        <w:rPr>
          <w:spacing w:val="-2"/>
        </w:rPr>
        <w:t> </w:t>
      </w:r>
      <w:r>
        <w:rPr/>
        <w:t>Determination</w:t>
      </w:r>
      <w:r>
        <w:rPr>
          <w:spacing w:val="1"/>
        </w:rPr>
        <w:t> </w:t>
      </w:r>
      <w:r>
        <w:rPr/>
        <w:t>of</w:t>
      </w:r>
      <w:r>
        <w:rPr>
          <w:spacing w:val="-1"/>
        </w:rPr>
        <w:t> </w:t>
      </w:r>
      <w:r>
        <w:rPr>
          <w:spacing w:val="-2"/>
        </w:rPr>
        <w:t>Association.</w:t>
      </w:r>
    </w:p>
    <w:p>
      <w:pPr>
        <w:pStyle w:val="BodyText"/>
        <w:spacing w:line="480" w:lineRule="auto" w:before="271"/>
        <w:ind w:left="560" w:right="793"/>
        <w:jc w:val="both"/>
      </w:pPr>
      <w:r>
        <w:rPr/>
        <w:t>In this study, the levels of association or relationship were determined by correlation.Correlationmeasures</w:t>
      </w:r>
      <w:r>
        <w:rPr>
          <w:spacing w:val="-1"/>
        </w:rPr>
        <w:t> </w:t>
      </w:r>
      <w:r>
        <w:rPr/>
        <w:t>the</w:t>
      </w:r>
      <w:r>
        <w:rPr>
          <w:spacing w:val="-4"/>
        </w:rPr>
        <w:t> </w:t>
      </w:r>
      <w:r>
        <w:rPr/>
        <w:t>strength</w:t>
      </w:r>
      <w:r>
        <w:rPr>
          <w:spacing w:val="-2"/>
        </w:rPr>
        <w:t> </w:t>
      </w:r>
      <w:r>
        <w:rPr/>
        <w:t>of</w:t>
      </w:r>
      <w:r>
        <w:rPr>
          <w:spacing w:val="-4"/>
        </w:rPr>
        <w:t> </w:t>
      </w:r>
      <w:r>
        <w:rPr/>
        <w:t>relationships</w:t>
      </w:r>
      <w:r>
        <w:rPr>
          <w:spacing w:val="-4"/>
        </w:rPr>
        <w:t> </w:t>
      </w:r>
      <w:r>
        <w:rPr/>
        <w:t>between</w:t>
      </w:r>
      <w:r>
        <w:rPr>
          <w:spacing w:val="-4"/>
        </w:rPr>
        <w:t> </w:t>
      </w:r>
      <w:r>
        <w:rPr/>
        <w:t>variables.</w:t>
      </w:r>
      <w:r>
        <w:rPr>
          <w:spacing w:val="-4"/>
        </w:rPr>
        <w:t> </w:t>
      </w:r>
      <w:r>
        <w:rPr/>
        <w:t>The</w:t>
      </w:r>
      <w:r>
        <w:rPr>
          <w:spacing w:val="-6"/>
        </w:rPr>
        <w:t> </w:t>
      </w:r>
      <w:r>
        <w:rPr/>
        <w:t>variables may be expressed in different units and could be located on any axis.ScatterDiagramand Karl Pearson‟s coefficient of correlation were the graphical and mathematical methods respectively used. The Pearsonian coefficient of correlation is denoted by the symbol „r‟ (Nwachukwu and Egbulonu, 2000; Pillai and Bagavathi, 2012).</w:t>
      </w:r>
    </w:p>
    <w:p>
      <w:pPr>
        <w:spacing w:after="0" w:line="480" w:lineRule="auto"/>
        <w:jc w:val="both"/>
        <w:sectPr>
          <w:pgSz w:w="11910" w:h="16840"/>
          <w:pgMar w:header="0" w:footer="1067" w:top="1060" w:bottom="1260" w:left="880" w:right="640"/>
        </w:sectPr>
      </w:pPr>
    </w:p>
    <w:p>
      <w:pPr>
        <w:pStyle w:val="Heading2"/>
        <w:numPr>
          <w:ilvl w:val="1"/>
          <w:numId w:val="8"/>
        </w:numPr>
        <w:tabs>
          <w:tab w:pos="1280" w:val="left" w:leader="none"/>
        </w:tabs>
        <w:spacing w:line="240" w:lineRule="auto" w:before="75" w:after="0"/>
        <w:ind w:left="1280" w:right="0" w:hanging="720"/>
        <w:jc w:val="left"/>
      </w:pPr>
      <w:r>
        <w:rPr/>
        <w:t>SAMPLE</w:t>
      </w:r>
      <w:r>
        <w:rPr>
          <w:spacing w:val="-1"/>
        </w:rPr>
        <w:t> </w:t>
      </w:r>
      <w:r>
        <w:rPr>
          <w:spacing w:val="-4"/>
        </w:rPr>
        <w:t>SIZE</w:t>
      </w:r>
    </w:p>
    <w:p>
      <w:pPr>
        <w:pStyle w:val="BodyText"/>
        <w:spacing w:line="480" w:lineRule="auto" w:before="271"/>
        <w:ind w:left="560" w:right="799"/>
        <w:jc w:val="both"/>
      </w:pPr>
      <w:r>
        <w:rPr/>
        <w:t>The sampling method for the study was Convenience Sampling and thesample size of 206 was determined using 16% prevalence of malaria in pregnancy in South Eastern Nigeria (Uneke, 2007). It was calculated by simple formula (Daniel, 1999).</w:t>
      </w:r>
    </w:p>
    <w:p>
      <w:pPr>
        <w:spacing w:line="168" w:lineRule="auto" w:before="18"/>
        <w:ind w:left="560" w:right="0" w:firstLine="0"/>
        <w:jc w:val="both"/>
        <w:rPr>
          <w:rFonts w:ascii="Cambria Math" w:hAnsi="Cambria Math" w:eastAsia="Cambria Math"/>
          <w:sz w:val="17"/>
        </w:rPr>
      </w:pPr>
      <w:r>
        <w:rPr/>
        <mc:AlternateContent>
          <mc:Choice Requires="wps">
            <w:drawing>
              <wp:anchor distT="0" distB="0" distL="0" distR="0" allowOverlap="1" layoutInCell="1" locked="0" behindDoc="1" simplePos="0" relativeHeight="484733952">
                <wp:simplePos x="0" y="0"/>
                <wp:positionH relativeFrom="page">
                  <wp:posOffset>1377950</wp:posOffset>
                </wp:positionH>
                <wp:positionV relativeFrom="paragraph">
                  <wp:posOffset>159616</wp:posOffset>
                </wp:positionV>
                <wp:extent cx="527685" cy="1079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527685" cy="10795"/>
                        </a:xfrm>
                        <a:custGeom>
                          <a:avLst/>
                          <a:gdLst/>
                          <a:ahLst/>
                          <a:cxnLst/>
                          <a:rect l="l" t="t" r="r" b="b"/>
                          <a:pathLst>
                            <a:path w="527685" h="10795">
                              <a:moveTo>
                                <a:pt x="527304" y="0"/>
                              </a:moveTo>
                              <a:lnTo>
                                <a:pt x="0" y="0"/>
                              </a:lnTo>
                              <a:lnTo>
                                <a:pt x="0" y="10668"/>
                              </a:lnTo>
                              <a:lnTo>
                                <a:pt x="527304" y="10668"/>
                              </a:lnTo>
                              <a:lnTo>
                                <a:pt x="5273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8.5pt;margin-top:12.568193pt;width:41.52pt;height:.84001pt;mso-position-horizontal-relative:page;mso-position-vertical-relative:paragraph;z-index:-18582528" id="docshape3" filled="true" fillcolor="#000000" stroked="false">
                <v:fill type="solid"/>
                <w10:wrap type="none"/>
              </v:rect>
            </w:pict>
          </mc:Fallback>
        </mc:AlternateContent>
      </w:r>
      <w:r>
        <w:rPr>
          <w:position w:val="-13"/>
          <w:sz w:val="24"/>
        </w:rPr>
        <w:t>N</w:t>
      </w:r>
      <w:r>
        <w:rPr>
          <w:spacing w:val="3"/>
          <w:position w:val="-13"/>
          <w:sz w:val="24"/>
        </w:rPr>
        <w:t> </w:t>
      </w:r>
      <w:r>
        <w:rPr>
          <w:position w:val="-13"/>
          <w:sz w:val="24"/>
        </w:rPr>
        <w:t>=</w:t>
      </w:r>
      <w:r>
        <w:rPr>
          <w:spacing w:val="66"/>
          <w:position w:val="-13"/>
          <w:sz w:val="24"/>
        </w:rPr>
        <w:t>   </w:t>
      </w:r>
      <w:r>
        <w:rPr>
          <w:rFonts w:ascii="Cambria Math" w:hAnsi="Cambria Math" w:eastAsia="Cambria Math"/>
          <w:sz w:val="17"/>
        </w:rPr>
        <w:t>𝑍</w:t>
      </w:r>
      <w:r>
        <w:rPr>
          <w:rFonts w:ascii="Cambria Math" w:hAnsi="Cambria Math" w:eastAsia="Cambria Math"/>
          <w:position w:val="6"/>
          <w:sz w:val="14"/>
        </w:rPr>
        <w:t>2</w:t>
      </w:r>
      <w:r>
        <w:rPr>
          <w:rFonts w:ascii="Cambria Math" w:hAnsi="Cambria Math" w:eastAsia="Cambria Math"/>
          <w:sz w:val="17"/>
        </w:rPr>
        <w:t>𝑃</w:t>
      </w:r>
      <w:r>
        <w:rPr>
          <w:rFonts w:ascii="Cambria Math" w:hAnsi="Cambria Math" w:eastAsia="Cambria Math"/>
          <w:spacing w:val="11"/>
          <w:sz w:val="17"/>
        </w:rPr>
        <w:t> </w:t>
      </w:r>
      <w:r>
        <w:rPr>
          <w:rFonts w:ascii="Cambria Math" w:hAnsi="Cambria Math" w:eastAsia="Cambria Math"/>
          <w:spacing w:val="-2"/>
          <w:sz w:val="17"/>
        </w:rPr>
        <w:t>(1−𝑃)</w:t>
      </w:r>
    </w:p>
    <w:p>
      <w:pPr>
        <w:spacing w:line="112" w:lineRule="auto" w:before="2"/>
        <w:ind w:left="1597" w:right="0" w:firstLine="0"/>
        <w:jc w:val="left"/>
        <w:rPr>
          <w:rFonts w:ascii="Cambria Math" w:eastAsia="Cambria Math"/>
          <w:sz w:val="14"/>
        </w:rPr>
      </w:pPr>
      <w:r>
        <w:rPr>
          <w:rFonts w:ascii="Cambria Math" w:eastAsia="Cambria Math"/>
          <w:spacing w:val="-5"/>
          <w:position w:val="-4"/>
          <w:sz w:val="17"/>
        </w:rPr>
        <w:t>𝐷</w:t>
      </w:r>
      <w:r>
        <w:rPr>
          <w:rFonts w:ascii="Cambria Math" w:eastAsia="Cambria Math"/>
          <w:spacing w:val="-5"/>
          <w:sz w:val="14"/>
        </w:rPr>
        <w:t>2</w:t>
      </w:r>
    </w:p>
    <w:p>
      <w:pPr>
        <w:pStyle w:val="BodyText"/>
        <w:spacing w:before="147"/>
        <w:ind w:left="560"/>
        <w:jc w:val="both"/>
      </w:pPr>
      <w:r>
        <w:rPr/>
        <w:t>Where</w:t>
      </w:r>
      <w:r>
        <w:rPr>
          <w:spacing w:val="-4"/>
        </w:rPr>
        <w:t> </w:t>
      </w:r>
      <w:r>
        <w:rPr/>
        <w:t>N =</w:t>
      </w:r>
      <w:r>
        <w:rPr>
          <w:spacing w:val="-2"/>
        </w:rPr>
        <w:t> </w:t>
      </w:r>
      <w:r>
        <w:rPr/>
        <w:t>sample </w:t>
      </w:r>
      <w:r>
        <w:rPr>
          <w:spacing w:val="-4"/>
        </w:rPr>
        <w:t>size</w:t>
      </w:r>
    </w:p>
    <w:p>
      <w:pPr>
        <w:pStyle w:val="BodyText"/>
        <w:spacing w:line="360" w:lineRule="auto" w:before="139"/>
        <w:ind w:left="560" w:right="6181"/>
        <w:jc w:val="both"/>
      </w:pPr>
      <w:r>
        <w:rPr/>
        <w:t>Z=</w:t>
      </w:r>
      <w:r>
        <w:rPr>
          <w:spacing w:val="-7"/>
        </w:rPr>
        <w:t> </w:t>
      </w:r>
      <w:r>
        <w:rPr/>
        <w:t>z</w:t>
      </w:r>
      <w:r>
        <w:rPr>
          <w:spacing w:val="-5"/>
        </w:rPr>
        <w:t> </w:t>
      </w:r>
      <w:r>
        <w:rPr/>
        <w:t>statistic</w:t>
      </w:r>
      <w:r>
        <w:rPr>
          <w:spacing w:val="-6"/>
        </w:rPr>
        <w:t> </w:t>
      </w:r>
      <w:r>
        <w:rPr/>
        <w:t>for</w:t>
      </w:r>
      <w:r>
        <w:rPr>
          <w:spacing w:val="-6"/>
        </w:rPr>
        <w:t> </w:t>
      </w:r>
      <w:r>
        <w:rPr/>
        <w:t>a</w:t>
      </w:r>
      <w:r>
        <w:rPr>
          <w:spacing w:val="-6"/>
        </w:rPr>
        <w:t> </w:t>
      </w:r>
      <w:r>
        <w:rPr/>
        <w:t>level</w:t>
      </w:r>
      <w:r>
        <w:rPr>
          <w:spacing w:val="-5"/>
        </w:rPr>
        <w:t> </w:t>
      </w:r>
      <w:r>
        <w:rPr/>
        <w:t>of</w:t>
      </w:r>
      <w:r>
        <w:rPr>
          <w:spacing w:val="-5"/>
        </w:rPr>
        <w:t> </w:t>
      </w:r>
      <w:r>
        <w:rPr/>
        <w:t>confidence P=</w:t>
      </w:r>
      <w:r>
        <w:rPr>
          <w:spacing w:val="-3"/>
        </w:rPr>
        <w:t> </w:t>
      </w:r>
      <w:r>
        <w:rPr/>
        <w:t>expected</w:t>
      </w:r>
      <w:r>
        <w:rPr>
          <w:spacing w:val="-2"/>
        </w:rPr>
        <w:t> </w:t>
      </w:r>
      <w:r>
        <w:rPr/>
        <w:t>prevalence</w:t>
      </w:r>
      <w:r>
        <w:rPr>
          <w:spacing w:val="-1"/>
        </w:rPr>
        <w:t> </w:t>
      </w:r>
      <w:r>
        <w:rPr/>
        <w:t>or</w:t>
      </w:r>
      <w:r>
        <w:rPr>
          <w:spacing w:val="-3"/>
        </w:rPr>
        <w:t> </w:t>
      </w:r>
      <w:r>
        <w:rPr/>
        <w:t>proportion D= precision</w:t>
      </w:r>
    </w:p>
    <w:p>
      <w:pPr>
        <w:pStyle w:val="BodyText"/>
        <w:spacing w:line="275" w:lineRule="exact"/>
        <w:ind w:left="560"/>
      </w:pPr>
      <w:r>
        <w:rPr/>
        <w:t>Z=</w:t>
      </w:r>
      <w:r>
        <w:rPr>
          <w:spacing w:val="-3"/>
        </w:rPr>
        <w:t> </w:t>
      </w:r>
      <w:r>
        <w:rPr/>
        <w:t>1.96</w:t>
      </w:r>
      <w:r>
        <w:rPr>
          <w:spacing w:val="-1"/>
        </w:rPr>
        <w:t> </w:t>
      </w:r>
      <w:r>
        <w:rPr/>
        <w:t>for</w:t>
      </w:r>
      <w:r>
        <w:rPr>
          <w:spacing w:val="-1"/>
        </w:rPr>
        <w:t> </w:t>
      </w:r>
      <w:r>
        <w:rPr/>
        <w:t>the</w:t>
      </w:r>
      <w:r>
        <w:rPr>
          <w:spacing w:val="-1"/>
        </w:rPr>
        <w:t> </w:t>
      </w:r>
      <w:r>
        <w:rPr/>
        <w:t>level</w:t>
      </w:r>
      <w:r>
        <w:rPr>
          <w:spacing w:val="-1"/>
        </w:rPr>
        <w:t> </w:t>
      </w:r>
      <w:r>
        <w:rPr/>
        <w:t>of confidence at </w:t>
      </w:r>
      <w:r>
        <w:rPr>
          <w:spacing w:val="-5"/>
        </w:rPr>
        <w:t>95%</w:t>
      </w:r>
    </w:p>
    <w:p>
      <w:pPr>
        <w:pStyle w:val="BodyText"/>
        <w:spacing w:line="360" w:lineRule="auto" w:before="139"/>
        <w:ind w:left="560" w:right="951"/>
      </w:pPr>
      <w:r>
        <w:rPr/>
        <w:t>P=</w:t>
      </w:r>
      <w:r>
        <w:rPr>
          <w:spacing w:val="-4"/>
        </w:rPr>
        <w:t> </w:t>
      </w:r>
      <w:r>
        <w:rPr/>
        <w:t>16%</w:t>
      </w:r>
      <w:r>
        <w:rPr>
          <w:spacing w:val="-4"/>
        </w:rPr>
        <w:t> </w:t>
      </w:r>
      <w:r>
        <w:rPr/>
        <w:t>(0.16)</w:t>
      </w:r>
      <w:r>
        <w:rPr>
          <w:spacing w:val="-4"/>
        </w:rPr>
        <w:t> </w:t>
      </w:r>
      <w:r>
        <w:rPr/>
        <w:t>prevalence</w:t>
      </w:r>
      <w:r>
        <w:rPr>
          <w:spacing w:val="-4"/>
        </w:rPr>
        <w:t> </w:t>
      </w:r>
      <w:r>
        <w:rPr/>
        <w:t>of</w:t>
      </w:r>
      <w:r>
        <w:rPr>
          <w:spacing w:val="-3"/>
        </w:rPr>
        <w:t> </w:t>
      </w:r>
      <w:r>
        <w:rPr/>
        <w:t>malaria</w:t>
      </w:r>
      <w:r>
        <w:rPr>
          <w:spacing w:val="-4"/>
        </w:rPr>
        <w:t> </w:t>
      </w:r>
      <w:r>
        <w:rPr/>
        <w:t>in</w:t>
      </w:r>
      <w:r>
        <w:rPr>
          <w:spacing w:val="-3"/>
        </w:rPr>
        <w:t> </w:t>
      </w:r>
      <w:r>
        <w:rPr/>
        <w:t>pregnancy</w:t>
      </w:r>
      <w:r>
        <w:rPr>
          <w:spacing w:val="-6"/>
        </w:rPr>
        <w:t> </w:t>
      </w:r>
      <w:r>
        <w:rPr/>
        <w:t>in</w:t>
      </w:r>
      <w:r>
        <w:rPr>
          <w:spacing w:val="-3"/>
        </w:rPr>
        <w:t> </w:t>
      </w:r>
      <w:r>
        <w:rPr/>
        <w:t>South</w:t>
      </w:r>
      <w:r>
        <w:rPr>
          <w:spacing w:val="-3"/>
        </w:rPr>
        <w:t> </w:t>
      </w:r>
      <w:r>
        <w:rPr/>
        <w:t>Eastern</w:t>
      </w:r>
      <w:r>
        <w:rPr>
          <w:spacing w:val="-3"/>
        </w:rPr>
        <w:t> </w:t>
      </w:r>
      <w:r>
        <w:rPr/>
        <w:t>Nigeria (Uneke,</w:t>
      </w:r>
      <w:r>
        <w:rPr>
          <w:spacing w:val="-3"/>
        </w:rPr>
        <w:t> </w:t>
      </w:r>
      <w:r>
        <w:rPr/>
        <w:t>2007). D= 5% (0.05)</w:t>
      </w:r>
    </w:p>
    <w:p>
      <w:pPr>
        <w:pStyle w:val="BodyText"/>
        <w:ind w:left="560"/>
      </w:pPr>
      <w:r>
        <w:rPr/>
        <w:t>N=</w:t>
      </w:r>
      <w:r>
        <w:rPr>
          <w:spacing w:val="-2"/>
        </w:rPr>
        <w:t> </w:t>
      </w:r>
      <w:r>
        <w:rPr>
          <w:spacing w:val="-4"/>
        </w:rPr>
        <w:t>206.</w:t>
      </w:r>
    </w:p>
    <w:p>
      <w:pPr>
        <w:pStyle w:val="BodyText"/>
        <w:spacing w:before="70"/>
      </w:pPr>
    </w:p>
    <w:p>
      <w:pPr>
        <w:pStyle w:val="Heading2"/>
        <w:numPr>
          <w:ilvl w:val="2"/>
          <w:numId w:val="8"/>
        </w:numPr>
        <w:tabs>
          <w:tab w:pos="1280" w:val="left" w:leader="none"/>
        </w:tabs>
        <w:spacing w:line="240" w:lineRule="auto" w:before="0" w:after="0"/>
        <w:ind w:left="1280" w:right="0" w:hanging="720"/>
        <w:jc w:val="left"/>
      </w:pPr>
      <w:r>
        <w:rPr/>
        <w:t>SELECTION</w:t>
      </w:r>
      <w:r>
        <w:rPr>
          <w:spacing w:val="-2"/>
        </w:rPr>
        <w:t> </w:t>
      </w:r>
      <w:r>
        <w:rPr/>
        <w:t>AND</w:t>
      </w:r>
      <w:r>
        <w:rPr>
          <w:spacing w:val="-2"/>
        </w:rPr>
        <w:t> </w:t>
      </w:r>
      <w:r>
        <w:rPr/>
        <w:t>ENROLMENT</w:t>
      </w:r>
      <w:r>
        <w:rPr>
          <w:spacing w:val="-1"/>
        </w:rPr>
        <w:t> </w:t>
      </w:r>
      <w:r>
        <w:rPr>
          <w:spacing w:val="-2"/>
        </w:rPr>
        <w:t>CRITERIA</w:t>
      </w:r>
    </w:p>
    <w:p>
      <w:pPr>
        <w:pStyle w:val="BodyText"/>
        <w:spacing w:line="480" w:lineRule="auto" w:before="272"/>
        <w:ind w:left="560" w:right="795"/>
        <w:jc w:val="both"/>
      </w:pPr>
      <w:r>
        <w:rPr/>
        <w:t>The participants were those that met and responded favourably to the enrolment criteria. The criteria were stated in the questionnaire which also tallied with the information on the subject‟s folder. The criteria were as follows: The study groups had not complained of bleeding prior to 32 weeks of gestation and had not been transfused. Again, the participants had no history of gastric and duodenal ulcer. They had no report of malignancy, liver diseases, hypertension and pre-eclampsia. Again, their HIV/ AIDS status recently showed negative. Also recruited were those without chronic diseases or other known causes of inflammation. Moreover, the pregnant subjects were those with singleton pregnancies (based on fundal height estimation and last menstrual period and ultrasound scan) from 8 weeks of gestation.</w:t>
      </w:r>
      <w:r>
        <w:rPr>
          <w:spacing w:val="-1"/>
        </w:rPr>
        <w:t> </w:t>
      </w:r>
      <w:r>
        <w:rPr/>
        <w:t>The</w:t>
      </w:r>
      <w:r>
        <w:rPr>
          <w:spacing w:val="-3"/>
        </w:rPr>
        <w:t> </w:t>
      </w:r>
      <w:r>
        <w:rPr/>
        <w:t>gestational</w:t>
      </w:r>
      <w:r>
        <w:rPr>
          <w:spacing w:val="-1"/>
        </w:rPr>
        <w:t> </w:t>
      </w:r>
      <w:r>
        <w:rPr/>
        <w:t>term</w:t>
      </w:r>
      <w:r>
        <w:rPr>
          <w:spacing w:val="-1"/>
        </w:rPr>
        <w:t> </w:t>
      </w:r>
      <w:r>
        <w:rPr/>
        <w:t>of</w:t>
      </w:r>
      <w:r>
        <w:rPr>
          <w:spacing w:val="-2"/>
        </w:rPr>
        <w:t> </w:t>
      </w:r>
      <w:r>
        <w:rPr/>
        <w:t>the</w:t>
      </w:r>
      <w:r>
        <w:rPr>
          <w:spacing w:val="-2"/>
        </w:rPr>
        <w:t> </w:t>
      </w:r>
      <w:r>
        <w:rPr/>
        <w:t>pregnant</w:t>
      </w:r>
      <w:r>
        <w:rPr>
          <w:spacing w:val="-1"/>
        </w:rPr>
        <w:t> </w:t>
      </w:r>
      <w:r>
        <w:rPr/>
        <w:t>groups</w:t>
      </w:r>
      <w:r>
        <w:rPr>
          <w:spacing w:val="-1"/>
        </w:rPr>
        <w:t> </w:t>
      </w:r>
      <w:r>
        <w:rPr/>
        <w:t>especially</w:t>
      </w:r>
      <w:r>
        <w:rPr>
          <w:spacing w:val="-6"/>
        </w:rPr>
        <w:t> </w:t>
      </w:r>
      <w:r>
        <w:rPr/>
        <w:t>those</w:t>
      </w:r>
      <w:r>
        <w:rPr>
          <w:spacing w:val="-2"/>
        </w:rPr>
        <w:t> </w:t>
      </w:r>
      <w:r>
        <w:rPr/>
        <w:t>that</w:t>
      </w:r>
      <w:r>
        <w:rPr>
          <w:spacing w:val="-1"/>
        </w:rPr>
        <w:t> </w:t>
      </w:r>
      <w:r>
        <w:rPr/>
        <w:t>reported</w:t>
      </w:r>
      <w:r>
        <w:rPr>
          <w:spacing w:val="-1"/>
        </w:rPr>
        <w:t> </w:t>
      </w:r>
      <w:r>
        <w:rPr/>
        <w:t>at</w:t>
      </w:r>
      <w:r>
        <w:rPr>
          <w:spacing w:val="-1"/>
        </w:rPr>
        <w:t> </w:t>
      </w:r>
      <w:r>
        <w:rPr/>
        <w:t>second and third trimester were also confirmed with ultrasound scan. The pregnant and non pregnant groups had not taken anti-malaria drugs and iron supplements for about four (4) weeks. The immediate</w:t>
      </w:r>
      <w:r>
        <w:rPr>
          <w:spacing w:val="27"/>
        </w:rPr>
        <w:t>  </w:t>
      </w:r>
      <w:r>
        <w:rPr/>
        <w:t>post</w:t>
      </w:r>
      <w:r>
        <w:rPr>
          <w:spacing w:val="28"/>
        </w:rPr>
        <w:t>  </w:t>
      </w:r>
      <w:r>
        <w:rPr/>
        <w:t>partum</w:t>
      </w:r>
      <w:r>
        <w:rPr>
          <w:spacing w:val="28"/>
        </w:rPr>
        <w:t>  </w:t>
      </w:r>
      <w:r>
        <w:rPr/>
        <w:t>had</w:t>
      </w:r>
      <w:r>
        <w:rPr>
          <w:spacing w:val="29"/>
        </w:rPr>
        <w:t>  </w:t>
      </w:r>
      <w:r>
        <w:rPr/>
        <w:t>uncomplicated</w:t>
      </w:r>
      <w:r>
        <w:rPr>
          <w:spacing w:val="27"/>
        </w:rPr>
        <w:t>  </w:t>
      </w:r>
      <w:r>
        <w:rPr/>
        <w:t>pregnancies</w:t>
      </w:r>
      <w:r>
        <w:rPr>
          <w:spacing w:val="28"/>
        </w:rPr>
        <w:t>  </w:t>
      </w:r>
      <w:r>
        <w:rPr/>
        <w:t>and</w:t>
      </w:r>
      <w:r>
        <w:rPr>
          <w:spacing w:val="29"/>
        </w:rPr>
        <w:t>  </w:t>
      </w:r>
      <w:r>
        <w:rPr/>
        <w:t>gave</w:t>
      </w:r>
      <w:r>
        <w:rPr>
          <w:spacing w:val="28"/>
        </w:rPr>
        <w:t>  </w:t>
      </w:r>
      <w:r>
        <w:rPr/>
        <w:t>birth</w:t>
      </w:r>
      <w:r>
        <w:rPr>
          <w:spacing w:val="28"/>
        </w:rPr>
        <w:t>  </w:t>
      </w:r>
      <w:r>
        <w:rPr/>
        <w:t>via</w:t>
      </w:r>
      <w:r>
        <w:rPr>
          <w:spacing w:val="28"/>
        </w:rPr>
        <w:t>  </w:t>
      </w:r>
      <w:r>
        <w:rPr>
          <w:spacing w:val="-2"/>
        </w:rPr>
        <w:t>vaginal</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route.These criteria were applied in order to ensure proper diagnosis, eliminating other sources of immune stimulation aside pregnancy and malaria and to avoid bias in</w:t>
      </w:r>
      <w:r>
        <w:rPr>
          <w:spacing w:val="40"/>
        </w:rPr>
        <w:t> </w:t>
      </w:r>
      <w:r>
        <w:rPr/>
        <w:t>interpretation of iron parameters.</w:t>
      </w:r>
    </w:p>
    <w:p>
      <w:pPr>
        <w:pStyle w:val="BodyText"/>
        <w:spacing w:before="5"/>
      </w:pPr>
    </w:p>
    <w:p>
      <w:pPr>
        <w:pStyle w:val="Heading2"/>
        <w:numPr>
          <w:ilvl w:val="2"/>
          <w:numId w:val="8"/>
        </w:numPr>
        <w:tabs>
          <w:tab w:pos="1100" w:val="left" w:leader="none"/>
        </w:tabs>
        <w:spacing w:line="240" w:lineRule="auto" w:before="0" w:after="0"/>
        <w:ind w:left="1100" w:right="0" w:hanging="540"/>
        <w:jc w:val="left"/>
      </w:pPr>
      <w:r>
        <w:rPr/>
        <w:t>EXCLUSION</w:t>
      </w:r>
      <w:r>
        <w:rPr>
          <w:spacing w:val="-3"/>
        </w:rPr>
        <w:t> </w:t>
      </w:r>
      <w:r>
        <w:rPr>
          <w:spacing w:val="-2"/>
        </w:rPr>
        <w:t>CRITERIA</w:t>
      </w:r>
    </w:p>
    <w:p>
      <w:pPr>
        <w:pStyle w:val="BodyText"/>
        <w:spacing w:line="480" w:lineRule="auto" w:before="272"/>
        <w:ind w:left="560" w:right="794"/>
        <w:jc w:val="both"/>
      </w:pPr>
      <w:r>
        <w:rPr/>
        <w:t>Subjects who were apparently known with underlined chronic illness such as: diabetes mellitus, cardio-vascular diseases, tuberculosis, liver diseases and other inflammatory or pathological disorders that may alter immune response and iron levels were excluded. Also those that had not lived in Aba for more than a year were excluded from the study. Again, subjects on hormonal drugs were not recruited. Others excluded from this study were HIV Sero-positive subjects and those with multiple gestations. The pregnant and control non- pregnant women that were on iron supplement/fortification within the period were excluded. Also excluded were those whose informed consent could not be obtained.</w:t>
      </w:r>
    </w:p>
    <w:p>
      <w:pPr>
        <w:pStyle w:val="BodyText"/>
        <w:spacing w:before="6"/>
      </w:pPr>
    </w:p>
    <w:p>
      <w:pPr>
        <w:pStyle w:val="Heading2"/>
        <w:numPr>
          <w:ilvl w:val="1"/>
          <w:numId w:val="8"/>
        </w:numPr>
        <w:tabs>
          <w:tab w:pos="1280" w:val="left" w:leader="none"/>
        </w:tabs>
        <w:spacing w:line="240" w:lineRule="auto" w:before="0" w:after="0"/>
        <w:ind w:left="1280" w:right="0" w:hanging="720"/>
        <w:jc w:val="left"/>
      </w:pPr>
      <w:r>
        <w:rPr/>
        <w:t>ETHICAL </w:t>
      </w:r>
      <w:r>
        <w:rPr>
          <w:spacing w:val="-2"/>
        </w:rPr>
        <w:t>APPROVAL</w:t>
      </w:r>
    </w:p>
    <w:p>
      <w:pPr>
        <w:pStyle w:val="BodyText"/>
        <w:spacing w:line="480" w:lineRule="auto" w:before="271"/>
        <w:ind w:left="560" w:right="796"/>
        <w:jc w:val="both"/>
      </w:pPr>
      <w:r>
        <w:rPr/>
        <w:t>Approval for the study was obtained from the Ethics Committee of ABSUTH and LWMH as well as informed consent of the participants.</w:t>
      </w:r>
    </w:p>
    <w:p>
      <w:pPr>
        <w:pStyle w:val="BodyText"/>
        <w:spacing w:before="5"/>
      </w:pPr>
    </w:p>
    <w:p>
      <w:pPr>
        <w:pStyle w:val="Heading2"/>
        <w:numPr>
          <w:ilvl w:val="1"/>
          <w:numId w:val="8"/>
        </w:numPr>
        <w:tabs>
          <w:tab w:pos="1280" w:val="left" w:leader="none"/>
        </w:tabs>
        <w:spacing w:line="240" w:lineRule="auto" w:before="0" w:after="0"/>
        <w:ind w:left="1280" w:right="0" w:hanging="720"/>
        <w:jc w:val="left"/>
      </w:pPr>
      <w:r>
        <w:rPr/>
        <w:t>SPECIMEN</w:t>
      </w:r>
      <w:r>
        <w:rPr>
          <w:spacing w:val="-1"/>
        </w:rPr>
        <w:t> </w:t>
      </w:r>
      <w:r>
        <w:rPr>
          <w:spacing w:val="-2"/>
        </w:rPr>
        <w:t>COLLECTION</w:t>
      </w:r>
    </w:p>
    <w:p>
      <w:pPr>
        <w:pStyle w:val="BodyText"/>
        <w:spacing w:line="480" w:lineRule="auto" w:before="272"/>
        <w:ind w:left="560" w:right="796"/>
        <w:jc w:val="both"/>
      </w:pPr>
      <w:r>
        <w:rPr/>
        <w:t>Peripheral blood was obtained from pregnant and non pregnant women by venipunctureand was carried out by the phlebotomist while blood from the placenta was obtained within 30 minutes after deliveryby biopsy pool method. For the biopsy pool method,a block of tissue (5cm x 5cm x 5cm) was excised from the cleaned maternal side of the placenta, resulting in a large pool of intervillous blood at the excision site. About 8 mIs of the blood was quickly aspirated with a graduated sterile pipette. This was carried out by the Matrons.</w:t>
      </w:r>
    </w:p>
    <w:p>
      <w:pPr>
        <w:spacing w:after="0" w:line="480" w:lineRule="auto"/>
        <w:jc w:val="both"/>
        <w:sectPr>
          <w:pgSz w:w="11910" w:h="16840"/>
          <w:pgMar w:header="0" w:footer="1067" w:top="1060" w:bottom="1260" w:left="880" w:right="640"/>
        </w:sectPr>
      </w:pPr>
    </w:p>
    <w:p>
      <w:pPr>
        <w:pStyle w:val="Heading2"/>
        <w:numPr>
          <w:ilvl w:val="1"/>
          <w:numId w:val="8"/>
        </w:numPr>
        <w:tabs>
          <w:tab w:pos="920" w:val="left" w:leader="none"/>
        </w:tabs>
        <w:spacing w:line="240" w:lineRule="auto" w:before="75" w:after="0"/>
        <w:ind w:left="920" w:right="0" w:hanging="360"/>
        <w:jc w:val="left"/>
      </w:pPr>
      <w:r>
        <w:rPr/>
        <w:t>METHOD</w:t>
      </w:r>
      <w:r>
        <w:rPr>
          <w:spacing w:val="-4"/>
        </w:rPr>
        <w:t> </w:t>
      </w:r>
      <w:r>
        <w:rPr/>
        <w:t>OF</w:t>
      </w:r>
      <w:r>
        <w:rPr>
          <w:spacing w:val="-2"/>
        </w:rPr>
        <w:t> </w:t>
      </w:r>
      <w:r>
        <w:rPr/>
        <w:t>INVESTIGATION</w:t>
      </w:r>
      <w:r>
        <w:rPr>
          <w:spacing w:val="-2"/>
        </w:rPr>
        <w:t> </w:t>
      </w:r>
      <w:r>
        <w:rPr/>
        <w:t>AND</w:t>
      </w:r>
      <w:r>
        <w:rPr>
          <w:spacing w:val="-2"/>
        </w:rPr>
        <w:t> </w:t>
      </w:r>
      <w:r>
        <w:rPr/>
        <w:t>PARAMETERS</w:t>
      </w:r>
      <w:r>
        <w:rPr>
          <w:spacing w:val="-2"/>
        </w:rPr>
        <w:t> STUDIED</w:t>
      </w:r>
    </w:p>
    <w:p>
      <w:pPr>
        <w:pStyle w:val="BodyText"/>
        <w:spacing w:line="480" w:lineRule="auto" w:before="271"/>
        <w:ind w:left="560" w:right="793"/>
        <w:jc w:val="both"/>
      </w:pPr>
      <w:r>
        <w:rPr/>
        <w:t>Out of 8mlsof blood collected, 2mls were dispensed into 2 drops of 10% Ethylene Diamine Tetra Acetic acid container and mixed for the examination of malaria parasite and haematology parameters (full blood count [Haemoglobin estimation, haematocrit, total red blood cell count, total leukocyte count and differential] and red cell indices [mean cell haemoglobin concentration, mean cell volume, and mean cell haemoglobin]). The remaining 6mls were allowed to clot in a pyrogen free tube and centrifuged at 3000rpm for 10mins with a bench top laboratory centrifuge. About 500µl of serum was used for HIV screening and estimation of biochemical parameters: glucose, creatinine and C - reactive protein. The serumwas</w:t>
      </w:r>
      <w:r>
        <w:rPr>
          <w:spacing w:val="-1"/>
        </w:rPr>
        <w:t> </w:t>
      </w:r>
      <w:r>
        <w:rPr/>
        <w:t>stored</w:t>
      </w:r>
      <w:r>
        <w:rPr>
          <w:spacing w:val="-1"/>
        </w:rPr>
        <w:t> </w:t>
      </w:r>
      <w:r>
        <w:rPr/>
        <w:t>at</w:t>
      </w:r>
      <w:r>
        <w:rPr>
          <w:spacing w:val="-1"/>
        </w:rPr>
        <w:t> </w:t>
      </w:r>
      <w:r>
        <w:rPr/>
        <w:t>2-</w:t>
      </w:r>
      <w:r>
        <w:rPr>
          <w:spacing w:val="-2"/>
        </w:rPr>
        <w:t> </w:t>
      </w:r>
      <w:r>
        <w:rPr/>
        <w:t>8°C</w:t>
      </w:r>
      <w:r>
        <w:rPr>
          <w:spacing w:val="-1"/>
        </w:rPr>
        <w:t> </w:t>
      </w:r>
      <w:r>
        <w:rPr/>
        <w:t>and the</w:t>
      </w:r>
      <w:r>
        <w:rPr>
          <w:spacing w:val="-2"/>
        </w:rPr>
        <w:t> </w:t>
      </w:r>
      <w:r>
        <w:rPr/>
        <w:t>assay</w:t>
      </w:r>
      <w:r>
        <w:rPr>
          <w:spacing w:val="-7"/>
        </w:rPr>
        <w:t> </w:t>
      </w:r>
      <w:r>
        <w:rPr/>
        <w:t>conducted</w:t>
      </w:r>
      <w:r>
        <w:rPr>
          <w:spacing w:val="-1"/>
        </w:rPr>
        <w:t> </w:t>
      </w:r>
      <w:r>
        <w:rPr/>
        <w:t>within</w:t>
      </w:r>
      <w:r>
        <w:rPr>
          <w:spacing w:val="-1"/>
        </w:rPr>
        <w:t> </w:t>
      </w:r>
      <w:r>
        <w:rPr/>
        <w:t>24</w:t>
      </w:r>
      <w:r>
        <w:rPr>
          <w:spacing w:val="-3"/>
        </w:rPr>
        <w:t> </w:t>
      </w:r>
      <w:r>
        <w:rPr/>
        <w:t>hrs.The</w:t>
      </w:r>
      <w:r>
        <w:rPr>
          <w:spacing w:val="-2"/>
        </w:rPr>
        <w:t> </w:t>
      </w:r>
      <w:r>
        <w:rPr/>
        <w:t>remaining2500µl</w:t>
      </w:r>
      <w:r>
        <w:rPr>
          <w:spacing w:val="-1"/>
        </w:rPr>
        <w:t> </w:t>
      </w:r>
      <w:r>
        <w:rPr/>
        <w:t>of</w:t>
      </w:r>
      <w:r>
        <w:rPr>
          <w:spacing w:val="-3"/>
        </w:rPr>
        <w:t> </w:t>
      </w:r>
      <w:r>
        <w:rPr/>
        <w:t>the serum was stored at -20</w:t>
      </w:r>
      <w:r>
        <w:rPr>
          <w:vertAlign w:val="superscript"/>
        </w:rPr>
        <w:t>o</w:t>
      </w:r>
      <w:r>
        <w:rPr>
          <w:vertAlign w:val="baseline"/>
        </w:rPr>
        <w:t>C in pyrogen free containers. Aliquot of the serumwere used for estimationsofsolubletransferrin receptor (sTfR), serum</w:t>
      </w:r>
      <w:r>
        <w:rPr>
          <w:spacing w:val="-2"/>
          <w:vertAlign w:val="baseline"/>
        </w:rPr>
        <w:t> </w:t>
      </w:r>
      <w:r>
        <w:rPr>
          <w:vertAlign w:val="baseline"/>
        </w:rPr>
        <w:t>ferritin</w:t>
      </w:r>
      <w:r>
        <w:rPr>
          <w:spacing w:val="-1"/>
          <w:vertAlign w:val="baseline"/>
        </w:rPr>
        <w:t> </w:t>
      </w:r>
      <w:r>
        <w:rPr>
          <w:vertAlign w:val="baseline"/>
        </w:rPr>
        <w:t>(SF)</w:t>
      </w:r>
      <w:r>
        <w:rPr>
          <w:spacing w:val="-2"/>
          <w:vertAlign w:val="baseline"/>
        </w:rPr>
        <w:t> </w:t>
      </w:r>
      <w:r>
        <w:rPr>
          <w:vertAlign w:val="baseline"/>
        </w:rPr>
        <w:t>and sTfR/log</w:t>
      </w:r>
      <w:r>
        <w:rPr>
          <w:spacing w:val="-1"/>
          <w:vertAlign w:val="baseline"/>
        </w:rPr>
        <w:t> </w:t>
      </w:r>
      <w:r>
        <w:rPr>
          <w:vertAlign w:val="baseline"/>
        </w:rPr>
        <w:t>ferritin</w:t>
      </w:r>
      <w:r>
        <w:rPr>
          <w:spacing w:val="-1"/>
          <w:vertAlign w:val="baseline"/>
        </w:rPr>
        <w:t> </w:t>
      </w:r>
      <w:r>
        <w:rPr>
          <w:vertAlign w:val="baseline"/>
        </w:rPr>
        <w:t>ratio and Cytokines; TNF</w:t>
      </w:r>
      <w:r>
        <w:rPr>
          <w:rFonts w:ascii="Symbol" w:hAnsi="Symbol"/>
          <w:vertAlign w:val="baseline"/>
        </w:rPr>
        <w:t></w:t>
      </w:r>
      <w:r>
        <w:rPr>
          <w:vertAlign w:val="baseline"/>
        </w:rPr>
        <w:t>, IFN</w:t>
      </w:r>
      <w:r>
        <w:rPr>
          <w:rFonts w:ascii="Symbol" w:hAnsi="Symbol"/>
          <w:vertAlign w:val="baseline"/>
        </w:rPr>
        <w:t></w:t>
      </w:r>
      <w:r>
        <w:rPr>
          <w:vertAlign w:val="baseline"/>
        </w:rPr>
        <w:t>, IL-4, IL-6 and IL-10. The Rapid Diagnostic Strip for malaria was purchased from SD Bioline, Korea. The Giemsa stain was locally sourced from Glanson Chemicals, Awka. Determine strip and immunocomb confirm for HIV screening were respectively procured from Alere Medical Coy. Japan and Orgenics, Isreal. The kits for the estimation of glucose and creatinine were purchased from Randox laboratory, UK. The kits and reagents for cytokine analysis were procured from Abcam plc UK while the kits for the assay of sTfR and SF were sourced from Monobind INC USA. C - reactive protein was purchased from Agappe Laboratory, Switzerland. The automated machine and reagents for haematological investigations were supplied by the Sysmex Corporation, Kobe, Japan while the kits for analysis of cytokines were sourced from Abcam Company, UK. During the</w:t>
      </w:r>
      <w:r>
        <w:rPr>
          <w:spacing w:val="40"/>
          <w:vertAlign w:val="baseline"/>
        </w:rPr>
        <w:t> </w:t>
      </w:r>
      <w:r>
        <w:rPr>
          <w:vertAlign w:val="baseline"/>
        </w:rPr>
        <w:t>assays, the manufacturers‟ Standard Operation Procedure (SOP) for each investigation and the operation of the machine were strictly followed.</w:t>
      </w:r>
    </w:p>
    <w:p>
      <w:pPr>
        <w:spacing w:after="0" w:line="480" w:lineRule="auto"/>
        <w:jc w:val="both"/>
        <w:sectPr>
          <w:pgSz w:w="11910" w:h="16840"/>
          <w:pgMar w:header="0" w:footer="1067" w:top="1060" w:bottom="1260" w:left="880" w:right="640"/>
        </w:sectPr>
      </w:pPr>
    </w:p>
    <w:p>
      <w:pPr>
        <w:pStyle w:val="Heading2"/>
        <w:numPr>
          <w:ilvl w:val="1"/>
          <w:numId w:val="8"/>
        </w:numPr>
        <w:tabs>
          <w:tab w:pos="1280" w:val="left" w:leader="none"/>
        </w:tabs>
        <w:spacing w:line="240" w:lineRule="auto" w:before="75" w:after="0"/>
        <w:ind w:left="1280" w:right="0" w:hanging="720"/>
        <w:jc w:val="left"/>
      </w:pPr>
      <w:r>
        <w:rPr/>
        <w:t>SITE OF</w:t>
      </w:r>
      <w:r>
        <w:rPr>
          <w:spacing w:val="-3"/>
        </w:rPr>
        <w:t> </w:t>
      </w:r>
      <w:r>
        <w:rPr>
          <w:spacing w:val="-4"/>
        </w:rPr>
        <w:t>STUDY</w:t>
      </w:r>
    </w:p>
    <w:p>
      <w:pPr>
        <w:pStyle w:val="BodyText"/>
        <w:spacing w:line="480" w:lineRule="auto" w:before="271"/>
        <w:ind w:left="560" w:right="797"/>
        <w:jc w:val="both"/>
      </w:pPr>
      <w:r>
        <w:rPr/>
        <w:t>The</w:t>
      </w:r>
      <w:r>
        <w:rPr>
          <w:spacing w:val="-2"/>
        </w:rPr>
        <w:t> </w:t>
      </w:r>
      <w:r>
        <w:rPr/>
        <w:t>full</w:t>
      </w:r>
      <w:r>
        <w:rPr>
          <w:spacing w:val="-1"/>
        </w:rPr>
        <w:t> </w:t>
      </w:r>
      <w:r>
        <w:rPr/>
        <w:t>blood</w:t>
      </w:r>
      <w:r>
        <w:rPr>
          <w:spacing w:val="-1"/>
        </w:rPr>
        <w:t> </w:t>
      </w:r>
      <w:r>
        <w:rPr/>
        <w:t>count</w:t>
      </w:r>
      <w:r>
        <w:rPr>
          <w:spacing w:val="-1"/>
        </w:rPr>
        <w:t> </w:t>
      </w:r>
      <w:r>
        <w:rPr/>
        <w:t>and red</w:t>
      </w:r>
      <w:r>
        <w:rPr>
          <w:spacing w:val="-1"/>
        </w:rPr>
        <w:t> </w:t>
      </w:r>
      <w:r>
        <w:rPr/>
        <w:t>cell</w:t>
      </w:r>
      <w:r>
        <w:rPr>
          <w:spacing w:val="-1"/>
        </w:rPr>
        <w:t> </w:t>
      </w:r>
      <w:r>
        <w:rPr/>
        <w:t>indices,</w:t>
      </w:r>
      <w:r>
        <w:rPr>
          <w:spacing w:val="-1"/>
        </w:rPr>
        <w:t> </w:t>
      </w:r>
      <w:r>
        <w:rPr/>
        <w:t>HIV screening and</w:t>
      </w:r>
      <w:r>
        <w:rPr>
          <w:spacing w:val="-1"/>
        </w:rPr>
        <w:t> </w:t>
      </w:r>
      <w:r>
        <w:rPr/>
        <w:t>malaria</w:t>
      </w:r>
      <w:r>
        <w:rPr>
          <w:spacing w:val="-2"/>
        </w:rPr>
        <w:t> </w:t>
      </w:r>
      <w:r>
        <w:rPr/>
        <w:t>parasite</w:t>
      </w:r>
      <w:r>
        <w:rPr>
          <w:spacing w:val="-1"/>
        </w:rPr>
        <w:t> </w:t>
      </w:r>
      <w:r>
        <w:rPr/>
        <w:t>estimation</w:t>
      </w:r>
      <w:r>
        <w:rPr>
          <w:spacing w:val="-1"/>
        </w:rPr>
        <w:t> </w:t>
      </w:r>
      <w:r>
        <w:rPr/>
        <w:t>were carried out at the Haematology unit while biochemical parameters were determined at the Chemical Pathology Unit of ABSUTH. The cytokines were determined at the Pathology Unit LWMH and New Covenant Medical Laboratories and Blood Bank Services Ltd. Aba.</w:t>
      </w:r>
    </w:p>
    <w:p>
      <w:pPr>
        <w:pStyle w:val="BodyText"/>
        <w:spacing w:before="5"/>
      </w:pPr>
    </w:p>
    <w:p>
      <w:pPr>
        <w:pStyle w:val="Heading2"/>
        <w:numPr>
          <w:ilvl w:val="1"/>
          <w:numId w:val="8"/>
        </w:numPr>
        <w:tabs>
          <w:tab w:pos="1280" w:val="left" w:leader="none"/>
        </w:tabs>
        <w:spacing w:line="240" w:lineRule="auto" w:before="0" w:after="0"/>
        <w:ind w:left="1280" w:right="0" w:hanging="720"/>
        <w:jc w:val="left"/>
      </w:pPr>
      <w:r>
        <w:rPr/>
        <w:t>LABORATORY</w:t>
      </w:r>
      <w:r>
        <w:rPr>
          <w:spacing w:val="-1"/>
        </w:rPr>
        <w:t> </w:t>
      </w:r>
      <w:r>
        <w:rPr>
          <w:spacing w:val="-2"/>
        </w:rPr>
        <w:t>METHODS</w:t>
      </w:r>
    </w:p>
    <w:p>
      <w:pPr>
        <w:pStyle w:val="BodyText"/>
        <w:spacing w:before="1"/>
        <w:rPr>
          <w:b/>
        </w:rPr>
      </w:pPr>
    </w:p>
    <w:p>
      <w:pPr>
        <w:pStyle w:val="Heading3"/>
        <w:numPr>
          <w:ilvl w:val="2"/>
          <w:numId w:val="8"/>
        </w:numPr>
        <w:tabs>
          <w:tab w:pos="1109" w:val="left" w:leader="none"/>
        </w:tabs>
        <w:spacing w:line="480" w:lineRule="auto" w:before="0" w:after="0"/>
        <w:ind w:left="560" w:right="798" w:firstLine="0"/>
        <w:jc w:val="left"/>
      </w:pPr>
      <w:r>
        <w:rPr/>
        <w:t>SCREENING FOR MALARIA PARASITE USING RAPID DIAGNOSTIC TEST By (SD BIOLINE INC., 2013) BATCH NO. 05FK30-02-8</w:t>
      </w:r>
    </w:p>
    <w:p>
      <w:pPr>
        <w:pStyle w:val="BodyText"/>
        <w:spacing w:line="480" w:lineRule="auto"/>
        <w:ind w:left="560" w:right="796"/>
        <w:jc w:val="both"/>
      </w:pPr>
      <w:r>
        <w:rPr/>
        <w:t>The SD BIOLINE Malaria Ag P.f/Pan test is a rapid, qualitative and differential test for the detection of histidine-rich protein II (HRP-II) antigen of</w:t>
      </w:r>
      <w:r>
        <w:rPr>
          <w:spacing w:val="-3"/>
        </w:rPr>
        <w:t> </w:t>
      </w:r>
      <w:r>
        <w:rPr>
          <w:i/>
        </w:rPr>
        <w:t>Plasmodium falciparum</w:t>
      </w:r>
      <w:r>
        <w:rPr>
          <w:i/>
          <w:spacing w:val="-2"/>
        </w:rPr>
        <w:t> </w:t>
      </w:r>
      <w:r>
        <w:rPr/>
        <w:t>and</w:t>
      </w:r>
      <w:r>
        <w:rPr>
          <w:spacing w:val="40"/>
        </w:rPr>
        <w:t> </w:t>
      </w:r>
      <w:r>
        <w:rPr/>
        <w:t>common</w:t>
      </w:r>
      <w:r>
        <w:rPr>
          <w:spacing w:val="-3"/>
        </w:rPr>
        <w:t> </w:t>
      </w:r>
      <w:r>
        <w:rPr>
          <w:i/>
        </w:rPr>
        <w:t>Plasmodium</w:t>
      </w:r>
      <w:r>
        <w:rPr>
          <w:i/>
          <w:spacing w:val="-3"/>
        </w:rPr>
        <w:t> </w:t>
      </w:r>
      <w:r>
        <w:rPr/>
        <w:t>lactate</w:t>
      </w:r>
      <w:r>
        <w:rPr>
          <w:spacing w:val="-1"/>
        </w:rPr>
        <w:t> </w:t>
      </w:r>
      <w:r>
        <w:rPr/>
        <w:t>dehydrogenase (pLDH)</w:t>
      </w:r>
      <w:r>
        <w:rPr>
          <w:spacing w:val="-1"/>
        </w:rPr>
        <w:t> </w:t>
      </w:r>
      <w:r>
        <w:rPr/>
        <w:t>of</w:t>
      </w:r>
      <w:r>
        <w:rPr>
          <w:spacing w:val="-2"/>
        </w:rPr>
        <w:t> </w:t>
      </w:r>
      <w:r>
        <w:rPr>
          <w:i/>
        </w:rPr>
        <w:t>Plasmodium</w:t>
      </w:r>
      <w:r>
        <w:rPr>
          <w:i/>
          <w:spacing w:val="-3"/>
        </w:rPr>
        <w:t> </w:t>
      </w:r>
      <w:r>
        <w:rPr/>
        <w:t>species in human whole </w:t>
      </w:r>
      <w:r>
        <w:rPr>
          <w:spacing w:val="-2"/>
        </w:rPr>
        <w:t>blood.</w:t>
      </w:r>
    </w:p>
    <w:p>
      <w:pPr>
        <w:pStyle w:val="Heading3"/>
        <w:spacing w:before="1"/>
      </w:pPr>
      <w:r>
        <w:rPr>
          <w:spacing w:val="-2"/>
        </w:rPr>
        <w:t>Principle:</w:t>
      </w:r>
    </w:p>
    <w:p>
      <w:pPr>
        <w:pStyle w:val="BodyText"/>
        <w:spacing w:line="480" w:lineRule="auto" w:before="271"/>
        <w:ind w:left="560" w:right="794"/>
        <w:jc w:val="both"/>
      </w:pPr>
      <w:r>
        <w:rPr/>
        <w:t>The SD BIOLINE </w:t>
      </w:r>
      <w:r>
        <w:rPr>
          <w:i/>
        </w:rPr>
        <w:t>P.falciparum</w:t>
      </w:r>
      <w:r>
        <w:rPr/>
        <w:t>/</w:t>
      </w:r>
      <w:r>
        <w:rPr>
          <w:i/>
        </w:rPr>
        <w:t>P.vivax </w:t>
      </w:r>
      <w:r>
        <w:rPr/>
        <w:t>test contains a membrane that is pre-coated with recombinant malaria </w:t>
      </w:r>
      <w:r>
        <w:rPr>
          <w:i/>
        </w:rPr>
        <w:t>P.falciparum </w:t>
      </w:r>
      <w:r>
        <w:rPr/>
        <w:t>capture antibody on test band 1 region and with recombinant </w:t>
      </w:r>
      <w:r>
        <w:rPr>
          <w:i/>
        </w:rPr>
        <w:t>P.vivax </w:t>
      </w:r>
      <w:r>
        <w:rPr/>
        <w:t>capture antibody on test band 2 region. Whole blood of the subject is mixed with colloid gold conjugate. During testing, the mixture migrates upwards along the membrane</w:t>
      </w:r>
      <w:r>
        <w:rPr>
          <w:spacing w:val="-1"/>
        </w:rPr>
        <w:t> </w:t>
      </w:r>
      <w:r>
        <w:rPr/>
        <w:t>chromatographically</w:t>
      </w:r>
      <w:r>
        <w:rPr>
          <w:spacing w:val="-7"/>
        </w:rPr>
        <w:t> </w:t>
      </w:r>
      <w:r>
        <w:rPr/>
        <w:t>to the</w:t>
      </w:r>
      <w:r>
        <w:rPr>
          <w:spacing w:val="-3"/>
        </w:rPr>
        <w:t> </w:t>
      </w:r>
      <w:r>
        <w:rPr/>
        <w:t>test region (1,2)</w:t>
      </w:r>
      <w:r>
        <w:rPr>
          <w:spacing w:val="-4"/>
        </w:rPr>
        <w:t> </w:t>
      </w:r>
      <w:r>
        <w:rPr/>
        <w:t>and forms a</w:t>
      </w:r>
      <w:r>
        <w:rPr>
          <w:spacing w:val="-3"/>
        </w:rPr>
        <w:t> </w:t>
      </w:r>
      <w:r>
        <w:rPr/>
        <w:t>visible</w:t>
      </w:r>
      <w:r>
        <w:rPr>
          <w:spacing w:val="-1"/>
        </w:rPr>
        <w:t> </w:t>
      </w:r>
      <w:r>
        <w:rPr/>
        <w:t>line</w:t>
      </w:r>
      <w:r>
        <w:rPr>
          <w:spacing w:val="-3"/>
        </w:rPr>
        <w:t> </w:t>
      </w:r>
      <w:r>
        <w:rPr/>
        <w:t>as</w:t>
      </w:r>
      <w:r>
        <w:rPr>
          <w:spacing w:val="-2"/>
        </w:rPr>
        <w:t> </w:t>
      </w:r>
      <w:r>
        <w:rPr/>
        <w:t>the</w:t>
      </w:r>
      <w:r>
        <w:rPr>
          <w:spacing w:val="-1"/>
        </w:rPr>
        <w:t> </w:t>
      </w:r>
      <w:r>
        <w:rPr/>
        <w:t>antigen- antibody colloid gold complex. To serve as a procedural control, a coloured line appears at</w:t>
      </w:r>
      <w:r>
        <w:rPr>
          <w:spacing w:val="40"/>
        </w:rPr>
        <w:t> </w:t>
      </w:r>
      <w:r>
        <w:rPr/>
        <w:t>the control region. This validates the test performance. The malaria antigens were detected at region 1 and 2 are HRP-II and pLDH respectively.</w:t>
      </w:r>
    </w:p>
    <w:p>
      <w:pPr>
        <w:pStyle w:val="Heading2"/>
        <w:spacing w:before="6"/>
      </w:pPr>
      <w:r>
        <w:rPr>
          <w:spacing w:val="-2"/>
        </w:rPr>
        <w:t>PROCEDURE</w:t>
      </w:r>
    </w:p>
    <w:p>
      <w:pPr>
        <w:pStyle w:val="BodyText"/>
        <w:spacing w:line="480" w:lineRule="auto" w:before="273"/>
        <w:ind w:left="560" w:right="799"/>
        <w:jc w:val="both"/>
      </w:pPr>
      <w:r>
        <w:rPr/>
        <w:t>With the</w:t>
      </w:r>
      <w:r>
        <w:rPr>
          <w:spacing w:val="-1"/>
        </w:rPr>
        <w:t> </w:t>
      </w:r>
      <w:r>
        <w:rPr/>
        <w:t>aid of</w:t>
      </w:r>
      <w:r>
        <w:rPr>
          <w:spacing w:val="-1"/>
        </w:rPr>
        <w:t> </w:t>
      </w:r>
      <w:r>
        <w:rPr/>
        <w:t>a</w:t>
      </w:r>
      <w:r>
        <w:rPr>
          <w:spacing w:val="-1"/>
        </w:rPr>
        <w:t> </w:t>
      </w:r>
      <w:r>
        <w:rPr/>
        <w:t>calibrated</w:t>
      </w:r>
      <w:r>
        <w:rPr>
          <w:spacing w:val="-1"/>
        </w:rPr>
        <w:t> </w:t>
      </w:r>
      <w:r>
        <w:rPr/>
        <w:t>sterile</w:t>
      </w:r>
      <w:r>
        <w:rPr>
          <w:spacing w:val="-1"/>
        </w:rPr>
        <w:t> </w:t>
      </w:r>
      <w:r>
        <w:rPr/>
        <w:t>pipette,</w:t>
      </w:r>
      <w:r>
        <w:rPr>
          <w:spacing w:val="-1"/>
        </w:rPr>
        <w:t> </w:t>
      </w:r>
      <w:r>
        <w:rPr/>
        <w:t>5</w:t>
      </w:r>
      <w:r>
        <w:rPr>
          <w:rFonts w:ascii="Symbol" w:hAnsi="Symbol"/>
        </w:rPr>
        <w:t></w:t>
      </w:r>
      <w:r>
        <w:rPr/>
        <w:t>l of whole</w:t>
      </w:r>
      <w:r>
        <w:rPr>
          <w:spacing w:val="-1"/>
        </w:rPr>
        <w:t> </w:t>
      </w:r>
      <w:r>
        <w:rPr/>
        <w:t>blood was transferred into the</w:t>
      </w:r>
      <w:r>
        <w:rPr>
          <w:spacing w:val="-1"/>
        </w:rPr>
        <w:t> </w:t>
      </w:r>
      <w:r>
        <w:rPr/>
        <w:t>sample well. Four drops of the assay diluent was added to the bottom of the well and mixed. The SD BIO-strip</w:t>
      </w:r>
      <w:r>
        <w:rPr>
          <w:spacing w:val="7"/>
        </w:rPr>
        <w:t> </w:t>
      </w:r>
      <w:r>
        <w:rPr/>
        <w:t>was</w:t>
      </w:r>
      <w:r>
        <w:rPr>
          <w:spacing w:val="8"/>
        </w:rPr>
        <w:t> </w:t>
      </w:r>
      <w:r>
        <w:rPr/>
        <w:t>dipped</w:t>
      </w:r>
      <w:r>
        <w:rPr>
          <w:spacing w:val="8"/>
        </w:rPr>
        <w:t> </w:t>
      </w:r>
      <w:r>
        <w:rPr/>
        <w:t>into</w:t>
      </w:r>
      <w:r>
        <w:rPr>
          <w:spacing w:val="8"/>
        </w:rPr>
        <w:t> </w:t>
      </w:r>
      <w:r>
        <w:rPr/>
        <w:t>the</w:t>
      </w:r>
      <w:r>
        <w:rPr>
          <w:spacing w:val="7"/>
        </w:rPr>
        <w:t> </w:t>
      </w:r>
      <w:r>
        <w:rPr/>
        <w:t>mixture</w:t>
      </w:r>
      <w:r>
        <w:rPr>
          <w:spacing w:val="7"/>
        </w:rPr>
        <w:t> </w:t>
      </w:r>
      <w:r>
        <w:rPr/>
        <w:t>and</w:t>
      </w:r>
      <w:r>
        <w:rPr>
          <w:spacing w:val="4"/>
        </w:rPr>
        <w:t> </w:t>
      </w:r>
      <w:r>
        <w:rPr/>
        <w:t>the</w:t>
      </w:r>
      <w:r>
        <w:rPr>
          <w:spacing w:val="7"/>
        </w:rPr>
        <w:t> </w:t>
      </w:r>
      <w:r>
        <w:rPr/>
        <w:t>complex</w:t>
      </w:r>
      <w:r>
        <w:rPr>
          <w:spacing w:val="8"/>
        </w:rPr>
        <w:t> </w:t>
      </w:r>
      <w:r>
        <w:rPr/>
        <w:t>allowed</w:t>
      </w:r>
      <w:r>
        <w:rPr>
          <w:spacing w:val="8"/>
        </w:rPr>
        <w:t> </w:t>
      </w:r>
      <w:r>
        <w:rPr/>
        <w:t>to</w:t>
      </w:r>
      <w:r>
        <w:rPr>
          <w:spacing w:val="8"/>
        </w:rPr>
        <w:t> </w:t>
      </w:r>
      <w:r>
        <w:rPr/>
        <w:t>flow</w:t>
      </w:r>
      <w:r>
        <w:rPr>
          <w:spacing w:val="7"/>
        </w:rPr>
        <w:t> </w:t>
      </w:r>
      <w:r>
        <w:rPr/>
        <w:t>by</w:t>
      </w:r>
      <w:r>
        <w:rPr>
          <w:spacing w:val="5"/>
        </w:rPr>
        <w:t> </w:t>
      </w:r>
      <w:r>
        <w:rPr/>
        <w:t>capillary</w:t>
      </w:r>
      <w:r>
        <w:rPr>
          <w:spacing w:val="3"/>
        </w:rPr>
        <w:t> </w:t>
      </w:r>
      <w:r>
        <w:rPr>
          <w:spacing w:val="-2"/>
        </w:rPr>
        <w:t>method.</w:t>
      </w:r>
    </w:p>
    <w:p>
      <w:pPr>
        <w:spacing w:after="0" w:line="480" w:lineRule="auto"/>
        <w:jc w:val="both"/>
        <w:sectPr>
          <w:pgSz w:w="11910" w:h="16840"/>
          <w:pgMar w:header="0" w:footer="1067" w:top="1060" w:bottom="1260" w:left="880" w:right="640"/>
        </w:sectPr>
      </w:pPr>
    </w:p>
    <w:p>
      <w:pPr>
        <w:pStyle w:val="BodyText"/>
        <w:spacing w:line="480" w:lineRule="auto" w:before="70"/>
        <w:ind w:left="560" w:right="799"/>
        <w:jc w:val="both"/>
      </w:pPr>
      <w:r>
        <w:rPr/>
        <w:t>The</w:t>
      </w:r>
      <w:r>
        <w:rPr>
          <w:spacing w:val="-4"/>
        </w:rPr>
        <w:t> </w:t>
      </w:r>
      <w:r>
        <w:rPr/>
        <w:t>result</w:t>
      </w:r>
      <w:r>
        <w:rPr>
          <w:spacing w:val="-2"/>
        </w:rPr>
        <w:t> </w:t>
      </w:r>
      <w:r>
        <w:rPr/>
        <w:t>was read</w:t>
      </w:r>
      <w:r>
        <w:rPr>
          <w:spacing w:val="-2"/>
        </w:rPr>
        <w:t> </w:t>
      </w:r>
      <w:r>
        <w:rPr/>
        <w:t>within</w:t>
      </w:r>
      <w:r>
        <w:rPr>
          <w:spacing w:val="-2"/>
        </w:rPr>
        <w:t> </w:t>
      </w:r>
      <w:r>
        <w:rPr/>
        <w:t>20</w:t>
      </w:r>
      <w:r>
        <w:rPr>
          <w:spacing w:val="-1"/>
        </w:rPr>
        <w:t> </w:t>
      </w:r>
      <w:r>
        <w:rPr/>
        <w:t>–</w:t>
      </w:r>
      <w:r>
        <w:rPr>
          <w:spacing w:val="-2"/>
        </w:rPr>
        <w:t> </w:t>
      </w:r>
      <w:r>
        <w:rPr/>
        <w:t>40mins.</w:t>
      </w:r>
      <w:r>
        <w:rPr>
          <w:spacing w:val="-2"/>
        </w:rPr>
        <w:t> </w:t>
      </w:r>
      <w:r>
        <w:rPr/>
        <w:t>A</w:t>
      </w:r>
      <w:r>
        <w:rPr>
          <w:spacing w:val="-1"/>
        </w:rPr>
        <w:t> </w:t>
      </w:r>
      <w:r>
        <w:rPr/>
        <w:t>pink</w:t>
      </w:r>
      <w:r>
        <w:rPr>
          <w:spacing w:val="-2"/>
        </w:rPr>
        <w:t> </w:t>
      </w:r>
      <w:r>
        <w:rPr/>
        <w:t>line</w:t>
      </w:r>
      <w:r>
        <w:rPr>
          <w:spacing w:val="-3"/>
        </w:rPr>
        <w:t> </w:t>
      </w:r>
      <w:r>
        <w:rPr/>
        <w:t>at</w:t>
      </w:r>
      <w:r>
        <w:rPr>
          <w:spacing w:val="-2"/>
        </w:rPr>
        <w:t> </w:t>
      </w:r>
      <w:r>
        <w:rPr/>
        <w:t>the</w:t>
      </w:r>
      <w:r>
        <w:rPr>
          <w:spacing w:val="-3"/>
        </w:rPr>
        <w:t> </w:t>
      </w:r>
      <w:r>
        <w:rPr/>
        <w:t>positive</w:t>
      </w:r>
      <w:r>
        <w:rPr>
          <w:spacing w:val="-1"/>
        </w:rPr>
        <w:t> </w:t>
      </w:r>
      <w:r>
        <w:rPr/>
        <w:t>and</w:t>
      </w:r>
      <w:r>
        <w:rPr>
          <w:spacing w:val="-2"/>
        </w:rPr>
        <w:t> </w:t>
      </w:r>
      <w:r>
        <w:rPr/>
        <w:t>control</w:t>
      </w:r>
      <w:r>
        <w:rPr>
          <w:spacing w:val="-2"/>
        </w:rPr>
        <w:t> </w:t>
      </w:r>
      <w:r>
        <w:rPr/>
        <w:t>band</w:t>
      </w:r>
      <w:r>
        <w:rPr>
          <w:spacing w:val="-2"/>
        </w:rPr>
        <w:t> </w:t>
      </w:r>
      <w:r>
        <w:rPr/>
        <w:t>indicated a positive reaction whereas only</w:t>
      </w:r>
      <w:r>
        <w:rPr>
          <w:spacing w:val="-4"/>
        </w:rPr>
        <w:t> </w:t>
      </w:r>
      <w:r>
        <w:rPr/>
        <w:t>one pink line at the control band indicated negative reaction. No pink line at both positive and negative control bands indicates an invalid result.</w:t>
      </w:r>
    </w:p>
    <w:p>
      <w:pPr>
        <w:pStyle w:val="BodyText"/>
        <w:spacing w:before="5"/>
      </w:pPr>
    </w:p>
    <w:p>
      <w:pPr>
        <w:pStyle w:val="ListParagraph"/>
        <w:numPr>
          <w:ilvl w:val="2"/>
          <w:numId w:val="8"/>
        </w:numPr>
        <w:tabs>
          <w:tab w:pos="1167" w:val="left" w:leader="none"/>
        </w:tabs>
        <w:spacing w:line="480" w:lineRule="auto" w:before="0" w:after="0"/>
        <w:ind w:left="560" w:right="798" w:firstLine="0"/>
        <w:jc w:val="left"/>
        <w:rPr>
          <w:b/>
          <w:sz w:val="24"/>
        </w:rPr>
      </w:pPr>
      <w:r>
        <w:rPr>
          <w:b/>
          <w:sz w:val="24"/>
        </w:rPr>
        <w:t>MICROSCOPIC</w:t>
      </w:r>
      <w:r>
        <w:rPr>
          <w:b/>
          <w:spacing w:val="40"/>
          <w:sz w:val="24"/>
        </w:rPr>
        <w:t> </w:t>
      </w:r>
      <w:r>
        <w:rPr>
          <w:b/>
          <w:sz w:val="24"/>
        </w:rPr>
        <w:t>DETECTION</w:t>
      </w:r>
      <w:r>
        <w:rPr>
          <w:b/>
          <w:spacing w:val="40"/>
          <w:sz w:val="24"/>
        </w:rPr>
        <w:t> </w:t>
      </w:r>
      <w:r>
        <w:rPr>
          <w:b/>
          <w:sz w:val="24"/>
        </w:rPr>
        <w:t>OF</w:t>
      </w:r>
      <w:r>
        <w:rPr>
          <w:b/>
          <w:spacing w:val="40"/>
          <w:sz w:val="24"/>
        </w:rPr>
        <w:t> </w:t>
      </w:r>
      <w:r>
        <w:rPr>
          <w:b/>
          <w:sz w:val="24"/>
        </w:rPr>
        <w:t>MALARIA</w:t>
      </w:r>
      <w:r>
        <w:rPr>
          <w:b/>
          <w:spacing w:val="40"/>
          <w:sz w:val="24"/>
        </w:rPr>
        <w:t> </w:t>
      </w:r>
      <w:r>
        <w:rPr>
          <w:b/>
          <w:sz w:val="24"/>
        </w:rPr>
        <w:t>PARASITE</w:t>
      </w:r>
      <w:r>
        <w:rPr>
          <w:b/>
          <w:spacing w:val="40"/>
          <w:sz w:val="24"/>
        </w:rPr>
        <w:t> </w:t>
      </w:r>
      <w:r>
        <w:rPr>
          <w:b/>
          <w:sz w:val="24"/>
        </w:rPr>
        <w:t>USING</w:t>
      </w:r>
      <w:r>
        <w:rPr>
          <w:b/>
          <w:spacing w:val="40"/>
          <w:sz w:val="24"/>
        </w:rPr>
        <w:t> </w:t>
      </w:r>
      <w:r>
        <w:rPr>
          <w:b/>
          <w:sz w:val="24"/>
        </w:rPr>
        <w:t>GIEMSA STAINED THICK FILM (Cheesbrough, 2010)</w:t>
      </w:r>
    </w:p>
    <w:p>
      <w:pPr>
        <w:pStyle w:val="Heading2"/>
      </w:pPr>
      <w:r>
        <w:rPr>
          <w:spacing w:val="-2"/>
        </w:rPr>
        <w:t>PRINCIPLE</w:t>
      </w:r>
    </w:p>
    <w:p>
      <w:pPr>
        <w:pStyle w:val="BodyText"/>
        <w:spacing w:line="480" w:lineRule="auto" w:before="272"/>
        <w:ind w:left="560" w:right="793"/>
        <w:jc w:val="both"/>
      </w:pPr>
      <w:r>
        <w:rPr/>
        <w:t>Giemsa stain is one of the Romanosky stains with two component substances, namely; the eosin and methylene blue dyes. It differentiates the nucleus and cytoplasm of leucocytes, platelets and malaria parasites. The eosin stains the chromatin dot of malaria parasite dark</w:t>
      </w:r>
      <w:r>
        <w:rPr>
          <w:spacing w:val="40"/>
        </w:rPr>
        <w:t> </w:t>
      </w:r>
      <w:r>
        <w:rPr/>
        <w:t>red. The Schuffner‟s dot of </w:t>
      </w:r>
      <w:r>
        <w:rPr>
          <w:i/>
        </w:rPr>
        <w:t>P. vivax </w:t>
      </w:r>
      <w:r>
        <w:rPr/>
        <w:t>and </w:t>
      </w:r>
      <w:r>
        <w:rPr>
          <w:i/>
        </w:rPr>
        <w:t>P. ovale </w:t>
      </w:r>
      <w:r>
        <w:rPr/>
        <w:t>appears red while the Maurer‟s dot of </w:t>
      </w:r>
      <w:r>
        <w:rPr>
          <w:i/>
        </w:rPr>
        <w:t>P. falciparum </w:t>
      </w:r>
      <w:r>
        <w:rPr/>
        <w:t>shows red mauve. The methylene blue stains the cytoplasm of the parasite blue. The stain is diluted with water buffered to pH range of 7.0-7.2. The buffered water used in diluting the stain induces lysis of red cells leaving the malaria parasite and leucocytes more </w:t>
      </w:r>
      <w:r>
        <w:rPr>
          <w:spacing w:val="-2"/>
        </w:rPr>
        <w:t>visible.</w:t>
      </w:r>
    </w:p>
    <w:p>
      <w:pPr>
        <w:pStyle w:val="Heading2"/>
        <w:spacing w:before="6"/>
      </w:pPr>
      <w:r>
        <w:rPr>
          <w:spacing w:val="-2"/>
        </w:rPr>
        <w:t>PROCEDURE</w:t>
      </w:r>
    </w:p>
    <w:p>
      <w:pPr>
        <w:pStyle w:val="BodyText"/>
        <w:spacing w:line="480" w:lineRule="auto" w:before="271"/>
        <w:ind w:left="560" w:right="796"/>
        <w:jc w:val="both"/>
      </w:pPr>
      <w:r>
        <w:rPr/>
        <w:t>The procedure is as described by (Cheesbrough, 2010). Two drops of blood was closely droped</w:t>
      </w:r>
      <w:r>
        <w:rPr>
          <w:spacing w:val="-1"/>
        </w:rPr>
        <w:t> </w:t>
      </w:r>
      <w:r>
        <w:rPr/>
        <w:t>on</w:t>
      </w:r>
      <w:r>
        <w:rPr>
          <w:spacing w:val="-1"/>
        </w:rPr>
        <w:t> </w:t>
      </w:r>
      <w:r>
        <w:rPr/>
        <w:t>a</w:t>
      </w:r>
      <w:r>
        <w:rPr>
          <w:spacing w:val="-1"/>
        </w:rPr>
        <w:t> </w:t>
      </w:r>
      <w:r>
        <w:rPr/>
        <w:t>clean</w:t>
      </w:r>
      <w:r>
        <w:rPr>
          <w:spacing w:val="-1"/>
        </w:rPr>
        <w:t> </w:t>
      </w:r>
      <w:r>
        <w:rPr/>
        <w:t>greese</w:t>
      </w:r>
      <w:r>
        <w:rPr>
          <w:spacing w:val="-1"/>
        </w:rPr>
        <w:t> </w:t>
      </w:r>
      <w:r>
        <w:rPr/>
        <w:t>free</w:t>
      </w:r>
      <w:r>
        <w:rPr>
          <w:spacing w:val="-1"/>
        </w:rPr>
        <w:t> </w:t>
      </w:r>
      <w:r>
        <w:rPr/>
        <w:t>slide.</w:t>
      </w:r>
      <w:r>
        <w:rPr>
          <w:spacing w:val="-1"/>
        </w:rPr>
        <w:t> </w:t>
      </w:r>
      <w:r>
        <w:rPr/>
        <w:t>A</w:t>
      </w:r>
      <w:r>
        <w:rPr>
          <w:spacing w:val="-1"/>
        </w:rPr>
        <w:t> </w:t>
      </w:r>
      <w:r>
        <w:rPr/>
        <w:t>faint</w:t>
      </w:r>
      <w:r>
        <w:rPr>
          <w:spacing w:val="-1"/>
        </w:rPr>
        <w:t> </w:t>
      </w:r>
      <w:r>
        <w:rPr/>
        <w:t>spread of</w:t>
      </w:r>
      <w:r>
        <w:rPr>
          <w:spacing w:val="-1"/>
        </w:rPr>
        <w:t> </w:t>
      </w:r>
      <w:r>
        <w:rPr/>
        <w:t>the</w:t>
      </w:r>
      <w:r>
        <w:rPr>
          <w:spacing w:val="-1"/>
        </w:rPr>
        <w:t> </w:t>
      </w:r>
      <w:r>
        <w:rPr/>
        <w:t>blood</w:t>
      </w:r>
      <w:r>
        <w:rPr>
          <w:spacing w:val="-1"/>
        </w:rPr>
        <w:t> </w:t>
      </w:r>
      <w:r>
        <w:rPr/>
        <w:t>was</w:t>
      </w:r>
      <w:r>
        <w:rPr>
          <w:spacing w:val="-1"/>
        </w:rPr>
        <w:t> </w:t>
      </w:r>
      <w:r>
        <w:rPr/>
        <w:t>made</w:t>
      </w:r>
      <w:r>
        <w:rPr>
          <w:spacing w:val="-2"/>
        </w:rPr>
        <w:t> </w:t>
      </w:r>
      <w:r>
        <w:rPr/>
        <w:t>to</w:t>
      </w:r>
      <w:r>
        <w:rPr>
          <w:spacing w:val="-2"/>
        </w:rPr>
        <w:t> </w:t>
      </w:r>
      <w:r>
        <w:rPr/>
        <w:t>obtain</w:t>
      </w:r>
      <w:r>
        <w:rPr>
          <w:spacing w:val="-1"/>
        </w:rPr>
        <w:t> </w:t>
      </w:r>
      <w:r>
        <w:rPr/>
        <w:t>a</w:t>
      </w:r>
      <w:r>
        <w:rPr>
          <w:spacing w:val="-1"/>
        </w:rPr>
        <w:t> </w:t>
      </w:r>
      <w:r>
        <w:rPr/>
        <w:t>diameter of</w:t>
      </w:r>
      <w:r>
        <w:rPr>
          <w:spacing w:val="-1"/>
        </w:rPr>
        <w:t> </w:t>
      </w:r>
      <w:r>
        <w:rPr/>
        <w:t>about 5mm. The</w:t>
      </w:r>
      <w:r>
        <w:rPr>
          <w:spacing w:val="-2"/>
        </w:rPr>
        <w:t> </w:t>
      </w:r>
      <w:r>
        <w:rPr/>
        <w:t>preparation was allowed to air dry</w:t>
      </w:r>
      <w:r>
        <w:rPr>
          <w:spacing w:val="-3"/>
        </w:rPr>
        <w:t> </w:t>
      </w:r>
      <w:r>
        <w:rPr/>
        <w:t>at room</w:t>
      </w:r>
      <w:r>
        <w:rPr>
          <w:spacing w:val="-1"/>
        </w:rPr>
        <w:t> </w:t>
      </w:r>
      <w:r>
        <w:rPr/>
        <w:t>temperature with the</w:t>
      </w:r>
      <w:r>
        <w:rPr>
          <w:spacing w:val="-1"/>
        </w:rPr>
        <w:t> </w:t>
      </w:r>
      <w:r>
        <w:rPr/>
        <w:t>slide</w:t>
      </w:r>
      <w:r>
        <w:rPr>
          <w:spacing w:val="-1"/>
        </w:rPr>
        <w:t> </w:t>
      </w:r>
      <w:r>
        <w:rPr/>
        <w:t>flat, the film upwards and protected from dust. Immediately before use, the stock Giemsa stain was diluted 1 in 10 with buffered water at pH 7.2. The dilution was by measuring 45ml of buffered water, pH 7.1- 7.2 in a 50ml cylinder and 5 ml of Giemsa stain (to 50ml mark) was added</w:t>
      </w:r>
      <w:r>
        <w:rPr>
          <w:spacing w:val="-1"/>
        </w:rPr>
        <w:t> </w:t>
      </w:r>
      <w:r>
        <w:rPr/>
        <w:t>and</w:t>
      </w:r>
      <w:r>
        <w:rPr>
          <w:spacing w:val="-1"/>
        </w:rPr>
        <w:t> </w:t>
      </w:r>
      <w:r>
        <w:rPr/>
        <w:t>gently</w:t>
      </w:r>
      <w:r>
        <w:rPr>
          <w:spacing w:val="-5"/>
        </w:rPr>
        <w:t> </w:t>
      </w:r>
      <w:r>
        <w:rPr/>
        <w:t>mixed.</w:t>
      </w:r>
      <w:r>
        <w:rPr>
          <w:spacing w:val="-1"/>
        </w:rPr>
        <w:t> </w:t>
      </w:r>
      <w:r>
        <w:rPr/>
        <w:t>The</w:t>
      </w:r>
      <w:r>
        <w:rPr>
          <w:spacing w:val="-2"/>
        </w:rPr>
        <w:t> </w:t>
      </w:r>
      <w:r>
        <w:rPr/>
        <w:t>slide</w:t>
      </w:r>
      <w:r>
        <w:rPr>
          <w:spacing w:val="-1"/>
        </w:rPr>
        <w:t> </w:t>
      </w:r>
      <w:r>
        <w:rPr/>
        <w:t>was</w:t>
      </w:r>
      <w:r>
        <w:rPr>
          <w:spacing w:val="-1"/>
        </w:rPr>
        <w:t> </w:t>
      </w:r>
      <w:r>
        <w:rPr/>
        <w:t>placed</w:t>
      </w:r>
      <w:r>
        <w:rPr>
          <w:spacing w:val="-1"/>
        </w:rPr>
        <w:t> </w:t>
      </w:r>
      <w:r>
        <w:rPr/>
        <w:t>face</w:t>
      </w:r>
      <w:r>
        <w:rPr>
          <w:spacing w:val="-1"/>
        </w:rPr>
        <w:t> </w:t>
      </w:r>
      <w:r>
        <w:rPr/>
        <w:t>downwards</w:t>
      </w:r>
      <w:r>
        <w:rPr>
          <w:spacing w:val="-1"/>
        </w:rPr>
        <w:t> </w:t>
      </w:r>
      <w:r>
        <w:rPr/>
        <w:t>in</w:t>
      </w:r>
      <w:r>
        <w:rPr>
          <w:spacing w:val="-1"/>
        </w:rPr>
        <w:t> </w:t>
      </w:r>
      <w:r>
        <w:rPr/>
        <w:t>a</w:t>
      </w:r>
      <w:r>
        <w:rPr>
          <w:spacing w:val="-1"/>
        </w:rPr>
        <w:t> </w:t>
      </w:r>
      <w:r>
        <w:rPr/>
        <w:t>shallow</w:t>
      </w:r>
      <w:r>
        <w:rPr>
          <w:spacing w:val="-1"/>
        </w:rPr>
        <w:t> </w:t>
      </w:r>
      <w:r>
        <w:rPr/>
        <w:t>tray</w:t>
      </w:r>
      <w:r>
        <w:rPr>
          <w:spacing w:val="-5"/>
        </w:rPr>
        <w:t> </w:t>
      </w:r>
      <w:r>
        <w:rPr/>
        <w:t>supported</w:t>
      </w:r>
      <w:r>
        <w:rPr>
          <w:spacing w:val="-1"/>
        </w:rPr>
        <w:t> </w:t>
      </w:r>
      <w:r>
        <w:rPr/>
        <w:t>on two rods, in a Coplin jar. The diluted stain was poured into the shallow tray Coplin jar and allowed to stain for 30 minutes.</w:t>
      </w:r>
    </w:p>
    <w:p>
      <w:pPr>
        <w:pStyle w:val="BodyText"/>
        <w:spacing w:before="2"/>
        <w:ind w:left="560"/>
        <w:jc w:val="both"/>
      </w:pPr>
      <w:r>
        <w:rPr/>
        <w:t>The</w:t>
      </w:r>
      <w:r>
        <w:rPr>
          <w:spacing w:val="-5"/>
        </w:rPr>
        <w:t> </w:t>
      </w:r>
      <w:r>
        <w:rPr/>
        <w:t>stain</w:t>
      </w:r>
      <w:r>
        <w:rPr>
          <w:spacing w:val="-1"/>
        </w:rPr>
        <w:t> </w:t>
      </w:r>
      <w:r>
        <w:rPr/>
        <w:t>was</w:t>
      </w:r>
      <w:r>
        <w:rPr>
          <w:spacing w:val="-1"/>
        </w:rPr>
        <w:t> </w:t>
      </w:r>
      <w:r>
        <w:rPr/>
        <w:t>washed</w:t>
      </w:r>
      <w:r>
        <w:rPr>
          <w:spacing w:val="-1"/>
        </w:rPr>
        <w:t> </w:t>
      </w:r>
      <w:r>
        <w:rPr/>
        <w:t>off from</w:t>
      </w:r>
      <w:r>
        <w:rPr>
          <w:spacing w:val="-1"/>
        </w:rPr>
        <w:t> </w:t>
      </w:r>
      <w:r>
        <w:rPr/>
        <w:t>the</w:t>
      </w:r>
      <w:r>
        <w:rPr>
          <w:spacing w:val="-1"/>
        </w:rPr>
        <w:t> </w:t>
      </w:r>
      <w:r>
        <w:rPr/>
        <w:t>staining container</w:t>
      </w:r>
      <w:r>
        <w:rPr>
          <w:spacing w:val="-1"/>
        </w:rPr>
        <w:t> </w:t>
      </w:r>
      <w:r>
        <w:rPr/>
        <w:t>using</w:t>
      </w:r>
      <w:r>
        <w:rPr>
          <w:spacing w:val="-1"/>
        </w:rPr>
        <w:t> </w:t>
      </w:r>
      <w:r>
        <w:rPr/>
        <w:t>clean</w:t>
      </w:r>
      <w:r>
        <w:rPr>
          <w:spacing w:val="2"/>
        </w:rPr>
        <w:t> </w:t>
      </w:r>
      <w:r>
        <w:rPr>
          <w:spacing w:val="-2"/>
        </w:rPr>
        <w:t>water.</w:t>
      </w:r>
    </w:p>
    <w:p>
      <w:pPr>
        <w:spacing w:after="0"/>
        <w:jc w:val="both"/>
        <w:sectPr>
          <w:pgSz w:w="11910" w:h="16840"/>
          <w:pgMar w:header="0" w:footer="1067" w:top="1060" w:bottom="1260" w:left="880" w:right="640"/>
        </w:sectPr>
      </w:pPr>
    </w:p>
    <w:p>
      <w:pPr>
        <w:pStyle w:val="BodyText"/>
        <w:spacing w:line="480" w:lineRule="auto" w:before="70"/>
        <w:ind w:left="560" w:right="795"/>
        <w:jc w:val="both"/>
      </w:pPr>
      <w:r>
        <w:rPr/>
        <w:t>The back of each slide was cleaned and placed in a draining rack for the preparation to air- dry. The examination of the slide was done using X100 objective lens.</w:t>
      </w:r>
    </w:p>
    <w:p>
      <w:pPr>
        <w:pStyle w:val="BodyText"/>
        <w:spacing w:before="5"/>
      </w:pPr>
    </w:p>
    <w:p>
      <w:pPr>
        <w:pStyle w:val="Heading2"/>
        <w:numPr>
          <w:ilvl w:val="2"/>
          <w:numId w:val="8"/>
        </w:numPr>
        <w:tabs>
          <w:tab w:pos="1414" w:val="left" w:leader="none"/>
          <w:tab w:pos="3669" w:val="left" w:leader="none"/>
          <w:tab w:pos="5258" w:val="left" w:leader="none"/>
          <w:tab w:pos="6498" w:val="left" w:leader="none"/>
          <w:tab w:pos="7753" w:val="left" w:leader="none"/>
          <w:tab w:pos="8833" w:val="left" w:leader="none"/>
        </w:tabs>
        <w:spacing w:line="240" w:lineRule="auto" w:before="0" w:after="0"/>
        <w:ind w:left="1414" w:right="0" w:hanging="854"/>
        <w:jc w:val="left"/>
      </w:pPr>
      <w:r>
        <w:rPr>
          <w:spacing w:val="-2"/>
        </w:rPr>
        <w:t>QUANTITATIVE</w:t>
      </w:r>
      <w:r>
        <w:rPr/>
        <w:tab/>
      </w:r>
      <w:r>
        <w:rPr>
          <w:spacing w:val="-2"/>
        </w:rPr>
        <w:t>PARASITE</w:t>
      </w:r>
      <w:r>
        <w:rPr/>
        <w:tab/>
      </w:r>
      <w:r>
        <w:rPr>
          <w:spacing w:val="-2"/>
        </w:rPr>
        <w:t>COUNT</w:t>
      </w:r>
      <w:r>
        <w:rPr/>
        <w:tab/>
      </w:r>
      <w:r>
        <w:rPr>
          <w:spacing w:val="-2"/>
        </w:rPr>
        <w:t>(THICK</w:t>
      </w:r>
      <w:r>
        <w:rPr/>
        <w:tab/>
      </w:r>
      <w:r>
        <w:rPr>
          <w:spacing w:val="-2"/>
        </w:rPr>
        <w:t>FILM)</w:t>
      </w:r>
      <w:r>
        <w:rPr/>
        <w:tab/>
      </w:r>
      <w:r>
        <w:rPr>
          <w:spacing w:val="-2"/>
        </w:rPr>
        <w:t>(WHO,</w:t>
      </w:r>
    </w:p>
    <w:p>
      <w:pPr>
        <w:pStyle w:val="BodyText"/>
        <w:rPr>
          <w:b/>
        </w:rPr>
      </w:pPr>
    </w:p>
    <w:p>
      <w:pPr>
        <w:spacing w:before="0"/>
        <w:ind w:left="560" w:right="0" w:firstLine="0"/>
        <w:jc w:val="left"/>
        <w:rPr>
          <w:b/>
          <w:sz w:val="24"/>
        </w:rPr>
      </w:pPr>
      <w:r>
        <w:rPr>
          <w:b/>
          <w:spacing w:val="-2"/>
          <w:sz w:val="24"/>
        </w:rPr>
        <w:t>1991)PRINCIPLE/PROCEDURE:</w:t>
      </w:r>
    </w:p>
    <w:p>
      <w:pPr>
        <w:pStyle w:val="BodyText"/>
        <w:spacing w:line="480" w:lineRule="auto" w:before="272"/>
        <w:ind w:left="560" w:right="800"/>
        <w:jc w:val="both"/>
      </w:pPr>
      <w:r>
        <w:rPr/>
        <w:t>The average number of asexual parasitic forms (trophozoites , schizonts) per microlitre of blood in a thick film is counted in relation to the subjects total white blood cell count or the standard number of leucocytes (8000cell/ul). A thick film was made and allowed to air dry. Giemsa stain diluted 1:10 was applied and allowed to stain for 40 minutes. It was washed with water and allowed to air dry. The film was examined with X100 objective lens. The numbers of asexual parasitic forms (trophozoites, schizonts) present were counted over 200 </w:t>
      </w:r>
      <w:r>
        <w:rPr>
          <w:spacing w:val="-2"/>
        </w:rPr>
        <w:t>leukocytes.</w:t>
      </w:r>
    </w:p>
    <w:p>
      <w:pPr>
        <w:pStyle w:val="Heading2"/>
        <w:spacing w:before="6"/>
      </w:pPr>
      <w:r>
        <w:rPr>
          <w:spacing w:val="-2"/>
        </w:rPr>
        <w:t>CALCULATION:</w:t>
      </w:r>
    </w:p>
    <w:p>
      <w:pPr>
        <w:pStyle w:val="BodyText"/>
        <w:spacing w:before="7"/>
        <w:rPr>
          <w:b/>
          <w:sz w:val="16"/>
        </w:rPr>
      </w:pPr>
    </w:p>
    <w:p>
      <w:pPr>
        <w:spacing w:after="0"/>
        <w:rPr>
          <w:sz w:val="16"/>
        </w:rPr>
        <w:sectPr>
          <w:pgSz w:w="11910" w:h="16840"/>
          <w:pgMar w:header="0" w:footer="1067" w:top="1060" w:bottom="1260" w:left="880" w:right="640"/>
        </w:sectPr>
      </w:pPr>
    </w:p>
    <w:p>
      <w:pPr>
        <w:pStyle w:val="BodyText"/>
        <w:spacing w:line="292" w:lineRule="auto" w:before="59"/>
        <w:ind w:left="3481" w:hanging="2456"/>
        <w:rPr>
          <w:rFonts w:ascii="Cambria Math" w:hAnsi="Cambria Math" w:eastAsia="Cambria Math"/>
        </w:rPr>
      </w:pPr>
      <w:r>
        <w:rPr/>
        <mc:AlternateContent>
          <mc:Choice Requires="wps">
            <w:drawing>
              <wp:anchor distT="0" distB="0" distL="0" distR="0" allowOverlap="1" layoutInCell="1" locked="0" behindDoc="0" simplePos="0" relativeHeight="15729664">
                <wp:simplePos x="0" y="0"/>
                <wp:positionH relativeFrom="page">
                  <wp:posOffset>1210360</wp:posOffset>
                </wp:positionH>
                <wp:positionV relativeFrom="paragraph">
                  <wp:posOffset>249653</wp:posOffset>
                </wp:positionV>
                <wp:extent cx="4147820" cy="1079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4147820" cy="10795"/>
                        </a:xfrm>
                        <a:custGeom>
                          <a:avLst/>
                          <a:gdLst/>
                          <a:ahLst/>
                          <a:cxnLst/>
                          <a:rect l="l" t="t" r="r" b="b"/>
                          <a:pathLst>
                            <a:path w="4147820" h="10795">
                              <a:moveTo>
                                <a:pt x="4147439" y="0"/>
                              </a:moveTo>
                              <a:lnTo>
                                <a:pt x="0" y="0"/>
                              </a:lnTo>
                              <a:lnTo>
                                <a:pt x="0" y="10667"/>
                              </a:lnTo>
                              <a:lnTo>
                                <a:pt x="4147439" y="10667"/>
                              </a:lnTo>
                              <a:lnTo>
                                <a:pt x="4147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5.304001pt;margin-top:19.657734pt;width:326.57pt;height:.84pt;mso-position-horizontal-relative:page;mso-position-vertical-relative:paragraph;z-index:15729664" id="docshape4" filled="true" fillcolor="#000000" stroked="false">
                <v:fill type="solid"/>
                <w10:wrap type="none"/>
              </v:rect>
            </w:pict>
          </mc:Fallback>
        </mc:AlternateContent>
      </w:r>
      <w:r>
        <w:rPr>
          <w:rFonts w:ascii="Cambria Math" w:hAnsi="Cambria Math" w:eastAsia="Cambria Math"/>
        </w:rPr>
        <w:t>𝑇ℎ𝑒 𝑛𝑜𝑠.</w:t>
      </w:r>
      <w:r>
        <w:rPr>
          <w:rFonts w:ascii="Cambria Math" w:hAnsi="Cambria Math" w:eastAsia="Cambria Math"/>
          <w:spacing w:val="-14"/>
        </w:rPr>
        <w:t> </w:t>
      </w:r>
      <w:r>
        <w:rPr>
          <w:rFonts w:ascii="Cambria Math" w:hAnsi="Cambria Math" w:eastAsia="Cambria Math"/>
        </w:rPr>
        <w:t>𝑜𝑓 𝑜𝑏𝑠𝑒𝑟𝑣𝑒𝑑 𝑎𝑠𝑒𝑥𝑢𝑎𝑙 𝑝𝑎𝑟𝑎𝑠𝑖𝑡𝑒𝑠</w:t>
      </w:r>
      <w:r>
        <w:rPr>
          <w:rFonts w:ascii="Cambria Math" w:hAnsi="Cambria Math" w:eastAsia="Cambria Math"/>
          <w:spacing w:val="-1"/>
        </w:rPr>
        <w:t> </w:t>
      </w:r>
      <w:r>
        <w:rPr>
          <w:rFonts w:ascii="Cambria Math" w:hAnsi="Cambria Math" w:eastAsia="Cambria Math"/>
        </w:rPr>
        <w:t>𝑥 𝑡𝑜𝑡𝑎𝑙</w:t>
      </w:r>
      <w:r>
        <w:rPr>
          <w:rFonts w:ascii="Cambria Math" w:hAnsi="Cambria Math" w:eastAsia="Cambria Math"/>
          <w:spacing w:val="40"/>
        </w:rPr>
        <w:t> </w:t>
      </w:r>
      <w:r>
        <w:rPr>
          <w:rFonts w:ascii="Cambria Math" w:hAnsi="Cambria Math" w:eastAsia="Cambria Math"/>
        </w:rPr>
        <w:t>𝑤𝑏𝑐 𝑐𝑜𝑢𝑛𝑡/𝜇𝑙 200 𝑙𝑒𝑢𝑘𝑜𝑐𝑦𝑡𝑒𝑠</w:t>
      </w:r>
    </w:p>
    <w:p>
      <w:pPr>
        <w:spacing w:before="242"/>
        <w:ind w:left="35" w:right="0" w:firstLine="0"/>
        <w:jc w:val="left"/>
        <w:rPr>
          <w:rFonts w:ascii="Cambria Math" w:eastAsia="Cambria Math"/>
          <w:sz w:val="24"/>
        </w:rPr>
      </w:pPr>
      <w:r>
        <w:rPr/>
        <w:br w:type="column"/>
      </w:r>
      <w:r>
        <w:rPr>
          <w:rFonts w:ascii="Cambria Math" w:eastAsia="Cambria Math"/>
          <w:sz w:val="24"/>
        </w:rPr>
        <w:t>=</w:t>
      </w:r>
      <w:r>
        <w:rPr>
          <w:rFonts w:ascii="Cambria Math" w:eastAsia="Cambria Math"/>
          <w:spacing w:val="12"/>
          <w:sz w:val="24"/>
        </w:rPr>
        <w:t> </w:t>
      </w:r>
      <w:r>
        <w:rPr>
          <w:rFonts w:ascii="Cambria Math" w:eastAsia="Cambria Math"/>
          <w:spacing w:val="-2"/>
          <w:sz w:val="24"/>
        </w:rPr>
        <w:t>𝑝𝑎𝑟𝑎𝑠𝑖𝑡𝑒/𝜇𝑙</w:t>
      </w:r>
    </w:p>
    <w:p>
      <w:pPr>
        <w:spacing w:after="0"/>
        <w:jc w:val="left"/>
        <w:rPr>
          <w:rFonts w:ascii="Cambria Math" w:eastAsia="Cambria Math"/>
          <w:sz w:val="24"/>
        </w:rPr>
        <w:sectPr>
          <w:type w:val="continuous"/>
          <w:pgSz w:w="11910" w:h="16840"/>
          <w:pgMar w:header="0" w:footer="1067" w:top="1060" w:bottom="1260" w:left="880" w:right="640"/>
          <w:cols w:num="2" w:equalWidth="0">
            <w:col w:w="7550" w:space="40"/>
            <w:col w:w="2800"/>
          </w:cols>
        </w:sectPr>
      </w:pPr>
    </w:p>
    <w:p>
      <w:pPr>
        <w:pStyle w:val="BodyText"/>
        <w:spacing w:before="213"/>
        <w:ind w:left="560"/>
        <w:jc w:val="both"/>
      </w:pPr>
      <w:r>
        <w:rPr/>
        <w:t>The</w:t>
      </w:r>
      <w:r>
        <w:rPr>
          <w:spacing w:val="-3"/>
        </w:rPr>
        <w:t> </w:t>
      </w:r>
      <w:r>
        <w:rPr/>
        <w:t>total WBC</w:t>
      </w:r>
      <w:r>
        <w:rPr>
          <w:spacing w:val="-1"/>
        </w:rPr>
        <w:t> </w:t>
      </w:r>
      <w:r>
        <w:rPr/>
        <w:t>count used</w:t>
      </w:r>
      <w:r>
        <w:rPr>
          <w:spacing w:val="-1"/>
        </w:rPr>
        <w:t> </w:t>
      </w:r>
      <w:r>
        <w:rPr/>
        <w:t>was that</w:t>
      </w:r>
      <w:r>
        <w:rPr>
          <w:spacing w:val="-1"/>
        </w:rPr>
        <w:t> </w:t>
      </w:r>
      <w:r>
        <w:rPr/>
        <w:t>of the</w:t>
      </w:r>
      <w:r>
        <w:rPr>
          <w:spacing w:val="-1"/>
        </w:rPr>
        <w:t> </w:t>
      </w:r>
      <w:r>
        <w:rPr>
          <w:spacing w:val="-2"/>
        </w:rPr>
        <w:t>subjects.</w:t>
      </w:r>
    </w:p>
    <w:p>
      <w:pPr>
        <w:pStyle w:val="BodyText"/>
        <w:spacing w:before="5"/>
      </w:pPr>
    </w:p>
    <w:p>
      <w:pPr>
        <w:pStyle w:val="Heading2"/>
      </w:pPr>
      <w:r>
        <w:rPr>
          <w:spacing w:val="-2"/>
        </w:rPr>
        <w:t>GRADING:</w:t>
      </w:r>
    </w:p>
    <w:p>
      <w:pPr>
        <w:pStyle w:val="BodyText"/>
        <w:spacing w:line="480" w:lineRule="auto" w:before="271"/>
        <w:ind w:left="560" w:right="798"/>
        <w:jc w:val="both"/>
      </w:pPr>
      <w:r>
        <w:rPr/>
        <w:t>Parasitaemia was grouped as mild or low (&lt;999 parasite/ul of blood) and moderate infection (1,000 – 9,999 parasite/ul of blood) and high or severe infection (&gt;10,000) (Ketema and Bacha, 2013).</w:t>
      </w:r>
    </w:p>
    <w:p>
      <w:pPr>
        <w:pStyle w:val="BodyText"/>
        <w:spacing w:before="5"/>
      </w:pPr>
    </w:p>
    <w:p>
      <w:pPr>
        <w:pStyle w:val="Heading2"/>
        <w:numPr>
          <w:ilvl w:val="2"/>
          <w:numId w:val="8"/>
        </w:numPr>
        <w:tabs>
          <w:tab w:pos="1280" w:val="left" w:leader="none"/>
        </w:tabs>
        <w:spacing w:line="240" w:lineRule="auto" w:before="0" w:after="0"/>
        <w:ind w:left="1280" w:right="0" w:hanging="720"/>
        <w:jc w:val="left"/>
      </w:pPr>
      <w:r>
        <w:rPr/>
        <w:t>HIV</w:t>
      </w:r>
      <w:r>
        <w:rPr>
          <w:spacing w:val="-2"/>
        </w:rPr>
        <w:t> </w:t>
      </w:r>
      <w:r>
        <w:rPr/>
        <w:t>SCREENING</w:t>
      </w:r>
      <w:r>
        <w:rPr>
          <w:spacing w:val="-1"/>
        </w:rPr>
        <w:t> </w:t>
      </w:r>
      <w:r>
        <w:rPr/>
        <w:t>USING</w:t>
      </w:r>
      <w:r>
        <w:rPr>
          <w:spacing w:val="-1"/>
        </w:rPr>
        <w:t> </w:t>
      </w:r>
      <w:r>
        <w:rPr/>
        <w:t>DETERMINE</w:t>
      </w:r>
      <w:r>
        <w:rPr>
          <w:spacing w:val="-1"/>
        </w:rPr>
        <w:t> </w:t>
      </w:r>
      <w:r>
        <w:rPr/>
        <w:t>AS</w:t>
      </w:r>
      <w:r>
        <w:rPr>
          <w:spacing w:val="-2"/>
        </w:rPr>
        <w:t> </w:t>
      </w:r>
      <w:r>
        <w:rPr/>
        <w:t>DESCRIBED</w:t>
      </w:r>
      <w:r>
        <w:rPr>
          <w:spacing w:val="-1"/>
        </w:rPr>
        <w:t> </w:t>
      </w:r>
      <w:r>
        <w:rPr/>
        <w:t>BY</w:t>
      </w:r>
      <w:r>
        <w:rPr>
          <w:spacing w:val="-1"/>
        </w:rPr>
        <w:t> </w:t>
      </w:r>
      <w:r>
        <w:rPr/>
        <w:t>(ALERE,</w:t>
      </w:r>
      <w:r>
        <w:rPr>
          <w:spacing w:val="-1"/>
        </w:rPr>
        <w:t> </w:t>
      </w:r>
      <w:r>
        <w:rPr>
          <w:spacing w:val="-2"/>
        </w:rPr>
        <w:t>2013)</w:t>
      </w:r>
    </w:p>
    <w:p>
      <w:pPr>
        <w:pStyle w:val="Heading3"/>
        <w:spacing w:before="274"/>
        <w:jc w:val="both"/>
      </w:pPr>
      <w:r>
        <w:rPr/>
        <w:t>Catalogue</w:t>
      </w:r>
      <w:r>
        <w:rPr>
          <w:spacing w:val="-2"/>
        </w:rPr>
        <w:t> </w:t>
      </w:r>
      <w:r>
        <w:rPr/>
        <w:t>No. 240852/R7:</w:t>
      </w:r>
      <w:r>
        <w:rPr>
          <w:spacing w:val="-3"/>
        </w:rPr>
        <w:t> </w:t>
      </w:r>
      <w:r>
        <w:rPr/>
        <w:t>Ref. No. </w:t>
      </w:r>
      <w:r>
        <w:rPr>
          <w:spacing w:val="-2"/>
        </w:rPr>
        <w:t>7D2343.</w:t>
      </w:r>
    </w:p>
    <w:p>
      <w:pPr>
        <w:pStyle w:val="BodyText"/>
        <w:spacing w:line="480" w:lineRule="auto" w:before="271"/>
        <w:ind w:left="560" w:right="797"/>
        <w:jc w:val="both"/>
      </w:pPr>
      <w:r>
        <w:rPr/>
        <w:t>The Alere Determine HIV-1/2 is an </w:t>
      </w:r>
      <w:r>
        <w:rPr>
          <w:i/>
        </w:rPr>
        <w:t>In Vitro</w:t>
      </w:r>
      <w:r>
        <w:rPr/>
        <w:t>, qualitative immunoassay for the detection of antibodies to HIV-1 and HIV-2 in human serum, plasma or whole blood. The test is intended as an aid to detect antibodies to HIV-1/HIV-2 from infected individuals.</w:t>
      </w:r>
    </w:p>
    <w:p>
      <w:pPr>
        <w:spacing w:after="0" w:line="480" w:lineRule="auto"/>
        <w:jc w:val="both"/>
        <w:sectPr>
          <w:type w:val="continuous"/>
          <w:pgSz w:w="11910" w:h="16840"/>
          <w:pgMar w:header="0" w:footer="1067" w:top="1060" w:bottom="1260" w:left="880" w:right="640"/>
        </w:sectPr>
      </w:pPr>
    </w:p>
    <w:p>
      <w:pPr>
        <w:pStyle w:val="BodyText"/>
        <w:spacing w:line="480" w:lineRule="auto" w:before="70"/>
        <w:ind w:left="560" w:right="796"/>
        <w:jc w:val="both"/>
      </w:pPr>
      <w:r>
        <w:rPr>
          <w:b/>
        </w:rPr>
        <w:t>PRINCIPLE</w:t>
      </w:r>
      <w:r>
        <w:rPr/>
        <w:t>: This is an immunochromatographic assay. Serum/plasma added to the test pad migrates and mixes with the selenium colloid-antigen conjugate. This mixture continues to migrate to the immobilized recombinant antigens and sythethic peptides at the patient‟s window site. Antibody to HIV-1 and/or HIV-2 binds to the antigen-selenium colloid forming a red line at the patient window site. If antibodies to HIV-1 and/or HIV-2 are absent, the antigen-selenium colloid flows across the patient window and no red line is formed. To</w:t>
      </w:r>
      <w:r>
        <w:rPr>
          <w:spacing w:val="40"/>
        </w:rPr>
        <w:t> </w:t>
      </w:r>
      <w:r>
        <w:rPr/>
        <w:t>ensure the validity of the test, a procedural control bar is incorporated in the device.</w:t>
      </w:r>
    </w:p>
    <w:p>
      <w:pPr>
        <w:pStyle w:val="Heading2"/>
        <w:spacing w:before="6"/>
      </w:pPr>
      <w:r>
        <w:rPr>
          <w:spacing w:val="-2"/>
        </w:rPr>
        <w:t>PROCEDURE:</w:t>
      </w:r>
    </w:p>
    <w:p>
      <w:pPr>
        <w:pStyle w:val="BodyText"/>
        <w:spacing w:line="480" w:lineRule="auto" w:before="271"/>
        <w:ind w:left="560" w:right="1103"/>
        <w:jc w:val="both"/>
      </w:pPr>
      <w:r>
        <w:rPr/>
        <w:t>Apply</w:t>
      </w:r>
      <w:r>
        <w:rPr>
          <w:spacing w:val="-7"/>
        </w:rPr>
        <w:t> </w:t>
      </w:r>
      <w:r>
        <w:rPr/>
        <w:t>50µl</w:t>
      </w:r>
      <w:r>
        <w:rPr>
          <w:spacing w:val="-3"/>
        </w:rPr>
        <w:t> </w:t>
      </w:r>
      <w:r>
        <w:rPr/>
        <w:t>of</w:t>
      </w:r>
      <w:r>
        <w:rPr>
          <w:spacing w:val="-3"/>
        </w:rPr>
        <w:t> </w:t>
      </w:r>
      <w:r>
        <w:rPr/>
        <w:t>serum</w:t>
      </w:r>
      <w:r>
        <w:rPr>
          <w:spacing w:val="-3"/>
        </w:rPr>
        <w:t> </w:t>
      </w:r>
      <w:r>
        <w:rPr/>
        <w:t>to</w:t>
      </w:r>
      <w:r>
        <w:rPr>
          <w:spacing w:val="-3"/>
        </w:rPr>
        <w:t> </w:t>
      </w:r>
      <w:r>
        <w:rPr/>
        <w:t>the</w:t>
      </w:r>
      <w:r>
        <w:rPr>
          <w:spacing w:val="-4"/>
        </w:rPr>
        <w:t> </w:t>
      </w:r>
      <w:r>
        <w:rPr/>
        <w:t>strip</w:t>
      </w:r>
      <w:r>
        <w:rPr>
          <w:spacing w:val="-3"/>
        </w:rPr>
        <w:t> </w:t>
      </w:r>
      <w:r>
        <w:rPr/>
        <w:t>pad.</w:t>
      </w:r>
      <w:r>
        <w:rPr>
          <w:spacing w:val="-3"/>
        </w:rPr>
        <w:t> </w:t>
      </w:r>
      <w:r>
        <w:rPr/>
        <w:t>Wait</w:t>
      </w:r>
      <w:r>
        <w:rPr>
          <w:spacing w:val="-1"/>
        </w:rPr>
        <w:t> </w:t>
      </w:r>
      <w:r>
        <w:rPr/>
        <w:t>until</w:t>
      </w:r>
      <w:r>
        <w:rPr>
          <w:spacing w:val="-3"/>
        </w:rPr>
        <w:t> </w:t>
      </w:r>
      <w:r>
        <w:rPr/>
        <w:t>serum</w:t>
      </w:r>
      <w:r>
        <w:rPr>
          <w:spacing w:val="-3"/>
        </w:rPr>
        <w:t> </w:t>
      </w:r>
      <w:r>
        <w:rPr/>
        <w:t>is</w:t>
      </w:r>
      <w:r>
        <w:rPr>
          <w:spacing w:val="-3"/>
        </w:rPr>
        <w:t> </w:t>
      </w:r>
      <w:r>
        <w:rPr/>
        <w:t>absorped</w:t>
      </w:r>
      <w:r>
        <w:rPr>
          <w:spacing w:val="-3"/>
        </w:rPr>
        <w:t> </w:t>
      </w:r>
      <w:r>
        <w:rPr/>
        <w:t>into</w:t>
      </w:r>
      <w:r>
        <w:rPr>
          <w:spacing w:val="-3"/>
        </w:rPr>
        <w:t> </w:t>
      </w:r>
      <w:r>
        <w:rPr/>
        <w:t>the</w:t>
      </w:r>
      <w:r>
        <w:rPr>
          <w:spacing w:val="-2"/>
        </w:rPr>
        <w:t> </w:t>
      </w:r>
      <w:r>
        <w:rPr/>
        <w:t>sample</w:t>
      </w:r>
      <w:r>
        <w:rPr>
          <w:spacing w:val="-3"/>
        </w:rPr>
        <w:t> </w:t>
      </w:r>
      <w:r>
        <w:rPr/>
        <w:t>pad</w:t>
      </w:r>
      <w:r>
        <w:rPr>
          <w:spacing w:val="-1"/>
        </w:rPr>
        <w:t> </w:t>
      </w:r>
      <w:r>
        <w:rPr/>
        <w:t>and observe the flow along the test strip. The result is read within 10 minutes.</w:t>
      </w:r>
    </w:p>
    <w:p>
      <w:pPr>
        <w:pStyle w:val="BodyText"/>
        <w:spacing w:before="5"/>
      </w:pPr>
    </w:p>
    <w:p>
      <w:pPr>
        <w:pStyle w:val="Heading2"/>
        <w:numPr>
          <w:ilvl w:val="2"/>
          <w:numId w:val="8"/>
        </w:numPr>
        <w:tabs>
          <w:tab w:pos="1280" w:val="left" w:leader="none"/>
        </w:tabs>
        <w:spacing w:line="240" w:lineRule="auto" w:before="0" w:after="0"/>
        <w:ind w:left="1280" w:right="0" w:hanging="720"/>
        <w:jc w:val="left"/>
      </w:pPr>
      <w:r>
        <w:rPr/>
        <w:t>HIV</w:t>
      </w:r>
      <w:r>
        <w:rPr>
          <w:spacing w:val="37"/>
        </w:rPr>
        <w:t> </w:t>
      </w:r>
      <w:r>
        <w:rPr/>
        <w:t>SCREENING</w:t>
      </w:r>
      <w:r>
        <w:rPr>
          <w:spacing w:val="38"/>
        </w:rPr>
        <w:t> </w:t>
      </w:r>
      <w:r>
        <w:rPr/>
        <w:t>USING</w:t>
      </w:r>
      <w:r>
        <w:rPr>
          <w:spacing w:val="38"/>
        </w:rPr>
        <w:t> </w:t>
      </w:r>
      <w:r>
        <w:rPr/>
        <w:t>HIV</w:t>
      </w:r>
      <w:r>
        <w:rPr>
          <w:spacing w:val="38"/>
        </w:rPr>
        <w:t> </w:t>
      </w:r>
      <w:r>
        <w:rPr/>
        <w:t>1</w:t>
      </w:r>
      <w:r>
        <w:rPr>
          <w:spacing w:val="38"/>
        </w:rPr>
        <w:t> </w:t>
      </w:r>
      <w:r>
        <w:rPr/>
        <w:t>AND</w:t>
      </w:r>
      <w:r>
        <w:rPr>
          <w:spacing w:val="37"/>
        </w:rPr>
        <w:t> </w:t>
      </w:r>
      <w:r>
        <w:rPr/>
        <w:t>2</w:t>
      </w:r>
      <w:r>
        <w:rPr>
          <w:spacing w:val="43"/>
        </w:rPr>
        <w:t> </w:t>
      </w:r>
      <w:r>
        <w:rPr/>
        <w:t>AS</w:t>
      </w:r>
      <w:r>
        <w:rPr>
          <w:spacing w:val="38"/>
        </w:rPr>
        <w:t> </w:t>
      </w:r>
      <w:r>
        <w:rPr/>
        <w:t>DESCRIBED</w:t>
      </w:r>
      <w:r>
        <w:rPr>
          <w:spacing w:val="37"/>
        </w:rPr>
        <w:t> </w:t>
      </w:r>
      <w:r>
        <w:rPr/>
        <w:t>BY</w:t>
      </w:r>
      <w:r>
        <w:rPr>
          <w:spacing w:val="37"/>
        </w:rPr>
        <w:t> </w:t>
      </w:r>
      <w:r>
        <w:rPr>
          <w:spacing w:val="-2"/>
        </w:rPr>
        <w:t>(ORGENICS,</w:t>
      </w:r>
    </w:p>
    <w:p>
      <w:pPr>
        <w:pStyle w:val="BodyText"/>
        <w:spacing w:before="1"/>
        <w:rPr>
          <w:b/>
        </w:rPr>
      </w:pPr>
    </w:p>
    <w:p>
      <w:pPr>
        <w:pStyle w:val="Heading3"/>
        <w:jc w:val="both"/>
      </w:pPr>
      <w:r>
        <w:rPr/>
        <w:t>2013).</w:t>
      </w:r>
      <w:r>
        <w:rPr>
          <w:spacing w:val="33"/>
        </w:rPr>
        <w:t> </w:t>
      </w:r>
      <w:r>
        <w:rPr/>
        <w:t>Plate</w:t>
      </w:r>
      <w:r>
        <w:rPr>
          <w:spacing w:val="31"/>
        </w:rPr>
        <w:t> </w:t>
      </w:r>
      <w:r>
        <w:rPr/>
        <w:t>Ref.</w:t>
      </w:r>
      <w:r>
        <w:rPr>
          <w:spacing w:val="33"/>
        </w:rPr>
        <w:t> </w:t>
      </w:r>
      <w:r>
        <w:rPr/>
        <w:t>No</w:t>
      </w:r>
      <w:r>
        <w:rPr>
          <w:spacing w:val="32"/>
        </w:rPr>
        <w:t> </w:t>
      </w:r>
      <w:r>
        <w:rPr/>
        <w:t>10434503;</w:t>
      </w:r>
      <w:r>
        <w:rPr>
          <w:spacing w:val="32"/>
        </w:rPr>
        <w:t> </w:t>
      </w:r>
      <w:r>
        <w:rPr/>
        <w:t>Lot</w:t>
      </w:r>
      <w:r>
        <w:rPr>
          <w:spacing w:val="32"/>
        </w:rPr>
        <w:t> </w:t>
      </w:r>
      <w:r>
        <w:rPr/>
        <w:t>No.</w:t>
      </w:r>
      <w:r>
        <w:rPr>
          <w:spacing w:val="32"/>
        </w:rPr>
        <w:t> </w:t>
      </w:r>
      <w:r>
        <w:rPr/>
        <w:t>131015;</w:t>
      </w:r>
      <w:r>
        <w:rPr>
          <w:spacing w:val="32"/>
        </w:rPr>
        <w:t> </w:t>
      </w:r>
      <w:r>
        <w:rPr/>
        <w:t>Card</w:t>
      </w:r>
      <w:r>
        <w:rPr>
          <w:spacing w:val="34"/>
        </w:rPr>
        <w:t> </w:t>
      </w:r>
      <w:r>
        <w:rPr/>
        <w:t>Catalogue</w:t>
      </w:r>
      <w:r>
        <w:rPr>
          <w:spacing w:val="32"/>
        </w:rPr>
        <w:t> </w:t>
      </w:r>
      <w:r>
        <w:rPr/>
        <w:t>No.</w:t>
      </w:r>
      <w:r>
        <w:rPr>
          <w:spacing w:val="33"/>
        </w:rPr>
        <w:t> </w:t>
      </w:r>
      <w:r>
        <w:rPr/>
        <w:t>10434103;</w:t>
      </w:r>
      <w:r>
        <w:rPr>
          <w:spacing w:val="32"/>
        </w:rPr>
        <w:t> </w:t>
      </w:r>
      <w:r>
        <w:rPr>
          <w:spacing w:val="-4"/>
        </w:rPr>
        <w:t>Card</w:t>
      </w:r>
    </w:p>
    <w:p>
      <w:pPr>
        <w:pStyle w:val="BodyText"/>
        <w:rPr>
          <w:b/>
        </w:rPr>
      </w:pPr>
    </w:p>
    <w:p>
      <w:pPr>
        <w:spacing w:before="0"/>
        <w:ind w:left="560" w:right="0" w:firstLine="0"/>
        <w:jc w:val="both"/>
        <w:rPr>
          <w:b/>
          <w:sz w:val="24"/>
        </w:rPr>
      </w:pPr>
      <w:r>
        <w:rPr>
          <w:b/>
          <w:sz w:val="24"/>
        </w:rPr>
        <w:t>Lot</w:t>
      </w:r>
      <w:r>
        <w:rPr>
          <w:b/>
          <w:spacing w:val="-1"/>
          <w:sz w:val="24"/>
        </w:rPr>
        <w:t> </w:t>
      </w:r>
      <w:r>
        <w:rPr>
          <w:b/>
          <w:sz w:val="24"/>
        </w:rPr>
        <w:t>No. </w:t>
      </w:r>
      <w:r>
        <w:rPr>
          <w:b/>
          <w:spacing w:val="-2"/>
          <w:sz w:val="24"/>
        </w:rPr>
        <w:t>131003</w:t>
      </w:r>
    </w:p>
    <w:p>
      <w:pPr>
        <w:pStyle w:val="BodyText"/>
        <w:spacing w:line="480" w:lineRule="auto" w:before="271"/>
        <w:ind w:left="560" w:right="793"/>
        <w:jc w:val="both"/>
      </w:pPr>
      <w:r>
        <w:rPr/>
        <w:t>The immunoComb II HIV 1 and 2 CombFirm test is a solid-phase enzyme immunoassay (EIA). The solid phase is a card with 12 projections (teeth). Each card has 6 pairs of teeth, with six antigen spots per pair (3 spots on each tooth).</w:t>
      </w:r>
      <w:r>
        <w:rPr>
          <w:spacing w:val="40"/>
        </w:rPr>
        <w:t> </w:t>
      </w:r>
      <w:r>
        <w:rPr/>
        <w:t>The left tooth of each pair carries an upper spot sensitized with human immunoglobulin (Internal Control) and two protein</w:t>
      </w:r>
      <w:r>
        <w:rPr>
          <w:spacing w:val="80"/>
        </w:rPr>
        <w:t> </w:t>
      </w:r>
      <w:r>
        <w:rPr/>
        <w:t>markers p24 (gag) and p31 (pol). The right tooth has three env-derived protein spots gp41, gp120 and gp36.The Developing Plate has 6 rows (A-F), each row containing a reagent solution ready for use at a different step in the assay.</w:t>
      </w:r>
    </w:p>
    <w:p>
      <w:pPr>
        <w:pStyle w:val="BodyText"/>
        <w:spacing w:line="480" w:lineRule="auto" w:before="1"/>
        <w:ind w:left="560" w:right="795"/>
        <w:jc w:val="both"/>
      </w:pPr>
      <w:r>
        <w:rPr>
          <w:b/>
        </w:rPr>
        <w:t>PRINCIPLE</w:t>
      </w:r>
      <w:r>
        <w:rPr/>
        <w:t>: The assay is of the antibody capture format. Antibodies in the sample reacts with anti-HIV IgG present in row A. The complex binds to the HIV antigens on the teeth of the card. Unbound components are washed leaving the anti-HIV IgG-antibody captured on</w:t>
      </w:r>
      <w:r>
        <w:rPr>
          <w:spacing w:val="40"/>
        </w:rPr>
        <w:t> </w:t>
      </w:r>
      <w:r>
        <w:rPr/>
        <w:t>the teeth. The human immunoglobulin on the upper spots (internal control) reacts with anti- human</w:t>
      </w:r>
      <w:r>
        <w:rPr>
          <w:spacing w:val="48"/>
        </w:rPr>
        <w:t> </w:t>
      </w:r>
      <w:r>
        <w:rPr/>
        <w:t>IgG</w:t>
      </w:r>
      <w:r>
        <w:rPr>
          <w:spacing w:val="48"/>
        </w:rPr>
        <w:t> </w:t>
      </w:r>
      <w:r>
        <w:rPr/>
        <w:t>antibodies</w:t>
      </w:r>
      <w:r>
        <w:rPr>
          <w:spacing w:val="46"/>
        </w:rPr>
        <w:t> </w:t>
      </w:r>
      <w:r>
        <w:rPr/>
        <w:t>labeled</w:t>
      </w:r>
      <w:r>
        <w:rPr>
          <w:spacing w:val="49"/>
        </w:rPr>
        <w:t> </w:t>
      </w:r>
      <w:r>
        <w:rPr/>
        <w:t>with</w:t>
      </w:r>
      <w:r>
        <w:rPr>
          <w:spacing w:val="47"/>
        </w:rPr>
        <w:t> </w:t>
      </w:r>
      <w:r>
        <w:rPr/>
        <w:t>alkaline</w:t>
      </w:r>
      <w:r>
        <w:rPr>
          <w:spacing w:val="48"/>
        </w:rPr>
        <w:t> </w:t>
      </w:r>
      <w:r>
        <w:rPr/>
        <w:t>phosphatase</w:t>
      </w:r>
      <w:r>
        <w:rPr>
          <w:spacing w:val="48"/>
        </w:rPr>
        <w:t> </w:t>
      </w:r>
      <w:r>
        <w:rPr/>
        <w:t>(AP).</w:t>
      </w:r>
      <w:r>
        <w:rPr>
          <w:spacing w:val="46"/>
        </w:rPr>
        <w:t> </w:t>
      </w:r>
      <w:r>
        <w:rPr/>
        <w:t>Unbound</w:t>
      </w:r>
      <w:r>
        <w:rPr>
          <w:spacing w:val="46"/>
        </w:rPr>
        <w:t> </w:t>
      </w:r>
      <w:r>
        <w:rPr/>
        <w:t>components</w:t>
      </w:r>
      <w:r>
        <w:rPr>
          <w:spacing w:val="50"/>
        </w:rPr>
        <w:t> </w:t>
      </w:r>
      <w:r>
        <w:rPr>
          <w:spacing w:val="-5"/>
        </w:rPr>
        <w:t>are</w:t>
      </w:r>
    </w:p>
    <w:p>
      <w:pPr>
        <w:spacing w:after="0" w:line="480" w:lineRule="auto"/>
        <w:jc w:val="both"/>
        <w:sectPr>
          <w:pgSz w:w="11910" w:h="16840"/>
          <w:pgMar w:header="0" w:footer="1067" w:top="1060" w:bottom="1260" w:left="880" w:right="640"/>
        </w:sectPr>
      </w:pPr>
    </w:p>
    <w:p>
      <w:pPr>
        <w:pStyle w:val="BodyText"/>
        <w:spacing w:line="480" w:lineRule="auto" w:before="70"/>
        <w:ind w:left="560"/>
      </w:pPr>
      <w:r>
        <w:rPr/>
        <w:t>again</w:t>
      </w:r>
      <w:r>
        <w:rPr>
          <w:spacing w:val="78"/>
        </w:rPr>
        <w:t> </w:t>
      </w:r>
      <w:r>
        <w:rPr/>
        <w:t>removed</w:t>
      </w:r>
      <w:r>
        <w:rPr>
          <w:spacing w:val="77"/>
        </w:rPr>
        <w:t> </w:t>
      </w:r>
      <w:r>
        <w:rPr/>
        <w:t>by</w:t>
      </w:r>
      <w:r>
        <w:rPr>
          <w:spacing w:val="75"/>
        </w:rPr>
        <w:t> </w:t>
      </w:r>
      <w:r>
        <w:rPr/>
        <w:t>washing.</w:t>
      </w:r>
      <w:r>
        <w:rPr>
          <w:spacing w:val="78"/>
        </w:rPr>
        <w:t> </w:t>
      </w:r>
      <w:r>
        <w:rPr/>
        <w:t>The</w:t>
      </w:r>
      <w:r>
        <w:rPr>
          <w:spacing w:val="77"/>
        </w:rPr>
        <w:t> </w:t>
      </w:r>
      <w:r>
        <w:rPr/>
        <w:t>bound</w:t>
      </w:r>
      <w:r>
        <w:rPr>
          <w:spacing w:val="80"/>
        </w:rPr>
        <w:t> </w:t>
      </w:r>
      <w:r>
        <w:rPr/>
        <w:t>alkaline</w:t>
      </w:r>
      <w:r>
        <w:rPr>
          <w:spacing w:val="77"/>
        </w:rPr>
        <w:t> </w:t>
      </w:r>
      <w:r>
        <w:rPr/>
        <w:t>phosphatase</w:t>
      </w:r>
      <w:r>
        <w:rPr>
          <w:spacing w:val="77"/>
        </w:rPr>
        <w:t> </w:t>
      </w:r>
      <w:r>
        <w:rPr/>
        <w:t>reacts</w:t>
      </w:r>
      <w:r>
        <w:rPr>
          <w:spacing w:val="80"/>
        </w:rPr>
        <w:t> </w:t>
      </w:r>
      <w:r>
        <w:rPr/>
        <w:t>with</w:t>
      </w:r>
      <w:r>
        <w:rPr>
          <w:spacing w:val="78"/>
        </w:rPr>
        <w:t> </w:t>
      </w:r>
      <w:r>
        <w:rPr/>
        <w:t>chromogenic components to show a visible gray-black spot on the surface of the teeth of the card.</w:t>
      </w:r>
    </w:p>
    <w:p>
      <w:pPr>
        <w:pStyle w:val="Heading3"/>
        <w:spacing w:before="5"/>
      </w:pPr>
      <w:r>
        <w:rPr>
          <w:spacing w:val="-2"/>
        </w:rPr>
        <w:t>Procedure</w:t>
      </w:r>
    </w:p>
    <w:p>
      <w:pPr>
        <w:pStyle w:val="BodyText"/>
        <w:spacing w:line="480" w:lineRule="auto" w:before="272"/>
        <w:ind w:left="560" w:right="797"/>
        <w:jc w:val="both"/>
      </w:pPr>
      <w:r>
        <w:rPr/>
        <w:t>The developing plates, cards, reagents and specimens were brought to room temperature</w:t>
      </w:r>
      <w:r>
        <w:rPr>
          <w:spacing w:val="40"/>
        </w:rPr>
        <w:t> </w:t>
      </w:r>
      <w:r>
        <w:rPr/>
        <w:t>(22°-26°C) and the row plate perforated. About 50µl of the specimen, positive control and negative control were added to wells of row-A respectively. The card was inserted correspondingly. The card was severally withdrawn and inserted for thorough mixing with</w:t>
      </w:r>
      <w:r>
        <w:rPr>
          <w:spacing w:val="40"/>
        </w:rPr>
        <w:t> </w:t>
      </w:r>
      <w:r>
        <w:rPr/>
        <w:t>the printed side of the card at sight. It was left for exactly 30 minutes.</w:t>
      </w:r>
    </w:p>
    <w:p>
      <w:pPr>
        <w:pStyle w:val="BodyText"/>
        <w:spacing w:line="480" w:lineRule="auto"/>
        <w:ind w:left="560" w:right="798"/>
        <w:jc w:val="both"/>
      </w:pPr>
      <w:r>
        <w:rPr/>
        <w:t>The card was taken out from row A and excess liquid adsorbed with the tip of the teeth</w:t>
      </w:r>
      <w:r>
        <w:rPr>
          <w:spacing w:val="40"/>
        </w:rPr>
        <w:t> </w:t>
      </w:r>
      <w:r>
        <w:rPr/>
        <w:t>placed on an absorbent paper and transferred to row B. This was vigorously agitated for 2 minutes. Row C was perforated and after adsorption, the teeth was transferred into it and allowed to stay for 30 minutes. The teeth were further transferred to row D and E where they were allowed to stay for 2 minutes in each row. This was again washed. After adsorption of the excess liquid, the card was inserted into row F, mixed and allowed to stay</w:t>
      </w:r>
      <w:r>
        <w:rPr>
          <w:spacing w:val="-3"/>
        </w:rPr>
        <w:t> </w:t>
      </w:r>
      <w:r>
        <w:rPr/>
        <w:t>for 10 minutes. The reaction was stopped, the card returned to row E and allowed to stay for 1 minute. Finally, the card was withdrawn and allowed to air dry. The result was read and interpreted according to the manufacturer‟s instruction.</w:t>
      </w:r>
    </w:p>
    <w:p>
      <w:pPr>
        <w:pStyle w:val="BodyText"/>
        <w:spacing w:before="98"/>
      </w:pPr>
    </w:p>
    <w:p>
      <w:pPr>
        <w:pStyle w:val="Heading3"/>
        <w:numPr>
          <w:ilvl w:val="2"/>
          <w:numId w:val="8"/>
        </w:numPr>
        <w:tabs>
          <w:tab w:pos="1040" w:val="left" w:leader="none"/>
        </w:tabs>
        <w:spacing w:line="480" w:lineRule="auto" w:before="0" w:after="0"/>
        <w:ind w:left="560" w:right="797" w:firstLine="0"/>
        <w:jc w:val="left"/>
      </w:pPr>
      <w:r>
        <w:rPr/>
        <w:t>QUANTITATIVE</w:t>
      </w:r>
      <w:r>
        <w:rPr>
          <w:spacing w:val="80"/>
        </w:rPr>
        <w:t> </w:t>
      </w:r>
      <w:r>
        <w:rPr/>
        <w:t>MEASUREMENT</w:t>
      </w:r>
      <w:r>
        <w:rPr>
          <w:spacing w:val="80"/>
        </w:rPr>
        <w:t> </w:t>
      </w:r>
      <w:r>
        <w:rPr/>
        <w:t>OF</w:t>
      </w:r>
      <w:r>
        <w:rPr>
          <w:spacing w:val="80"/>
        </w:rPr>
        <w:t> </w:t>
      </w:r>
      <w:r>
        <w:rPr/>
        <w:t>IL-4</w:t>
      </w:r>
      <w:r>
        <w:rPr>
          <w:spacing w:val="80"/>
        </w:rPr>
        <w:t> </w:t>
      </w:r>
      <w:r>
        <w:rPr/>
        <w:t>BY</w:t>
      </w:r>
      <w:r>
        <w:rPr>
          <w:spacing w:val="80"/>
        </w:rPr>
        <w:t> </w:t>
      </w:r>
      <w:r>
        <w:rPr/>
        <w:t>ELISA</w:t>
      </w:r>
      <w:r>
        <w:rPr>
          <w:spacing w:val="80"/>
        </w:rPr>
        <w:t> </w:t>
      </w:r>
      <w:r>
        <w:rPr/>
        <w:t>TECHNIQUE</w:t>
      </w:r>
      <w:r>
        <w:rPr>
          <w:spacing w:val="80"/>
        </w:rPr>
        <w:t> </w:t>
      </w:r>
      <w:r>
        <w:rPr/>
        <w:t>AS DESCRIBED BY (ABCAM, 2013) Batch No. ab100570, Lot No. GR55997-1</w:t>
      </w:r>
    </w:p>
    <w:p>
      <w:pPr>
        <w:pStyle w:val="BodyText"/>
        <w:spacing w:line="480" w:lineRule="auto"/>
        <w:ind w:left="560" w:right="796"/>
        <w:jc w:val="both"/>
      </w:pPr>
      <w:r>
        <w:rPr>
          <w:b/>
        </w:rPr>
        <w:t>PRINCIPLE</w:t>
      </w:r>
      <w:r>
        <w:rPr/>
        <w:t>: This assay is of the sandwich format. Antibody specific for human IL-4 is coated in a well for the detection of IL-4. IL-4 in the specimen binds to the immobilized Antibody. The wells are incubated and washed before adding Biotinylated anti-human IL-4 Antibody. After incubation, unbound Biotinylated Antibody is washed. An enzyme complex known as HRP-conjugated Streptavidin is added and incubated. On addition of TMB</w:t>
      </w:r>
      <w:r>
        <w:rPr>
          <w:spacing w:val="40"/>
        </w:rPr>
        <w:t> </w:t>
      </w:r>
      <w:r>
        <w:rPr/>
        <w:t>substrate</w:t>
      </w:r>
      <w:r>
        <w:rPr>
          <w:spacing w:val="5"/>
        </w:rPr>
        <w:t> </w:t>
      </w:r>
      <w:r>
        <w:rPr/>
        <w:t>solution,</w:t>
      </w:r>
      <w:r>
        <w:rPr>
          <w:spacing w:val="7"/>
        </w:rPr>
        <w:t> </w:t>
      </w:r>
      <w:r>
        <w:rPr/>
        <w:t>a</w:t>
      </w:r>
      <w:r>
        <w:rPr>
          <w:spacing w:val="5"/>
        </w:rPr>
        <w:t> </w:t>
      </w:r>
      <w:r>
        <w:rPr/>
        <w:t>blue</w:t>
      </w:r>
      <w:r>
        <w:rPr>
          <w:spacing w:val="6"/>
        </w:rPr>
        <w:t> </w:t>
      </w:r>
      <w:r>
        <w:rPr/>
        <w:t>colour</w:t>
      </w:r>
      <w:r>
        <w:rPr>
          <w:spacing w:val="6"/>
        </w:rPr>
        <w:t> </w:t>
      </w:r>
      <w:r>
        <w:rPr/>
        <w:t>develops</w:t>
      </w:r>
      <w:r>
        <w:rPr>
          <w:spacing w:val="6"/>
        </w:rPr>
        <w:t> </w:t>
      </w:r>
      <w:r>
        <w:rPr/>
        <w:t>which</w:t>
      </w:r>
      <w:r>
        <w:rPr>
          <w:spacing w:val="6"/>
        </w:rPr>
        <w:t> </w:t>
      </w:r>
      <w:r>
        <w:rPr/>
        <w:t>is</w:t>
      </w:r>
      <w:r>
        <w:rPr>
          <w:spacing w:val="7"/>
        </w:rPr>
        <w:t> </w:t>
      </w:r>
      <w:r>
        <w:rPr/>
        <w:t>proportional</w:t>
      </w:r>
      <w:r>
        <w:rPr>
          <w:spacing w:val="5"/>
        </w:rPr>
        <w:t> </w:t>
      </w:r>
      <w:r>
        <w:rPr/>
        <w:t>to</w:t>
      </w:r>
      <w:r>
        <w:rPr>
          <w:spacing w:val="7"/>
        </w:rPr>
        <w:t> </w:t>
      </w:r>
      <w:r>
        <w:rPr/>
        <w:t>the</w:t>
      </w:r>
      <w:r>
        <w:rPr>
          <w:spacing w:val="6"/>
        </w:rPr>
        <w:t> </w:t>
      </w:r>
      <w:r>
        <w:rPr/>
        <w:t>amount</w:t>
      </w:r>
      <w:r>
        <w:rPr>
          <w:spacing w:val="6"/>
        </w:rPr>
        <w:t> </w:t>
      </w:r>
      <w:r>
        <w:rPr/>
        <w:t>of</w:t>
      </w:r>
      <w:r>
        <w:rPr>
          <w:spacing w:val="6"/>
        </w:rPr>
        <w:t> </w:t>
      </w:r>
      <w:r>
        <w:rPr/>
        <w:t>bound</w:t>
      </w:r>
      <w:r>
        <w:rPr>
          <w:spacing w:val="9"/>
        </w:rPr>
        <w:t> </w:t>
      </w:r>
      <w:r>
        <w:rPr/>
        <w:t>IL-</w:t>
      </w:r>
      <w:r>
        <w:rPr>
          <w:spacing w:val="-5"/>
        </w:rPr>
        <w:t>4.</w:t>
      </w:r>
    </w:p>
    <w:p>
      <w:pPr>
        <w:spacing w:after="0" w:line="480" w:lineRule="auto"/>
        <w:jc w:val="both"/>
        <w:sectPr>
          <w:pgSz w:w="11910" w:h="16840"/>
          <w:pgMar w:header="0" w:footer="1067" w:top="1060" w:bottom="1260" w:left="880" w:right="640"/>
        </w:sectPr>
      </w:pPr>
    </w:p>
    <w:p>
      <w:pPr>
        <w:pStyle w:val="BodyText"/>
        <w:spacing w:line="480" w:lineRule="auto" w:before="70"/>
        <w:ind w:left="560" w:right="804"/>
        <w:jc w:val="both"/>
      </w:pPr>
      <w:r>
        <w:rPr/>
        <w:t>The stop solution changes the colour to yellow, and the intensity of the colour is measured at </w:t>
      </w:r>
      <w:r>
        <w:rPr>
          <w:spacing w:val="-2"/>
        </w:rPr>
        <w:t>450nm.</w:t>
      </w:r>
    </w:p>
    <w:p>
      <w:pPr>
        <w:pStyle w:val="Heading2"/>
        <w:spacing w:before="5"/>
        <w:jc w:val="both"/>
      </w:pPr>
      <w:r>
        <w:rPr/>
        <w:t>PREPARATION</w:t>
      </w:r>
      <w:r>
        <w:rPr>
          <w:spacing w:val="-1"/>
        </w:rPr>
        <w:t> </w:t>
      </w:r>
      <w:r>
        <w:rPr/>
        <w:t>OF</w:t>
      </w:r>
      <w:r>
        <w:rPr>
          <w:spacing w:val="-1"/>
        </w:rPr>
        <w:t> </w:t>
      </w:r>
      <w:r>
        <w:rPr>
          <w:spacing w:val="-2"/>
        </w:rPr>
        <w:t>STANDARD</w:t>
      </w:r>
    </w:p>
    <w:p>
      <w:pPr>
        <w:pStyle w:val="BodyText"/>
        <w:spacing w:before="272"/>
        <w:ind w:left="560"/>
        <w:jc w:val="both"/>
      </w:pPr>
      <w:r>
        <w:rPr/>
        <w:t>Serially</w:t>
      </w:r>
      <w:r>
        <w:rPr>
          <w:spacing w:val="-5"/>
        </w:rPr>
        <w:t> </w:t>
      </w:r>
      <w:r>
        <w:rPr/>
        <w:t>diluted standards</w:t>
      </w:r>
      <w:r>
        <w:rPr>
          <w:spacing w:val="1"/>
        </w:rPr>
        <w:t> </w:t>
      </w:r>
      <w:r>
        <w:rPr/>
        <w:t>were</w:t>
      </w:r>
      <w:r>
        <w:rPr>
          <w:spacing w:val="-2"/>
        </w:rPr>
        <w:t> </w:t>
      </w:r>
      <w:r>
        <w:rPr/>
        <w:t>prepared immediately</w:t>
      </w:r>
      <w:r>
        <w:rPr>
          <w:spacing w:val="-5"/>
        </w:rPr>
        <w:t> </w:t>
      </w:r>
      <w:r>
        <w:rPr/>
        <w:t>prior to </w:t>
      </w:r>
      <w:r>
        <w:rPr>
          <w:spacing w:val="-4"/>
        </w:rPr>
        <w:t>use.</w:t>
      </w:r>
    </w:p>
    <w:p>
      <w:pPr>
        <w:pStyle w:val="BodyText"/>
        <w:spacing w:line="480" w:lineRule="auto" w:before="276"/>
        <w:ind w:left="560" w:right="795"/>
        <w:jc w:val="both"/>
      </w:pPr>
      <w:r>
        <w:rPr/>
        <w:t>After a brief spin of the vial of lL-4 Standard, a concentration of 110ng/mL stock standard was prepared by</w:t>
      </w:r>
      <w:r>
        <w:rPr>
          <w:spacing w:val="-3"/>
        </w:rPr>
        <w:t> </w:t>
      </w:r>
      <w:r>
        <w:rPr/>
        <w:t>adding 400</w:t>
      </w:r>
      <w:r>
        <w:rPr>
          <w:rFonts w:ascii="Symbol" w:hAnsi="Symbol"/>
        </w:rPr>
        <w:t></w:t>
      </w:r>
      <w:r>
        <w:rPr/>
        <w:t>L</w:t>
      </w:r>
      <w:r>
        <w:rPr>
          <w:spacing w:val="-1"/>
        </w:rPr>
        <w:t> </w:t>
      </w:r>
      <w:r>
        <w:rPr/>
        <w:t>of Assay</w:t>
      </w:r>
      <w:r>
        <w:rPr>
          <w:spacing w:val="40"/>
        </w:rPr>
        <w:t> </w:t>
      </w:r>
      <w:r>
        <w:rPr/>
        <w:t>Diluent A (for serum/plasma samples) into the vial. After that, standard of 7 different concentrations were prepared from the stock standard (100ng/mI)</w:t>
      </w:r>
      <w:r>
        <w:rPr>
          <w:spacing w:val="-2"/>
        </w:rPr>
        <w:t> </w:t>
      </w:r>
      <w:r>
        <w:rPr/>
        <w:t>to</w:t>
      </w:r>
      <w:r>
        <w:rPr>
          <w:spacing w:val="-1"/>
        </w:rPr>
        <w:t> </w:t>
      </w:r>
      <w:r>
        <w:rPr/>
        <w:t>obtain</w:t>
      </w:r>
      <w:r>
        <w:rPr>
          <w:spacing w:val="-1"/>
        </w:rPr>
        <w:t> </w:t>
      </w:r>
      <w:r>
        <w:rPr/>
        <w:t>values</w:t>
      </w:r>
      <w:r>
        <w:rPr>
          <w:spacing w:val="-2"/>
        </w:rPr>
        <w:t> </w:t>
      </w:r>
      <w:r>
        <w:rPr/>
        <w:t>of</w:t>
      </w:r>
      <w:r>
        <w:rPr>
          <w:spacing w:val="-2"/>
        </w:rPr>
        <w:t> </w:t>
      </w:r>
      <w:r>
        <w:rPr/>
        <w:t>200pg/ml,</w:t>
      </w:r>
      <w:r>
        <w:rPr>
          <w:spacing w:val="-1"/>
        </w:rPr>
        <w:t> </w:t>
      </w:r>
      <w:r>
        <w:rPr/>
        <w:t>100pg/ml,</w:t>
      </w:r>
      <w:r>
        <w:rPr>
          <w:spacing w:val="-1"/>
        </w:rPr>
        <w:t> </w:t>
      </w:r>
      <w:r>
        <w:rPr/>
        <w:t>50pg/ml,</w:t>
      </w:r>
      <w:r>
        <w:rPr>
          <w:spacing w:val="-1"/>
        </w:rPr>
        <w:t> </w:t>
      </w:r>
      <w:r>
        <w:rPr/>
        <w:t>25pg/mI,</w:t>
      </w:r>
      <w:r>
        <w:rPr>
          <w:spacing w:val="-1"/>
        </w:rPr>
        <w:t> </w:t>
      </w:r>
      <w:r>
        <w:rPr/>
        <w:t>12.5pg/ml,</w:t>
      </w:r>
      <w:r>
        <w:rPr>
          <w:spacing w:val="-1"/>
        </w:rPr>
        <w:t> </w:t>
      </w:r>
      <w:r>
        <w:rPr/>
        <w:t>6.25pg/ml and 3.13pg/ml respectively. The preparation was as follows - 7 scrupulously cleaned sterile tubes were labeled 1-7. In the first tube, 2</w:t>
      </w:r>
      <w:r>
        <w:rPr>
          <w:rFonts w:ascii="Symbol" w:hAnsi="Symbol"/>
        </w:rPr>
        <w:t></w:t>
      </w:r>
      <w:r>
        <w:rPr/>
        <w:t>l of 110ng/ml (110,000pg/ml) of stock standard was added to 1098</w:t>
      </w:r>
      <w:r>
        <w:rPr>
          <w:rFonts w:ascii="Symbol" w:hAnsi="Symbol"/>
        </w:rPr>
        <w:t></w:t>
      </w:r>
      <w:r>
        <w:rPr/>
        <w:t>l of Assay Diluent A. This was gently mixed and a concentration of 200pg/ml was obtained. Then 200</w:t>
      </w:r>
      <w:r>
        <w:rPr>
          <w:rFonts w:ascii="Symbol" w:hAnsi="Symbol"/>
        </w:rPr>
        <w:t></w:t>
      </w:r>
      <w:r>
        <w:rPr/>
        <w:t>l of the standard in tube no. 1 was added into tube 2 containing 200</w:t>
      </w:r>
      <w:r>
        <w:rPr>
          <w:rFonts w:ascii="Symbol" w:hAnsi="Symbol"/>
        </w:rPr>
        <w:t></w:t>
      </w:r>
      <w:r>
        <w:rPr/>
        <w:t>l of Diluent A to obtain a concentration of 100pg/ml. Again, 200</w:t>
      </w:r>
      <w:r>
        <w:rPr>
          <w:rFonts w:ascii="Symbol" w:hAnsi="Symbol"/>
        </w:rPr>
        <w:t></w:t>
      </w:r>
      <w:r>
        <w:rPr/>
        <w:t>l of 100ng/ml standard in tube 2 was added into tube 3 containing 200</w:t>
      </w:r>
      <w:r>
        <w:rPr>
          <w:rFonts w:ascii="Symbol" w:hAnsi="Symbol"/>
        </w:rPr>
        <w:t></w:t>
      </w:r>
      <w:r>
        <w:rPr/>
        <w:t>l of Diluent A to obtain a concentration of 50pg/ml. The same steps were taken upto the 7th tube to achieve concentrations of 25pg/ml, 12.5pg/ml 6.25pgIml and 3.l3pg/ml respectively. The assay diluent A served as the zero standard (0pg/ml).</w:t>
      </w:r>
    </w:p>
    <w:p>
      <w:pPr>
        <w:pStyle w:val="Heading2"/>
        <w:spacing w:before="1"/>
        <w:jc w:val="both"/>
        <w:rPr>
          <w:b w:val="0"/>
        </w:rPr>
      </w:pPr>
      <w:r>
        <w:rPr/>
        <w:t>ASSAY </w:t>
      </w:r>
      <w:r>
        <w:rPr>
          <w:spacing w:val="-2"/>
        </w:rPr>
        <w:t>PROCEDURE</w:t>
      </w:r>
      <w:r>
        <w:rPr>
          <w:b w:val="0"/>
          <w:spacing w:val="-2"/>
        </w:rPr>
        <w:t>:</w:t>
      </w:r>
    </w:p>
    <w:p>
      <w:pPr>
        <w:pStyle w:val="BodyText"/>
      </w:pPr>
    </w:p>
    <w:p>
      <w:pPr>
        <w:pStyle w:val="BodyText"/>
        <w:spacing w:line="480" w:lineRule="auto"/>
        <w:ind w:left="560" w:right="797"/>
        <w:jc w:val="both"/>
      </w:pPr>
      <w:r>
        <w:rPr/>
        <w:t>All materials (the standards, prepared reagents, and samples) were brought to room temperature and the assay conducted in duplicate. One hundred microlitres (100</w:t>
      </w:r>
      <w:r>
        <w:rPr>
          <w:rFonts w:ascii="Symbol" w:hAnsi="Symbol"/>
        </w:rPr>
        <w:t></w:t>
      </w:r>
      <w:r>
        <w:rPr/>
        <w:t>l) of each standard and samples were added into the appropriate wells and gently</w:t>
      </w:r>
      <w:r>
        <w:rPr>
          <w:spacing w:val="-3"/>
        </w:rPr>
        <w:t> </w:t>
      </w:r>
      <w:r>
        <w:rPr/>
        <w:t>mixed. It was covered and incubated for 2.5hours at room temperature. The solution was discarded and washed 4 times with 300</w:t>
      </w:r>
      <w:r>
        <w:rPr>
          <w:rFonts w:ascii="Symbol" w:hAnsi="Symbol"/>
        </w:rPr>
        <w:t></w:t>
      </w:r>
      <w:r>
        <w:rPr/>
        <w:t>l of wash solution. The liquid were completely removed after each wash. On completion of the last wash, the plate was inverted and blotted against a clean absorbent paper.A</w:t>
      </w:r>
      <w:r>
        <w:rPr>
          <w:spacing w:val="50"/>
        </w:rPr>
        <w:t> </w:t>
      </w:r>
      <w:r>
        <w:rPr/>
        <w:t>one</w:t>
      </w:r>
      <w:r>
        <w:rPr>
          <w:spacing w:val="48"/>
        </w:rPr>
        <w:t> </w:t>
      </w:r>
      <w:r>
        <w:rPr/>
        <w:t>hundred</w:t>
      </w:r>
      <w:r>
        <w:rPr>
          <w:spacing w:val="50"/>
        </w:rPr>
        <w:t> </w:t>
      </w:r>
      <w:r>
        <w:rPr/>
        <w:t>microlitre</w:t>
      </w:r>
      <w:r>
        <w:rPr>
          <w:spacing w:val="47"/>
        </w:rPr>
        <w:t> </w:t>
      </w:r>
      <w:r>
        <w:rPr/>
        <w:t>(100</w:t>
      </w:r>
      <w:r>
        <w:rPr>
          <w:rFonts w:ascii="Symbol" w:hAnsi="Symbol"/>
        </w:rPr>
        <w:t></w:t>
      </w:r>
      <w:r>
        <w:rPr/>
        <w:t>L)</w:t>
      </w:r>
      <w:r>
        <w:rPr>
          <w:spacing w:val="49"/>
        </w:rPr>
        <w:t> </w:t>
      </w:r>
      <w:r>
        <w:rPr/>
        <w:t>of</w:t>
      </w:r>
      <w:r>
        <w:rPr>
          <w:spacing w:val="50"/>
        </w:rPr>
        <w:t> </w:t>
      </w:r>
      <w:r>
        <w:rPr/>
        <w:t>IX</w:t>
      </w:r>
      <w:r>
        <w:rPr>
          <w:spacing w:val="51"/>
        </w:rPr>
        <w:t> </w:t>
      </w:r>
      <w:r>
        <w:rPr/>
        <w:t>Biotinylated</w:t>
      </w:r>
      <w:r>
        <w:rPr>
          <w:spacing w:val="51"/>
        </w:rPr>
        <w:t> </w:t>
      </w:r>
      <w:r>
        <w:rPr/>
        <w:t>IL-4</w:t>
      </w:r>
      <w:r>
        <w:rPr>
          <w:spacing w:val="50"/>
        </w:rPr>
        <w:t> </w:t>
      </w:r>
      <w:r>
        <w:rPr/>
        <w:t>detection</w:t>
      </w:r>
      <w:r>
        <w:rPr>
          <w:spacing w:val="49"/>
        </w:rPr>
        <w:t> </w:t>
      </w:r>
      <w:r>
        <w:rPr/>
        <w:t>antibody</w:t>
      </w:r>
      <w:r>
        <w:rPr>
          <w:spacing w:val="45"/>
        </w:rPr>
        <w:t> </w:t>
      </w:r>
      <w:r>
        <w:rPr>
          <w:spacing w:val="-5"/>
        </w:rPr>
        <w:t>was</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added to each well and incubated for 1 hour at room temperature. The solution was again discarded, the washed steps repeated and wells blotted from any</w:t>
      </w:r>
      <w:r>
        <w:rPr>
          <w:spacing w:val="-3"/>
        </w:rPr>
        <w:t> </w:t>
      </w:r>
      <w:r>
        <w:rPr/>
        <w:t>liquid. A 100</w:t>
      </w:r>
      <w:r>
        <w:rPr>
          <w:rFonts w:ascii="Symbol" w:hAnsi="Symbol"/>
        </w:rPr>
        <w:t></w:t>
      </w:r>
      <w:r>
        <w:rPr/>
        <w:t>L</w:t>
      </w:r>
      <w:r>
        <w:rPr>
          <w:spacing w:val="-1"/>
        </w:rPr>
        <w:t> </w:t>
      </w:r>
      <w:r>
        <w:rPr/>
        <w:t>of IX HRP- Streptavidin solution was added to each well. This was incubated for 45minutes at room temperature.</w:t>
      </w:r>
      <w:r>
        <w:rPr>
          <w:spacing w:val="-1"/>
        </w:rPr>
        <w:t> </w:t>
      </w:r>
      <w:r>
        <w:rPr/>
        <w:t>Again,</w:t>
      </w:r>
      <w:r>
        <w:rPr>
          <w:spacing w:val="-1"/>
        </w:rPr>
        <w:t> </w:t>
      </w:r>
      <w:r>
        <w:rPr/>
        <w:t>the</w:t>
      </w:r>
      <w:r>
        <w:rPr>
          <w:spacing w:val="-2"/>
        </w:rPr>
        <w:t> </w:t>
      </w:r>
      <w:r>
        <w:rPr/>
        <w:t>solution</w:t>
      </w:r>
      <w:r>
        <w:rPr>
          <w:spacing w:val="-1"/>
        </w:rPr>
        <w:t> </w:t>
      </w:r>
      <w:r>
        <w:rPr/>
        <w:t>was</w:t>
      </w:r>
      <w:r>
        <w:rPr>
          <w:spacing w:val="-1"/>
        </w:rPr>
        <w:t> </w:t>
      </w:r>
      <w:r>
        <w:rPr/>
        <w:t>discarded; the</w:t>
      </w:r>
      <w:r>
        <w:rPr>
          <w:spacing w:val="-2"/>
        </w:rPr>
        <w:t> </w:t>
      </w:r>
      <w:r>
        <w:rPr/>
        <w:t>washed</w:t>
      </w:r>
      <w:r>
        <w:rPr>
          <w:spacing w:val="-2"/>
        </w:rPr>
        <w:t> </w:t>
      </w:r>
      <w:r>
        <w:rPr/>
        <w:t>step</w:t>
      </w:r>
      <w:r>
        <w:rPr>
          <w:spacing w:val="-2"/>
        </w:rPr>
        <w:t> </w:t>
      </w:r>
      <w:r>
        <w:rPr/>
        <w:t>repeated</w:t>
      </w:r>
      <w:r>
        <w:rPr>
          <w:spacing w:val="-2"/>
        </w:rPr>
        <w:t> </w:t>
      </w:r>
      <w:r>
        <w:rPr/>
        <w:t>accordingly</w:t>
      </w:r>
      <w:r>
        <w:rPr>
          <w:spacing w:val="-6"/>
        </w:rPr>
        <w:t> </w:t>
      </w:r>
      <w:r>
        <w:rPr/>
        <w:t>and</w:t>
      </w:r>
      <w:r>
        <w:rPr>
          <w:spacing w:val="-1"/>
        </w:rPr>
        <w:t> </w:t>
      </w:r>
      <w:r>
        <w:rPr/>
        <w:t>left over liquid was blotted. This was followed by the addition of 100</w:t>
      </w:r>
      <w:r>
        <w:rPr>
          <w:rFonts w:ascii="Symbol" w:hAnsi="Symbol"/>
        </w:rPr>
        <w:t></w:t>
      </w:r>
      <w:r>
        <w:rPr/>
        <w:t>L of TMB one-step reagent. It was incubated in the dark for 30 minutes at room temperature. The reaction was stopped on addition of 50</w:t>
      </w:r>
      <w:r>
        <w:rPr>
          <w:rFonts w:ascii="Symbol" w:hAnsi="Symbol"/>
        </w:rPr>
        <w:t></w:t>
      </w:r>
      <w:r>
        <w:rPr/>
        <w:t>L of stop solution to each well and a yellow coloured complex developed which was read immediately at 450nm.</w:t>
      </w:r>
    </w:p>
    <w:p>
      <w:pPr>
        <w:pStyle w:val="Heading2"/>
        <w:spacing w:before="6"/>
      </w:pPr>
      <w:r>
        <w:rPr>
          <w:spacing w:val="-2"/>
        </w:rPr>
        <w:t>CALCULATION</w:t>
      </w:r>
    </w:p>
    <w:p>
      <w:pPr>
        <w:pStyle w:val="BodyText"/>
        <w:spacing w:line="480" w:lineRule="auto" w:before="271"/>
        <w:ind w:left="560" w:right="796"/>
        <w:jc w:val="both"/>
      </w:pPr>
      <w:r>
        <w:rPr/>
        <w:t>The mean of the absorbance for each set of duplicate standards, control and samples were taken and subtracted from the average optical density of zero standards. A standard curve on log-log graph paper was plotted with the concentration of the standards on the x-axis and absorbance on the y-axis and values of samples and controls interpolated.</w:t>
      </w:r>
    </w:p>
    <w:p>
      <w:pPr>
        <w:pStyle w:val="Heading2"/>
        <w:spacing w:before="6"/>
      </w:pPr>
      <w:r>
        <w:rPr>
          <w:spacing w:val="-2"/>
        </w:rPr>
        <w:t>SENSITIVITY</w:t>
      </w:r>
    </w:p>
    <w:p>
      <w:pPr>
        <w:pStyle w:val="BodyText"/>
        <w:spacing w:before="271"/>
        <w:ind w:left="560"/>
        <w:jc w:val="both"/>
      </w:pPr>
      <w:r>
        <w:rPr/>
        <w:t>The</w:t>
      </w:r>
      <w:r>
        <w:rPr>
          <w:spacing w:val="-3"/>
        </w:rPr>
        <w:t> </w:t>
      </w:r>
      <w:r>
        <w:rPr/>
        <w:t>minimum</w:t>
      </w:r>
      <w:r>
        <w:rPr>
          <w:spacing w:val="-1"/>
        </w:rPr>
        <w:t> </w:t>
      </w:r>
      <w:r>
        <w:rPr/>
        <w:t>detectable</w:t>
      </w:r>
      <w:r>
        <w:rPr>
          <w:spacing w:val="1"/>
        </w:rPr>
        <w:t> </w:t>
      </w:r>
      <w:r>
        <w:rPr/>
        <w:t>dose</w:t>
      </w:r>
      <w:r>
        <w:rPr>
          <w:spacing w:val="-2"/>
        </w:rPr>
        <w:t> </w:t>
      </w:r>
      <w:r>
        <w:rPr/>
        <w:t>of</w:t>
      </w:r>
      <w:r>
        <w:rPr>
          <w:spacing w:val="-1"/>
        </w:rPr>
        <w:t> </w:t>
      </w:r>
      <w:r>
        <w:rPr/>
        <w:t>lL-4 was</w:t>
      </w:r>
      <w:r>
        <w:rPr>
          <w:spacing w:val="1"/>
        </w:rPr>
        <w:t> </w:t>
      </w:r>
      <w:r>
        <w:rPr/>
        <w:t>&lt;</w:t>
      </w:r>
      <w:r>
        <w:rPr>
          <w:spacing w:val="-1"/>
        </w:rPr>
        <w:t> </w:t>
      </w:r>
      <w:r>
        <w:rPr>
          <w:spacing w:val="-2"/>
        </w:rPr>
        <w:t>5pg/mL.</w:t>
      </w:r>
    </w:p>
    <w:p>
      <w:pPr>
        <w:pStyle w:val="BodyText"/>
      </w:pPr>
    </w:p>
    <w:p>
      <w:pPr>
        <w:pStyle w:val="BodyText"/>
      </w:pPr>
    </w:p>
    <w:p>
      <w:pPr>
        <w:pStyle w:val="BodyText"/>
        <w:spacing w:before="4"/>
      </w:pPr>
    </w:p>
    <w:p>
      <w:pPr>
        <w:pStyle w:val="Heading3"/>
        <w:numPr>
          <w:ilvl w:val="2"/>
          <w:numId w:val="8"/>
        </w:numPr>
        <w:tabs>
          <w:tab w:pos="1040" w:val="left" w:leader="none"/>
        </w:tabs>
        <w:spacing w:line="480" w:lineRule="auto" w:before="1" w:after="0"/>
        <w:ind w:left="560" w:right="797" w:firstLine="0"/>
        <w:jc w:val="left"/>
      </w:pPr>
      <w:r>
        <w:rPr/>
        <w:t>QUANTITATIVE</w:t>
      </w:r>
      <w:r>
        <w:rPr>
          <w:spacing w:val="77"/>
        </w:rPr>
        <w:t> </w:t>
      </w:r>
      <w:r>
        <w:rPr/>
        <w:t>MEASUREMENT</w:t>
      </w:r>
      <w:r>
        <w:rPr>
          <w:spacing w:val="77"/>
        </w:rPr>
        <w:t> </w:t>
      </w:r>
      <w:r>
        <w:rPr/>
        <w:t>OF</w:t>
      </w:r>
      <w:r>
        <w:rPr>
          <w:spacing w:val="77"/>
        </w:rPr>
        <w:t> </w:t>
      </w:r>
      <w:r>
        <w:rPr/>
        <w:t>IL-</w:t>
      </w:r>
      <w:r>
        <w:rPr>
          <w:spacing w:val="40"/>
        </w:rPr>
        <w:t> </w:t>
      </w:r>
      <w:r>
        <w:rPr/>
        <w:t>6</w:t>
      </w:r>
      <w:r>
        <w:rPr>
          <w:spacing w:val="77"/>
        </w:rPr>
        <w:t> </w:t>
      </w:r>
      <w:r>
        <w:rPr/>
        <w:t>BY</w:t>
      </w:r>
      <w:r>
        <w:rPr>
          <w:spacing w:val="40"/>
        </w:rPr>
        <w:t> </w:t>
      </w:r>
      <w:r>
        <w:rPr/>
        <w:t>ELISA</w:t>
      </w:r>
      <w:r>
        <w:rPr>
          <w:spacing w:val="40"/>
        </w:rPr>
        <w:t> </w:t>
      </w:r>
      <w:r>
        <w:rPr/>
        <w:t>TECHNIQUE</w:t>
      </w:r>
      <w:r>
        <w:rPr>
          <w:spacing w:val="77"/>
        </w:rPr>
        <w:t> </w:t>
      </w:r>
      <w:r>
        <w:rPr/>
        <w:t>AS DESCRIBED BY (ABCAM, 2013) Batch No. ab46027, Lot No. GR140910-1</w:t>
      </w:r>
    </w:p>
    <w:p>
      <w:pPr>
        <w:pStyle w:val="BodyText"/>
        <w:spacing w:line="480" w:lineRule="auto"/>
        <w:ind w:left="560" w:right="797"/>
        <w:jc w:val="both"/>
      </w:pPr>
      <w:r>
        <w:rPr>
          <w:b/>
        </w:rPr>
        <w:t>PRINCIPLE:</w:t>
      </w:r>
      <w:r>
        <w:rPr/>
        <w:t>The assay</w:t>
      </w:r>
      <w:r>
        <w:rPr>
          <w:spacing w:val="-1"/>
        </w:rPr>
        <w:t> </w:t>
      </w:r>
      <w:r>
        <w:rPr/>
        <w:t>is of the competitive format. A monoclonal antibody</w:t>
      </w:r>
      <w:r>
        <w:rPr>
          <w:spacing w:val="-4"/>
        </w:rPr>
        <w:t> </w:t>
      </w:r>
      <w:r>
        <w:rPr/>
        <w:t>specific for IL- 6 is coated into the wells of the microtiter strips. IL-6 in the specimen and Biotinylated monoclonal</w:t>
      </w:r>
      <w:r>
        <w:rPr>
          <w:spacing w:val="-2"/>
        </w:rPr>
        <w:t> </w:t>
      </w:r>
      <w:r>
        <w:rPr/>
        <w:t>antibody</w:t>
      </w:r>
      <w:r>
        <w:rPr>
          <w:spacing w:val="-7"/>
        </w:rPr>
        <w:t> </w:t>
      </w:r>
      <w:r>
        <w:rPr/>
        <w:t>are</w:t>
      </w:r>
      <w:r>
        <w:rPr>
          <w:spacing w:val="-2"/>
        </w:rPr>
        <w:t> </w:t>
      </w:r>
      <w:r>
        <w:rPr/>
        <w:t>added</w:t>
      </w:r>
      <w:r>
        <w:rPr>
          <w:spacing w:val="-2"/>
        </w:rPr>
        <w:t> </w:t>
      </w:r>
      <w:r>
        <w:rPr/>
        <w:t>simultaneously.</w:t>
      </w:r>
      <w:r>
        <w:rPr>
          <w:spacing w:val="-2"/>
        </w:rPr>
        <w:t> </w:t>
      </w:r>
      <w:r>
        <w:rPr/>
        <w:t>Both</w:t>
      </w:r>
      <w:r>
        <w:rPr>
          <w:spacing w:val="-2"/>
        </w:rPr>
        <w:t> </w:t>
      </w:r>
      <w:r>
        <w:rPr/>
        <w:t>compete</w:t>
      </w:r>
      <w:r>
        <w:rPr>
          <w:spacing w:val="-1"/>
        </w:rPr>
        <w:t> </w:t>
      </w:r>
      <w:r>
        <w:rPr/>
        <w:t>for</w:t>
      </w:r>
      <w:r>
        <w:rPr>
          <w:spacing w:val="-4"/>
        </w:rPr>
        <w:t> </w:t>
      </w:r>
      <w:r>
        <w:rPr/>
        <w:t>the</w:t>
      </w:r>
      <w:r>
        <w:rPr>
          <w:spacing w:val="-1"/>
        </w:rPr>
        <w:t> </w:t>
      </w:r>
      <w:r>
        <w:rPr/>
        <w:t>antibody</w:t>
      </w:r>
      <w:r>
        <w:rPr>
          <w:spacing w:val="-7"/>
        </w:rPr>
        <w:t> </w:t>
      </w:r>
      <w:r>
        <w:rPr/>
        <w:t>binding</w:t>
      </w:r>
      <w:r>
        <w:rPr>
          <w:spacing w:val="-2"/>
        </w:rPr>
        <w:t> </w:t>
      </w:r>
      <w:r>
        <w:rPr/>
        <w:t>site</w:t>
      </w:r>
      <w:r>
        <w:rPr>
          <w:spacing w:val="-1"/>
        </w:rPr>
        <w:t> </w:t>
      </w:r>
      <w:r>
        <w:rPr/>
        <w:t>in the well. Unbound complex is washed; Enzyme Streptavidin-HRP is added and incubated. A TMB substrate solution is added which acts on the bound enzyme to produce a blue colour which is proportional to the amount of bound IL-4. The stop solution changes the colour to yellow, and the intensity of the colour is measured at 450nm.</w:t>
      </w:r>
    </w:p>
    <w:p>
      <w:pPr>
        <w:spacing w:after="0" w:line="480" w:lineRule="auto"/>
        <w:jc w:val="both"/>
        <w:sectPr>
          <w:pgSz w:w="11910" w:h="16840"/>
          <w:pgMar w:header="0" w:footer="1067" w:top="1060" w:bottom="1260" w:left="880" w:right="640"/>
        </w:sectPr>
      </w:pPr>
    </w:p>
    <w:p>
      <w:pPr>
        <w:pStyle w:val="Heading2"/>
        <w:spacing w:before="75"/>
        <w:jc w:val="both"/>
      </w:pPr>
      <w:r>
        <w:rPr/>
        <w:t>PREPARATION</w:t>
      </w:r>
      <w:r>
        <w:rPr>
          <w:spacing w:val="-3"/>
        </w:rPr>
        <w:t> </w:t>
      </w:r>
      <w:r>
        <w:rPr/>
        <w:t>OF REAGENTS</w:t>
      </w:r>
      <w:r>
        <w:rPr>
          <w:spacing w:val="-1"/>
        </w:rPr>
        <w:t> </w:t>
      </w:r>
      <w:r>
        <w:rPr/>
        <w:t>AND </w:t>
      </w:r>
      <w:r>
        <w:rPr>
          <w:spacing w:val="-2"/>
        </w:rPr>
        <w:t>STANDARDS</w:t>
      </w:r>
    </w:p>
    <w:p>
      <w:pPr>
        <w:pStyle w:val="BodyText"/>
        <w:spacing w:line="480" w:lineRule="auto" w:before="271"/>
        <w:ind w:left="560" w:right="794"/>
        <w:jc w:val="both"/>
      </w:pPr>
      <w:r>
        <w:rPr/>
        <w:t>The reagents and standards were prepared according to the manufacturer‟s directive. For the IX Standard</w:t>
      </w:r>
      <w:r>
        <w:rPr>
          <w:spacing w:val="-1"/>
        </w:rPr>
        <w:t> </w:t>
      </w:r>
      <w:r>
        <w:rPr/>
        <w:t>Dilute</w:t>
      </w:r>
      <w:r>
        <w:rPr>
          <w:spacing w:val="-1"/>
        </w:rPr>
        <w:t> </w:t>
      </w:r>
      <w:r>
        <w:rPr/>
        <w:t>Buffer</w:t>
      </w:r>
      <w:r>
        <w:rPr>
          <w:spacing w:val="-1"/>
        </w:rPr>
        <w:t> </w:t>
      </w:r>
      <w:r>
        <w:rPr/>
        <w:t>and Wash Buffer, a</w:t>
      </w:r>
      <w:r>
        <w:rPr>
          <w:spacing w:val="-1"/>
        </w:rPr>
        <w:t> </w:t>
      </w:r>
      <w:r>
        <w:rPr/>
        <w:t>1 in 10 dilution was made</w:t>
      </w:r>
      <w:r>
        <w:rPr>
          <w:spacing w:val="-2"/>
        </w:rPr>
        <w:t> </w:t>
      </w:r>
      <w:r>
        <w:rPr/>
        <w:t>using distilled</w:t>
      </w:r>
      <w:r>
        <w:rPr>
          <w:spacing w:val="-1"/>
        </w:rPr>
        <w:t> </w:t>
      </w:r>
      <w:r>
        <w:rPr/>
        <w:t>water and a 1 in 200 dilution using IX Wash Buffer were prepared respectively. Each of the solutions was gently mixed to avoid foaming. The lyophilized Control vial was reconstituted with the Standard Diluent for human serum while the IX Biotinylated anti-IL-6 was prepared by making a 1 in 20 dilution using Biotinylated antibody diluent. Again, an IX Streptavidin- HRP concentrate was prepared by adding 500</w:t>
      </w:r>
      <w:r>
        <w:rPr>
          <w:rFonts w:ascii="Symbol" w:hAnsi="Symbol"/>
        </w:rPr>
        <w:t></w:t>
      </w:r>
      <w:r>
        <w:rPr/>
        <w:t>l of HRP diluent to the streptavidin-HRP vial. Further dilution of the already prepared streptavidin-HRP concentrate was made in the ratio</w:t>
      </w:r>
      <w:r>
        <w:rPr>
          <w:spacing w:val="40"/>
        </w:rPr>
        <w:t> </w:t>
      </w:r>
      <w:r>
        <w:rPr/>
        <w:t>of 1 in 15 using HRP diluent. As regards the preparation of standards, the Standard Diluent for human serum was used. Seven tubes were scrupulously cleaned and labeled accordingly. In the first tube, a 200pg/ml was made on reconstituting the vial. A 100</w:t>
      </w:r>
      <w:r>
        <w:rPr>
          <w:rFonts w:ascii="Symbol" w:hAnsi="Symbol"/>
        </w:rPr>
        <w:t></w:t>
      </w:r>
      <w:r>
        <w:rPr/>
        <w:t>l of the diluted standard diluent was added into each tube assigned 2- 6. Then, 100</w:t>
      </w:r>
      <w:r>
        <w:rPr>
          <w:rFonts w:ascii="Symbol" w:hAnsi="Symbol"/>
        </w:rPr>
        <w:t></w:t>
      </w:r>
      <w:r>
        <w:rPr/>
        <w:t>l of the standard from tube 1 was added into tube 2 and mixed thoroughly to obtain a concentration of 100pg/ml. A 100</w:t>
      </w:r>
      <w:r>
        <w:rPr>
          <w:rFonts w:ascii="Symbol" w:hAnsi="Symbol"/>
        </w:rPr>
        <w:t></w:t>
      </w:r>
      <w:r>
        <w:rPr/>
        <w:t>l was lifted from tube 2 and transferred into tube 3. The content was gently mixed to obtain a concentration of 50pg/ml. The same step was repeated to the last tube (6th tube) to obtain concentrations of 25pg/ml, 12.5pg/ml and 6.25pg/ml respectively.</w:t>
      </w:r>
    </w:p>
    <w:p>
      <w:pPr>
        <w:pStyle w:val="Heading2"/>
        <w:spacing w:before="7"/>
        <w:jc w:val="both"/>
      </w:pPr>
      <w:r>
        <w:rPr/>
        <w:t>ASSAY </w:t>
      </w:r>
      <w:r>
        <w:rPr>
          <w:spacing w:val="-2"/>
        </w:rPr>
        <w:t>PROCEDURE</w:t>
      </w:r>
    </w:p>
    <w:p>
      <w:pPr>
        <w:pStyle w:val="BodyText"/>
        <w:spacing w:line="480" w:lineRule="auto" w:before="271"/>
        <w:ind w:left="560" w:right="797"/>
        <w:jc w:val="both"/>
      </w:pPr>
      <w:r>
        <w:rPr/>
        <w:t>All materials, the Standards, prepared reagents, and samples were brought to room temperature and the assay conducted in duplicate. One hundred microlitres (100</w:t>
      </w:r>
      <w:r>
        <w:rPr>
          <w:rFonts w:ascii="Symbol" w:hAnsi="Symbol"/>
        </w:rPr>
        <w:t></w:t>
      </w:r>
      <w:r>
        <w:rPr/>
        <w:t>l) of each Standard, IX Control solution, samples and blank were added into the appropriate wells. A 50</w:t>
      </w:r>
      <w:r>
        <w:rPr>
          <w:rFonts w:ascii="Symbol" w:hAnsi="Symbol"/>
        </w:rPr>
        <w:t></w:t>
      </w:r>
      <w:r>
        <w:rPr/>
        <w:t>l of IX Biotinylated anti-IL-6 was later added, covered and incubated for 1 hour at room temperature. The solution was discarded and washed 4 times with 300</w:t>
      </w:r>
      <w:r>
        <w:rPr>
          <w:rFonts w:ascii="Symbol" w:hAnsi="Symbol"/>
        </w:rPr>
        <w:t></w:t>
      </w:r>
      <w:r>
        <w:rPr/>
        <w:t>l of wash solution. The liquid were completely removed after each wash. On completion of the last wash, the plate</w:t>
      </w:r>
      <w:r>
        <w:rPr>
          <w:spacing w:val="35"/>
        </w:rPr>
        <w:t> </w:t>
      </w:r>
      <w:r>
        <w:rPr/>
        <w:t>was</w:t>
      </w:r>
      <w:r>
        <w:rPr>
          <w:spacing w:val="39"/>
        </w:rPr>
        <w:t> </w:t>
      </w:r>
      <w:r>
        <w:rPr/>
        <w:t>inverted</w:t>
      </w:r>
      <w:r>
        <w:rPr>
          <w:spacing w:val="41"/>
        </w:rPr>
        <w:t> </w:t>
      </w:r>
      <w:r>
        <w:rPr/>
        <w:t>and</w:t>
      </w:r>
      <w:r>
        <w:rPr>
          <w:spacing w:val="41"/>
        </w:rPr>
        <w:t> </w:t>
      </w:r>
      <w:r>
        <w:rPr/>
        <w:t>blotted</w:t>
      </w:r>
      <w:r>
        <w:rPr>
          <w:spacing w:val="39"/>
        </w:rPr>
        <w:t> </w:t>
      </w:r>
      <w:r>
        <w:rPr/>
        <w:t>against</w:t>
      </w:r>
      <w:r>
        <w:rPr>
          <w:spacing w:val="40"/>
        </w:rPr>
        <w:t> </w:t>
      </w:r>
      <w:r>
        <w:rPr/>
        <w:t>a</w:t>
      </w:r>
      <w:r>
        <w:rPr>
          <w:spacing w:val="41"/>
        </w:rPr>
        <w:t> </w:t>
      </w:r>
      <w:r>
        <w:rPr/>
        <w:t>clean</w:t>
      </w:r>
      <w:r>
        <w:rPr>
          <w:spacing w:val="41"/>
        </w:rPr>
        <w:t> </w:t>
      </w:r>
      <w:r>
        <w:rPr/>
        <w:t>absorbent</w:t>
      </w:r>
      <w:r>
        <w:rPr>
          <w:spacing w:val="40"/>
        </w:rPr>
        <w:t> </w:t>
      </w:r>
      <w:r>
        <w:rPr/>
        <w:t>paper.</w:t>
      </w:r>
      <w:r>
        <w:rPr>
          <w:spacing w:val="41"/>
        </w:rPr>
        <w:t> </w:t>
      </w:r>
      <w:r>
        <w:rPr/>
        <w:t>A</w:t>
      </w:r>
      <w:r>
        <w:rPr>
          <w:spacing w:val="39"/>
        </w:rPr>
        <w:t> </w:t>
      </w:r>
      <w:r>
        <w:rPr/>
        <w:t>one</w:t>
      </w:r>
      <w:r>
        <w:rPr>
          <w:spacing w:val="43"/>
        </w:rPr>
        <w:t> </w:t>
      </w:r>
      <w:r>
        <w:rPr/>
        <w:t>hundred</w:t>
      </w:r>
      <w:r>
        <w:rPr>
          <w:spacing w:val="39"/>
        </w:rPr>
        <w:t> </w:t>
      </w:r>
      <w:r>
        <w:rPr>
          <w:spacing w:val="-2"/>
        </w:rPr>
        <w:t>microlitre</w:t>
      </w:r>
    </w:p>
    <w:p>
      <w:pPr>
        <w:spacing w:after="0" w:line="480" w:lineRule="auto"/>
        <w:jc w:val="both"/>
        <w:sectPr>
          <w:pgSz w:w="11910" w:h="16840"/>
          <w:pgMar w:header="0" w:footer="1067" w:top="1060" w:bottom="1260" w:left="880" w:right="640"/>
        </w:sectPr>
      </w:pPr>
    </w:p>
    <w:p>
      <w:pPr>
        <w:pStyle w:val="BodyText"/>
        <w:spacing w:line="480" w:lineRule="auto" w:before="72"/>
        <w:ind w:left="560" w:right="795"/>
        <w:jc w:val="both"/>
      </w:pPr>
      <w:r>
        <w:rPr/>
        <w:t>(100</w:t>
      </w:r>
      <w:r>
        <w:rPr>
          <w:rFonts w:ascii="Symbol" w:hAnsi="Symbol"/>
        </w:rPr>
        <w:t></w:t>
      </w:r>
      <w:r>
        <w:rPr/>
        <w:t>L) of IX Streptavidin-HRP solution was added to each well. The wells were covered and incubated for 30 minute at room temperature. The solution was again discarded and the normal process of washing was repeated.Any possible liquid in the well after the last wash was blotted. One hundred microlitre of chromogen TMB substrate solution was added into each well and incubated in the dark for 12 - 15 minutes at room temperature. The reaction</w:t>
      </w:r>
      <w:r>
        <w:rPr>
          <w:spacing w:val="40"/>
        </w:rPr>
        <w:t> </w:t>
      </w:r>
      <w:r>
        <w:rPr/>
        <w:t>was terminated on the addition of 100</w:t>
      </w:r>
      <w:r>
        <w:rPr>
          <w:rFonts w:ascii="Symbol" w:hAnsi="Symbol"/>
        </w:rPr>
        <w:t></w:t>
      </w:r>
      <w:r>
        <w:rPr/>
        <w:t>l of the stop reagent and the yellow colour developed was read at 450nm.</w:t>
      </w:r>
    </w:p>
    <w:p>
      <w:pPr>
        <w:pStyle w:val="Heading2"/>
        <w:spacing w:before="4"/>
      </w:pPr>
      <w:r>
        <w:rPr>
          <w:spacing w:val="-2"/>
        </w:rPr>
        <w:t>CALCULATION</w:t>
      </w:r>
    </w:p>
    <w:p>
      <w:pPr>
        <w:pStyle w:val="BodyText"/>
        <w:spacing w:line="480" w:lineRule="auto" w:before="271"/>
        <w:ind w:left="560" w:right="796"/>
        <w:jc w:val="both"/>
      </w:pPr>
      <w:r>
        <w:rPr/>
        <w:t>The mean of the absorbance for each set of duplicate standards, control and samples were taken and subtracted from the average optical density of zero standards. A standard curve on log-log graph paper was plotted with the concentration of the standards on the x-axis and absorbance on the y-axis and values of samples and controls interpolated.</w:t>
      </w:r>
    </w:p>
    <w:p>
      <w:pPr>
        <w:pStyle w:val="Heading2"/>
        <w:spacing w:before="6"/>
      </w:pPr>
      <w:r>
        <w:rPr>
          <w:spacing w:val="-2"/>
        </w:rPr>
        <w:t>SENSITIVITY</w:t>
      </w:r>
    </w:p>
    <w:p>
      <w:pPr>
        <w:pStyle w:val="BodyText"/>
        <w:spacing w:before="271"/>
        <w:ind w:left="560"/>
        <w:jc w:val="both"/>
      </w:pPr>
      <w:r>
        <w:rPr/>
        <w:t>The</w:t>
      </w:r>
      <w:r>
        <w:rPr>
          <w:spacing w:val="-3"/>
        </w:rPr>
        <w:t> </w:t>
      </w:r>
      <w:r>
        <w:rPr/>
        <w:t>minimum</w:t>
      </w:r>
      <w:r>
        <w:rPr>
          <w:spacing w:val="-1"/>
        </w:rPr>
        <w:t> </w:t>
      </w:r>
      <w:r>
        <w:rPr/>
        <w:t>detectable</w:t>
      </w:r>
      <w:r>
        <w:rPr>
          <w:spacing w:val="1"/>
        </w:rPr>
        <w:t> </w:t>
      </w:r>
      <w:r>
        <w:rPr/>
        <w:t>dose</w:t>
      </w:r>
      <w:r>
        <w:rPr>
          <w:spacing w:val="-2"/>
        </w:rPr>
        <w:t> </w:t>
      </w:r>
      <w:r>
        <w:rPr/>
        <w:t>of IL-6 using</w:t>
      </w:r>
      <w:r>
        <w:rPr>
          <w:spacing w:val="-1"/>
        </w:rPr>
        <w:t> </w:t>
      </w:r>
      <w:r>
        <w:rPr/>
        <w:t>was </w:t>
      </w:r>
      <w:r>
        <w:rPr>
          <w:spacing w:val="-2"/>
        </w:rPr>
        <w:t>&lt;2pg/ml.</w:t>
      </w:r>
    </w:p>
    <w:p>
      <w:pPr>
        <w:pStyle w:val="BodyText"/>
      </w:pPr>
    </w:p>
    <w:p>
      <w:pPr>
        <w:pStyle w:val="BodyText"/>
      </w:pPr>
    </w:p>
    <w:p>
      <w:pPr>
        <w:pStyle w:val="BodyText"/>
        <w:spacing w:before="5"/>
      </w:pPr>
    </w:p>
    <w:p>
      <w:pPr>
        <w:pStyle w:val="Heading3"/>
        <w:numPr>
          <w:ilvl w:val="2"/>
          <w:numId w:val="8"/>
        </w:numPr>
        <w:tabs>
          <w:tab w:pos="1040" w:val="left" w:leader="none"/>
        </w:tabs>
        <w:spacing w:line="480" w:lineRule="auto" w:before="0" w:after="0"/>
        <w:ind w:left="560" w:right="794" w:firstLine="0"/>
        <w:jc w:val="left"/>
      </w:pPr>
      <w:r>
        <w:rPr/>
        <w:t>QUANTITATIVE</w:t>
      </w:r>
      <w:r>
        <w:rPr>
          <w:spacing w:val="40"/>
        </w:rPr>
        <w:t> </w:t>
      </w:r>
      <w:r>
        <w:rPr/>
        <w:t>MEASUREMENT</w:t>
      </w:r>
      <w:r>
        <w:rPr>
          <w:spacing w:val="40"/>
        </w:rPr>
        <w:t> </w:t>
      </w:r>
      <w:r>
        <w:rPr/>
        <w:t>OF</w:t>
      </w:r>
      <w:r>
        <w:rPr>
          <w:spacing w:val="40"/>
        </w:rPr>
        <w:t> </w:t>
      </w:r>
      <w:r>
        <w:rPr/>
        <w:t>IL-10</w:t>
      </w:r>
      <w:r>
        <w:rPr>
          <w:spacing w:val="40"/>
        </w:rPr>
        <w:t> </w:t>
      </w:r>
      <w:r>
        <w:rPr/>
        <w:t>BY</w:t>
      </w:r>
      <w:r>
        <w:rPr>
          <w:spacing w:val="40"/>
        </w:rPr>
        <w:t> </w:t>
      </w:r>
      <w:r>
        <w:rPr/>
        <w:t>ELISA</w:t>
      </w:r>
      <w:r>
        <w:rPr>
          <w:spacing w:val="40"/>
        </w:rPr>
        <w:t> </w:t>
      </w:r>
      <w:r>
        <w:rPr/>
        <w:t>TECHNIQUE</w:t>
      </w:r>
      <w:r>
        <w:rPr>
          <w:spacing w:val="40"/>
        </w:rPr>
        <w:t> </w:t>
      </w:r>
      <w:r>
        <w:rPr/>
        <w:t>AS</w:t>
      </w:r>
      <w:r>
        <w:rPr>
          <w:spacing w:val="80"/>
          <w:w w:val="150"/>
        </w:rPr>
        <w:t> </w:t>
      </w:r>
      <w:r>
        <w:rPr/>
        <w:t>DESCRIBED BY (ABCAM, 2013) Batch No. ab46034, Lot No. GR115656-3 </w:t>
      </w:r>
      <w:r>
        <w:rPr>
          <w:spacing w:val="-2"/>
        </w:rPr>
        <w:t>PRINCIPLE:</w:t>
      </w:r>
    </w:p>
    <w:p>
      <w:pPr>
        <w:pStyle w:val="BodyText"/>
        <w:spacing w:line="480" w:lineRule="auto"/>
        <w:ind w:left="560" w:right="796"/>
        <w:jc w:val="both"/>
      </w:pPr>
      <w:r>
        <w:rPr/>
        <w:t>The assay is of the competitive format. Antibody specific for IL-10 is immobilized in microtiter wells for the detection of IL-10. IL-10 present in the specimen and Biotinylated monoclonal antibody specific for IL-10 are added simultaneously. Both compete for the antibody coated in a microtiter well. After washing to remove the unbound IL- 10/Biotinylated monoclonal Antibody, an enzyme complex Streptavidin-HRP is added and incubated. The unbound complex is washed and a TMB substrate solution is added. A blue colour</w:t>
      </w:r>
      <w:r>
        <w:rPr>
          <w:spacing w:val="15"/>
        </w:rPr>
        <w:t> </w:t>
      </w:r>
      <w:r>
        <w:rPr/>
        <w:t>develops.</w:t>
      </w:r>
      <w:r>
        <w:rPr>
          <w:spacing w:val="18"/>
        </w:rPr>
        <w:t> </w:t>
      </w:r>
      <w:r>
        <w:rPr/>
        <w:t>The</w:t>
      </w:r>
      <w:r>
        <w:rPr>
          <w:spacing w:val="16"/>
        </w:rPr>
        <w:t> </w:t>
      </w:r>
      <w:r>
        <w:rPr/>
        <w:t>stop</w:t>
      </w:r>
      <w:r>
        <w:rPr>
          <w:spacing w:val="18"/>
        </w:rPr>
        <w:t> </w:t>
      </w:r>
      <w:r>
        <w:rPr/>
        <w:t>solution</w:t>
      </w:r>
      <w:r>
        <w:rPr>
          <w:spacing w:val="18"/>
        </w:rPr>
        <w:t> </w:t>
      </w:r>
      <w:r>
        <w:rPr/>
        <w:t>changes</w:t>
      </w:r>
      <w:r>
        <w:rPr>
          <w:spacing w:val="18"/>
        </w:rPr>
        <w:t> </w:t>
      </w:r>
      <w:r>
        <w:rPr/>
        <w:t>the</w:t>
      </w:r>
      <w:r>
        <w:rPr>
          <w:spacing w:val="17"/>
        </w:rPr>
        <w:t> </w:t>
      </w:r>
      <w:r>
        <w:rPr/>
        <w:t>colour</w:t>
      </w:r>
      <w:r>
        <w:rPr>
          <w:spacing w:val="17"/>
        </w:rPr>
        <w:t> </w:t>
      </w:r>
      <w:r>
        <w:rPr/>
        <w:t>from</w:t>
      </w:r>
      <w:r>
        <w:rPr>
          <w:spacing w:val="18"/>
        </w:rPr>
        <w:t> </w:t>
      </w:r>
      <w:r>
        <w:rPr/>
        <w:t>blue</w:t>
      </w:r>
      <w:r>
        <w:rPr>
          <w:spacing w:val="17"/>
        </w:rPr>
        <w:t> </w:t>
      </w:r>
      <w:r>
        <w:rPr/>
        <w:t>to</w:t>
      </w:r>
      <w:r>
        <w:rPr>
          <w:spacing w:val="20"/>
        </w:rPr>
        <w:t> </w:t>
      </w:r>
      <w:r>
        <w:rPr/>
        <w:t>yellow.</w:t>
      </w:r>
      <w:r>
        <w:rPr>
          <w:spacing w:val="17"/>
        </w:rPr>
        <w:t> </w:t>
      </w:r>
      <w:r>
        <w:rPr/>
        <w:t>The</w:t>
      </w:r>
      <w:r>
        <w:rPr>
          <w:spacing w:val="16"/>
        </w:rPr>
        <w:t> </w:t>
      </w:r>
      <w:r>
        <w:rPr/>
        <w:t>intensity</w:t>
      </w:r>
      <w:r>
        <w:rPr>
          <w:spacing w:val="11"/>
        </w:rPr>
        <w:t> </w:t>
      </w:r>
      <w:r>
        <w:rPr>
          <w:spacing w:val="-5"/>
        </w:rPr>
        <w:t>of</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the colour is directly proportional to the concentration of lL-10 present in the samples. It is measured at 450nm.</w:t>
      </w:r>
    </w:p>
    <w:p>
      <w:pPr>
        <w:pStyle w:val="Heading2"/>
        <w:spacing w:before="5"/>
        <w:jc w:val="both"/>
      </w:pPr>
      <w:r>
        <w:rPr/>
        <w:t>PREPARATION</w:t>
      </w:r>
      <w:r>
        <w:rPr>
          <w:spacing w:val="-3"/>
        </w:rPr>
        <w:t> </w:t>
      </w:r>
      <w:r>
        <w:rPr/>
        <w:t>OF REAGENTS</w:t>
      </w:r>
      <w:r>
        <w:rPr>
          <w:spacing w:val="-1"/>
        </w:rPr>
        <w:t> </w:t>
      </w:r>
      <w:r>
        <w:rPr/>
        <w:t>AND </w:t>
      </w:r>
      <w:r>
        <w:rPr>
          <w:spacing w:val="-2"/>
        </w:rPr>
        <w:t>STANDARDS</w:t>
      </w:r>
    </w:p>
    <w:p>
      <w:pPr>
        <w:pStyle w:val="BodyText"/>
        <w:spacing w:line="480" w:lineRule="auto" w:before="272"/>
        <w:ind w:left="560" w:right="795"/>
        <w:jc w:val="both"/>
      </w:pPr>
      <w:r>
        <w:rPr/>
        <w:t>The manufacturer‟s directive was strictly followed in the preparation of the reagents and standards used to assay IL-10. The reagents that were prepared include IX Standard Diluent Buffer, IX Wash Buffer, IX Control Solution, IX Biotinylated anti-IL-10, IX streptavidin- HRP solution and various concentrations of the standard. As for the IX Standard Diluent Buffer, a 1 in 10 dilution was prepared using distilled water. As for IX Wash Buffer, a 1 in 200 dilution was prepared with distilled water. The reagents were gently mixed to avoid foaming. The lyophilized Control vial was reconstituted with the standard diluent for human serum. The solution was gently mixed to avoid foaming and allowed to stand for 5 minutes before it was used. Also, the preparation of IX Biotinylated anti-IL-10 was done with a dilution of 1 in 26.5 using Biotinylated Antibody Diluent. In addition, the IX streptavidin- HRP concentrate was prepared by adding 500</w:t>
      </w:r>
      <w:r>
        <w:rPr>
          <w:rFonts w:ascii="Symbol" w:hAnsi="Symbol"/>
        </w:rPr>
        <w:t></w:t>
      </w:r>
      <w:r>
        <w:rPr/>
        <w:t>l of HRP diluent to the Streptavidin HRP vial. The already prepared IX streptavidin-HRP concentrate was further diluted with HRP diluent in the ratio of 1:67 dilutions. Similarly, the vial containing the standard was reconstituted</w:t>
      </w:r>
      <w:r>
        <w:rPr>
          <w:spacing w:val="40"/>
        </w:rPr>
        <w:t> </w:t>
      </w:r>
      <w:r>
        <w:rPr/>
        <w:t>with Standard Diluent for human serum to obtain 400pg/ml. Different concentrations of the standard were achieved by</w:t>
      </w:r>
      <w:r>
        <w:rPr>
          <w:spacing w:val="-1"/>
        </w:rPr>
        <w:t> </w:t>
      </w:r>
      <w:r>
        <w:rPr/>
        <w:t>double diluting 400pg/ml to obtain 200pg/ml, 100pg/ml, 50pg/mI, 25pglml and l2pg/ml in 6 test tubes respectively. The Standard Diluent served as the zero </w:t>
      </w:r>
      <w:r>
        <w:rPr>
          <w:spacing w:val="-2"/>
        </w:rPr>
        <w:t>standards.</w:t>
      </w:r>
    </w:p>
    <w:p>
      <w:pPr>
        <w:pStyle w:val="Heading2"/>
        <w:spacing w:before="7"/>
        <w:jc w:val="both"/>
      </w:pPr>
      <w:r>
        <w:rPr/>
        <w:t>ASSAY </w:t>
      </w:r>
      <w:r>
        <w:rPr>
          <w:spacing w:val="-2"/>
        </w:rPr>
        <w:t>PROCEDURE:</w:t>
      </w:r>
    </w:p>
    <w:p>
      <w:pPr>
        <w:pStyle w:val="BodyText"/>
        <w:spacing w:line="480" w:lineRule="auto" w:before="271"/>
        <w:ind w:left="560" w:right="796"/>
        <w:jc w:val="both"/>
      </w:pPr>
      <w:r>
        <w:rPr/>
        <w:t>All materials, the standards, prepared reagents, and samples were brought to room temperature and the assay conducted in duplicate. One hundred microlitres (100</w:t>
      </w:r>
      <w:r>
        <w:rPr>
          <w:rFonts w:ascii="Symbol" w:hAnsi="Symbol"/>
        </w:rPr>
        <w:t></w:t>
      </w:r>
      <w:r>
        <w:rPr/>
        <w:t>L) of each Standard, IX Control Solution, Samples and Blank were added into the appropriate wells. A 50</w:t>
      </w:r>
      <w:r>
        <w:rPr>
          <w:rFonts w:ascii="Symbol" w:hAnsi="Symbol"/>
        </w:rPr>
        <w:t></w:t>
      </w:r>
      <w:r>
        <w:rPr/>
        <w:t>l</w:t>
      </w:r>
      <w:r>
        <w:rPr>
          <w:spacing w:val="8"/>
        </w:rPr>
        <w:t> </w:t>
      </w:r>
      <w:r>
        <w:rPr/>
        <w:t>of</w:t>
      </w:r>
      <w:r>
        <w:rPr>
          <w:spacing w:val="10"/>
        </w:rPr>
        <w:t> </w:t>
      </w:r>
      <w:r>
        <w:rPr/>
        <w:t>IX</w:t>
      </w:r>
      <w:r>
        <w:rPr>
          <w:spacing w:val="7"/>
        </w:rPr>
        <w:t> </w:t>
      </w:r>
      <w:r>
        <w:rPr/>
        <w:t>Biotinylated</w:t>
      </w:r>
      <w:r>
        <w:rPr>
          <w:spacing w:val="10"/>
        </w:rPr>
        <w:t> </w:t>
      </w:r>
      <w:r>
        <w:rPr/>
        <w:t>anti-IL10</w:t>
      </w:r>
      <w:r>
        <w:rPr>
          <w:spacing w:val="8"/>
        </w:rPr>
        <w:t> </w:t>
      </w:r>
      <w:r>
        <w:rPr/>
        <w:t>was</w:t>
      </w:r>
      <w:r>
        <w:rPr>
          <w:spacing w:val="9"/>
        </w:rPr>
        <w:t> </w:t>
      </w:r>
      <w:r>
        <w:rPr/>
        <w:t>later</w:t>
      </w:r>
      <w:r>
        <w:rPr>
          <w:spacing w:val="7"/>
        </w:rPr>
        <w:t> </w:t>
      </w:r>
      <w:r>
        <w:rPr/>
        <w:t>added,</w:t>
      </w:r>
      <w:r>
        <w:rPr>
          <w:spacing w:val="8"/>
        </w:rPr>
        <w:t> </w:t>
      </w:r>
      <w:r>
        <w:rPr/>
        <w:t>covered</w:t>
      </w:r>
      <w:r>
        <w:rPr>
          <w:spacing w:val="8"/>
        </w:rPr>
        <w:t> </w:t>
      </w:r>
      <w:r>
        <w:rPr/>
        <w:t>and</w:t>
      </w:r>
      <w:r>
        <w:rPr>
          <w:spacing w:val="9"/>
        </w:rPr>
        <w:t> </w:t>
      </w:r>
      <w:r>
        <w:rPr/>
        <w:t>incubated</w:t>
      </w:r>
      <w:r>
        <w:rPr>
          <w:spacing w:val="10"/>
        </w:rPr>
        <w:t> </w:t>
      </w:r>
      <w:r>
        <w:rPr/>
        <w:t>for</w:t>
      </w:r>
      <w:r>
        <w:rPr>
          <w:spacing w:val="6"/>
        </w:rPr>
        <w:t> </w:t>
      </w:r>
      <w:r>
        <w:rPr/>
        <w:t>1</w:t>
      </w:r>
      <w:r>
        <w:rPr>
          <w:spacing w:val="8"/>
        </w:rPr>
        <w:t> </w:t>
      </w:r>
      <w:r>
        <w:rPr/>
        <w:t>hour</w:t>
      </w:r>
      <w:r>
        <w:rPr>
          <w:spacing w:val="10"/>
        </w:rPr>
        <w:t> </w:t>
      </w:r>
      <w:r>
        <w:rPr/>
        <w:t>at</w:t>
      </w:r>
      <w:r>
        <w:rPr>
          <w:spacing w:val="9"/>
        </w:rPr>
        <w:t> </w:t>
      </w:r>
      <w:r>
        <w:rPr>
          <w:spacing w:val="-4"/>
        </w:rPr>
        <w:t>room</w:t>
      </w:r>
    </w:p>
    <w:p>
      <w:pPr>
        <w:pStyle w:val="BodyText"/>
        <w:spacing w:before="2"/>
        <w:ind w:left="560"/>
        <w:jc w:val="both"/>
      </w:pPr>
      <w:r>
        <w:rPr/>
        <w:t>temperature.</w:t>
      </w:r>
      <w:r>
        <w:rPr>
          <w:spacing w:val="53"/>
        </w:rPr>
        <w:t> </w:t>
      </w:r>
      <w:r>
        <w:rPr/>
        <w:t>The</w:t>
      </w:r>
      <w:r>
        <w:rPr>
          <w:spacing w:val="52"/>
        </w:rPr>
        <w:t> </w:t>
      </w:r>
      <w:r>
        <w:rPr/>
        <w:t>solution</w:t>
      </w:r>
      <w:r>
        <w:rPr>
          <w:spacing w:val="54"/>
        </w:rPr>
        <w:t> </w:t>
      </w:r>
      <w:r>
        <w:rPr/>
        <w:t>was</w:t>
      </w:r>
      <w:r>
        <w:rPr>
          <w:spacing w:val="54"/>
        </w:rPr>
        <w:t> </w:t>
      </w:r>
      <w:r>
        <w:rPr/>
        <w:t>discarded</w:t>
      </w:r>
      <w:r>
        <w:rPr>
          <w:spacing w:val="53"/>
        </w:rPr>
        <w:t> </w:t>
      </w:r>
      <w:r>
        <w:rPr/>
        <w:t>and</w:t>
      </w:r>
      <w:r>
        <w:rPr>
          <w:spacing w:val="55"/>
        </w:rPr>
        <w:t> </w:t>
      </w:r>
      <w:r>
        <w:rPr/>
        <w:t>wells</w:t>
      </w:r>
      <w:r>
        <w:rPr>
          <w:spacing w:val="54"/>
        </w:rPr>
        <w:t> </w:t>
      </w:r>
      <w:r>
        <w:rPr/>
        <w:t>washed</w:t>
      </w:r>
      <w:r>
        <w:rPr>
          <w:spacing w:val="53"/>
        </w:rPr>
        <w:t> </w:t>
      </w:r>
      <w:r>
        <w:rPr/>
        <w:t>4</w:t>
      </w:r>
      <w:r>
        <w:rPr>
          <w:spacing w:val="53"/>
        </w:rPr>
        <w:t> </w:t>
      </w:r>
      <w:r>
        <w:rPr/>
        <w:t>times</w:t>
      </w:r>
      <w:r>
        <w:rPr>
          <w:spacing w:val="52"/>
        </w:rPr>
        <w:t> </w:t>
      </w:r>
      <w:r>
        <w:rPr/>
        <w:t>with</w:t>
      </w:r>
      <w:r>
        <w:rPr>
          <w:spacing w:val="54"/>
        </w:rPr>
        <w:t> </w:t>
      </w:r>
      <w:r>
        <w:rPr/>
        <w:t>300</w:t>
      </w:r>
      <w:r>
        <w:rPr>
          <w:rFonts w:ascii="Symbol" w:hAnsi="Symbol"/>
        </w:rPr>
        <w:t></w:t>
      </w:r>
      <w:r>
        <w:rPr/>
        <w:t>l</w:t>
      </w:r>
      <w:r>
        <w:rPr>
          <w:spacing w:val="54"/>
        </w:rPr>
        <w:t> </w:t>
      </w:r>
      <w:r>
        <w:rPr/>
        <w:t>of</w:t>
      </w:r>
      <w:r>
        <w:rPr>
          <w:spacing w:val="53"/>
        </w:rPr>
        <w:t> </w:t>
      </w:r>
      <w:r>
        <w:rPr>
          <w:spacing w:val="-4"/>
        </w:rPr>
        <w:t>wash</w:t>
      </w:r>
    </w:p>
    <w:p>
      <w:pPr>
        <w:spacing w:after="0"/>
        <w:jc w:val="both"/>
        <w:sectPr>
          <w:pgSz w:w="11910" w:h="16840"/>
          <w:pgMar w:header="0" w:footer="1067" w:top="1060" w:bottom="1260" w:left="880" w:right="640"/>
        </w:sectPr>
      </w:pPr>
    </w:p>
    <w:p>
      <w:pPr>
        <w:pStyle w:val="BodyText"/>
        <w:spacing w:line="480" w:lineRule="auto" w:before="70"/>
        <w:ind w:left="560" w:right="796"/>
        <w:jc w:val="both"/>
      </w:pPr>
      <w:r>
        <w:rPr/>
        <w:t>solution. The liquid were completely removed after each wash. On completion of the last wash, the plate was inverted and blotted against a clean absorbent paper. A one hundred microlitre (100</w:t>
      </w:r>
      <w:r>
        <w:rPr>
          <w:rFonts w:ascii="Symbol" w:hAnsi="Symbol"/>
        </w:rPr>
        <w:t></w:t>
      </w:r>
      <w:r>
        <w:rPr/>
        <w:t>l) of IX Streptavidin-HRP solution was added to each well. The wells were covered and incubated for 30 minutes at room temperature.The solution again was discarded and the normal process of washing as stated earlier was repeated. This was followed by blotting of any possible liquid in the well after the last wash was done.</w:t>
      </w:r>
      <w:r>
        <w:rPr>
          <w:spacing w:val="40"/>
        </w:rPr>
        <w:t> </w:t>
      </w:r>
      <w:r>
        <w:rPr/>
        <w:t>One hundred microlitre of chromogen TMB substrate solution was added into each well and incubated in the dark for 12 -15 minutes at room temperature.This was followed with the addition of</w:t>
      </w:r>
      <w:r>
        <w:rPr>
          <w:spacing w:val="80"/>
        </w:rPr>
        <w:t> </w:t>
      </w:r>
      <w:r>
        <w:rPr/>
        <w:t>100</w:t>
      </w:r>
      <w:r>
        <w:rPr>
          <w:rFonts w:ascii="Symbol" w:hAnsi="Symbol"/>
        </w:rPr>
        <w:t></w:t>
      </w:r>
      <w:r>
        <w:rPr/>
        <w:t>l of the stop reagent and the colour developed was read at 450nm.</w:t>
      </w:r>
    </w:p>
    <w:p>
      <w:pPr>
        <w:pStyle w:val="Heading2"/>
        <w:spacing w:before="6"/>
      </w:pPr>
      <w:r>
        <w:rPr>
          <w:spacing w:val="-2"/>
        </w:rPr>
        <w:t>CALCULATION</w:t>
      </w:r>
    </w:p>
    <w:p>
      <w:pPr>
        <w:pStyle w:val="BodyText"/>
        <w:spacing w:line="480" w:lineRule="auto" w:before="271"/>
        <w:ind w:left="560" w:right="797"/>
        <w:jc w:val="both"/>
      </w:pPr>
      <w:r>
        <w:rPr/>
        <w:t>The mean of the absorbance for each set of duplicate standards, control and samples were taken and subtracted from the average values of the optical density of zero standards. A standard curve on log-log graph paper was plotted with the concentration of the standards on the x-axis and absorbance on the y-axis and values of samples and controls interpolated.</w:t>
      </w:r>
    </w:p>
    <w:p>
      <w:pPr>
        <w:pStyle w:val="Heading2"/>
        <w:spacing w:before="6"/>
      </w:pPr>
      <w:r>
        <w:rPr>
          <w:spacing w:val="-2"/>
        </w:rPr>
        <w:t>SENSITIVITY</w:t>
      </w:r>
    </w:p>
    <w:p>
      <w:pPr>
        <w:pStyle w:val="BodyText"/>
        <w:spacing w:before="271"/>
        <w:ind w:left="560"/>
        <w:jc w:val="both"/>
      </w:pPr>
      <w:r>
        <w:rPr/>
        <w:t>The</w:t>
      </w:r>
      <w:r>
        <w:rPr>
          <w:spacing w:val="-3"/>
        </w:rPr>
        <w:t> </w:t>
      </w:r>
      <w:r>
        <w:rPr/>
        <w:t>minimum</w:t>
      </w:r>
      <w:r>
        <w:rPr>
          <w:spacing w:val="-1"/>
        </w:rPr>
        <w:t> </w:t>
      </w:r>
      <w:r>
        <w:rPr/>
        <w:t>detectable dose</w:t>
      </w:r>
      <w:r>
        <w:rPr>
          <w:spacing w:val="-2"/>
        </w:rPr>
        <w:t> </w:t>
      </w:r>
      <w:r>
        <w:rPr/>
        <w:t>of IL-10</w:t>
      </w:r>
      <w:r>
        <w:rPr>
          <w:spacing w:val="1"/>
        </w:rPr>
        <w:t> </w:t>
      </w:r>
      <w:r>
        <w:rPr/>
        <w:t>was</w:t>
      </w:r>
      <w:r>
        <w:rPr>
          <w:spacing w:val="-1"/>
        </w:rPr>
        <w:t> </w:t>
      </w:r>
      <w:r>
        <w:rPr/>
        <w:t>&lt;5</w:t>
      </w:r>
      <w:r>
        <w:rPr>
          <w:spacing w:val="-1"/>
        </w:rPr>
        <w:t> </w:t>
      </w:r>
      <w:r>
        <w:rPr>
          <w:spacing w:val="-2"/>
        </w:rPr>
        <w:t>pg/ml.</w:t>
      </w:r>
    </w:p>
    <w:p>
      <w:pPr>
        <w:pStyle w:val="BodyText"/>
        <w:spacing w:before="238"/>
      </w:pPr>
    </w:p>
    <w:p>
      <w:pPr>
        <w:pStyle w:val="Heading3"/>
        <w:numPr>
          <w:ilvl w:val="2"/>
          <w:numId w:val="8"/>
        </w:numPr>
        <w:tabs>
          <w:tab w:pos="1040" w:val="left" w:leader="none"/>
        </w:tabs>
        <w:spacing w:line="477" w:lineRule="auto" w:before="0" w:after="0"/>
        <w:ind w:left="560" w:right="798" w:firstLine="0"/>
        <w:jc w:val="both"/>
      </w:pPr>
      <w:r>
        <w:rPr/>
        <w:t>QUANTITATIVE MEASUREMENT OF IFN</w:t>
      </w:r>
      <w:r>
        <w:rPr>
          <w:rFonts w:ascii="Cambria Math" w:eastAsia="Cambria Math"/>
          <w:b w:val="0"/>
        </w:rPr>
        <w:t>𝜸 </w:t>
      </w:r>
      <w:r>
        <w:rPr/>
        <w:t>BY ELISA TECHNIQUE AS DESCRIBED</w:t>
      </w:r>
      <w:r>
        <w:rPr>
          <w:spacing w:val="-3"/>
        </w:rPr>
        <w:t> </w:t>
      </w:r>
      <w:r>
        <w:rPr/>
        <w:t>BY</w:t>
      </w:r>
      <w:r>
        <w:rPr>
          <w:spacing w:val="-3"/>
        </w:rPr>
        <w:t> </w:t>
      </w:r>
      <w:r>
        <w:rPr/>
        <w:t>(ABCAM,</w:t>
      </w:r>
      <w:r>
        <w:rPr>
          <w:spacing w:val="-3"/>
        </w:rPr>
        <w:t> </w:t>
      </w:r>
      <w:r>
        <w:rPr/>
        <w:t>2013)</w:t>
      </w:r>
      <w:r>
        <w:rPr>
          <w:spacing w:val="-3"/>
        </w:rPr>
        <w:t> </w:t>
      </w:r>
      <w:r>
        <w:rPr/>
        <w:t>Batch</w:t>
      </w:r>
      <w:r>
        <w:rPr>
          <w:spacing w:val="-2"/>
        </w:rPr>
        <w:t> </w:t>
      </w:r>
      <w:r>
        <w:rPr/>
        <w:t>no.</w:t>
      </w:r>
      <w:r>
        <w:rPr>
          <w:spacing w:val="-3"/>
        </w:rPr>
        <w:t> </w:t>
      </w:r>
      <w:r>
        <w:rPr/>
        <w:t>ab46025,</w:t>
      </w:r>
      <w:r>
        <w:rPr>
          <w:spacing w:val="-3"/>
        </w:rPr>
        <w:t> </w:t>
      </w:r>
      <w:r>
        <w:rPr/>
        <w:t>Lot</w:t>
      </w:r>
      <w:r>
        <w:rPr>
          <w:spacing w:val="-3"/>
        </w:rPr>
        <w:t> </w:t>
      </w:r>
      <w:r>
        <w:rPr/>
        <w:t>No.</w:t>
      </w:r>
      <w:r>
        <w:rPr>
          <w:spacing w:val="-3"/>
        </w:rPr>
        <w:t> </w:t>
      </w:r>
      <w:r>
        <w:rPr/>
        <w:t>GR146867-4,</w:t>
      </w:r>
      <w:r>
        <w:rPr>
          <w:spacing w:val="-3"/>
        </w:rPr>
        <w:t> </w:t>
      </w:r>
      <w:r>
        <w:rPr/>
        <w:t>GR1168084 </w:t>
      </w:r>
      <w:r>
        <w:rPr>
          <w:spacing w:val="-2"/>
        </w:rPr>
        <w:t>PRINCIPLE:</w:t>
      </w:r>
    </w:p>
    <w:p>
      <w:pPr>
        <w:pStyle w:val="BodyText"/>
        <w:spacing w:line="480" w:lineRule="auto"/>
        <w:ind w:left="560" w:right="796"/>
        <w:jc w:val="both"/>
      </w:pPr>
      <w:r>
        <w:rPr/>
        <w:t>This assay is of the competitive format. A monoclonal antibody specific for IFNγ is coated into wells for the detection of IFNγ. Samples containing IFNγ and Biotinylated monoclonal antibody specific for IFNγ are added simultaneously and incubated. After washing, the enzyme Streptavidin-HRP is added to the bound IFNγ/ Biotinylated antibody complex. A TMB</w:t>
      </w:r>
      <w:r>
        <w:rPr>
          <w:spacing w:val="38"/>
        </w:rPr>
        <w:t> </w:t>
      </w:r>
      <w:r>
        <w:rPr/>
        <w:t>substrate</w:t>
      </w:r>
      <w:r>
        <w:rPr>
          <w:spacing w:val="39"/>
        </w:rPr>
        <w:t> </w:t>
      </w:r>
      <w:r>
        <w:rPr/>
        <w:t>solution</w:t>
      </w:r>
      <w:r>
        <w:rPr>
          <w:spacing w:val="38"/>
        </w:rPr>
        <w:t> </w:t>
      </w:r>
      <w:r>
        <w:rPr/>
        <w:t>is</w:t>
      </w:r>
      <w:r>
        <w:rPr>
          <w:spacing w:val="40"/>
        </w:rPr>
        <w:t> </w:t>
      </w:r>
      <w:r>
        <w:rPr/>
        <w:t>added</w:t>
      </w:r>
      <w:r>
        <w:rPr>
          <w:spacing w:val="43"/>
        </w:rPr>
        <w:t> </w:t>
      </w:r>
      <w:r>
        <w:rPr/>
        <w:t>and</w:t>
      </w:r>
      <w:r>
        <w:rPr>
          <w:spacing w:val="39"/>
        </w:rPr>
        <w:t> </w:t>
      </w:r>
      <w:r>
        <w:rPr/>
        <w:t>a</w:t>
      </w:r>
      <w:r>
        <w:rPr>
          <w:spacing w:val="39"/>
        </w:rPr>
        <w:t> </w:t>
      </w:r>
      <w:r>
        <w:rPr/>
        <w:t>blue</w:t>
      </w:r>
      <w:r>
        <w:rPr>
          <w:spacing w:val="39"/>
        </w:rPr>
        <w:t> </w:t>
      </w:r>
      <w:r>
        <w:rPr/>
        <w:t>colour</w:t>
      </w:r>
      <w:r>
        <w:rPr>
          <w:spacing w:val="38"/>
        </w:rPr>
        <w:t> </w:t>
      </w:r>
      <w:r>
        <w:rPr/>
        <w:t>develops</w:t>
      </w:r>
      <w:r>
        <w:rPr>
          <w:spacing w:val="41"/>
        </w:rPr>
        <w:t> </w:t>
      </w:r>
      <w:r>
        <w:rPr/>
        <w:t>which</w:t>
      </w:r>
      <w:r>
        <w:rPr>
          <w:spacing w:val="39"/>
        </w:rPr>
        <w:t> </w:t>
      </w:r>
      <w:r>
        <w:rPr/>
        <w:t>is</w:t>
      </w:r>
      <w:r>
        <w:rPr>
          <w:spacing w:val="41"/>
        </w:rPr>
        <w:t> </w:t>
      </w:r>
      <w:r>
        <w:rPr/>
        <w:t>proportional</w:t>
      </w:r>
      <w:r>
        <w:rPr>
          <w:spacing w:val="39"/>
        </w:rPr>
        <w:t> </w:t>
      </w:r>
      <w:r>
        <w:rPr/>
        <w:t>to</w:t>
      </w:r>
      <w:r>
        <w:rPr>
          <w:spacing w:val="41"/>
        </w:rPr>
        <w:t> </w:t>
      </w:r>
      <w:r>
        <w:rPr>
          <w:spacing w:val="-5"/>
        </w:rPr>
        <w:t>the</w:t>
      </w:r>
    </w:p>
    <w:p>
      <w:pPr>
        <w:spacing w:after="0" w:line="480" w:lineRule="auto"/>
        <w:jc w:val="both"/>
        <w:sectPr>
          <w:pgSz w:w="11910" w:h="16840"/>
          <w:pgMar w:header="0" w:footer="1067" w:top="1060" w:bottom="1260" w:left="880" w:right="640"/>
        </w:sectPr>
      </w:pPr>
    </w:p>
    <w:p>
      <w:pPr>
        <w:pStyle w:val="BodyText"/>
        <w:spacing w:line="480" w:lineRule="auto" w:before="70"/>
        <w:ind w:left="560" w:right="803"/>
        <w:jc w:val="both"/>
      </w:pPr>
      <w:r>
        <w:rPr/>
        <w:t>amount of bound IFNγ. The stop solution changes the colour to yellow, and the intensity of the colour is measured at 450nm.</w:t>
      </w:r>
    </w:p>
    <w:p>
      <w:pPr>
        <w:pStyle w:val="Heading2"/>
        <w:spacing w:before="5"/>
        <w:jc w:val="both"/>
      </w:pPr>
      <w:r>
        <w:rPr/>
        <w:t>PREPARATION</w:t>
      </w:r>
      <w:r>
        <w:rPr>
          <w:spacing w:val="-1"/>
        </w:rPr>
        <w:t> </w:t>
      </w:r>
      <w:r>
        <w:rPr/>
        <w:t>OF</w:t>
      </w:r>
      <w:r>
        <w:rPr>
          <w:spacing w:val="-1"/>
        </w:rPr>
        <w:t> </w:t>
      </w:r>
      <w:r>
        <w:rPr>
          <w:spacing w:val="-2"/>
        </w:rPr>
        <w:t>STANDARD</w:t>
      </w:r>
    </w:p>
    <w:p>
      <w:pPr>
        <w:pStyle w:val="BodyText"/>
        <w:spacing w:line="480" w:lineRule="auto" w:before="272"/>
        <w:ind w:left="560" w:right="794"/>
        <w:jc w:val="both"/>
      </w:pPr>
      <w:r>
        <w:rPr/>
        <w:t>The manufacturer‟s directive was strictly followed in the preparation of the reagents and standards used to assay IFNγ. The reagents were IX Standard Diluent Buffer, IX Wash Buffer, IX Control Solution, IX Biotinylated anti- IFNγ and IX Streptavidin-HRP solution and various concentrations of the standards. For the IX Standard Diluent buffer, a 1 in 10 dilution was made using distilled water. As for IX wash buffer, a 1 in 200 dilution was made with</w:t>
      </w:r>
      <w:r>
        <w:rPr>
          <w:spacing w:val="-1"/>
        </w:rPr>
        <w:t> </w:t>
      </w:r>
      <w:r>
        <w:rPr/>
        <w:t>distilled</w:t>
      </w:r>
      <w:r>
        <w:rPr>
          <w:spacing w:val="-1"/>
        </w:rPr>
        <w:t> </w:t>
      </w:r>
      <w:r>
        <w:rPr/>
        <w:t>water.</w:t>
      </w:r>
      <w:r>
        <w:rPr>
          <w:spacing w:val="-1"/>
        </w:rPr>
        <w:t> </w:t>
      </w:r>
      <w:r>
        <w:rPr/>
        <w:t>Each</w:t>
      </w:r>
      <w:r>
        <w:rPr>
          <w:spacing w:val="-1"/>
        </w:rPr>
        <w:t> </w:t>
      </w:r>
      <w:r>
        <w:rPr/>
        <w:t>of</w:t>
      </w:r>
      <w:r>
        <w:rPr>
          <w:spacing w:val="-2"/>
        </w:rPr>
        <w:t> </w:t>
      </w:r>
      <w:r>
        <w:rPr/>
        <w:t>the</w:t>
      </w:r>
      <w:r>
        <w:rPr>
          <w:spacing w:val="-2"/>
        </w:rPr>
        <w:t> </w:t>
      </w:r>
      <w:r>
        <w:rPr/>
        <w:t>reagents</w:t>
      </w:r>
      <w:r>
        <w:rPr>
          <w:spacing w:val="-1"/>
        </w:rPr>
        <w:t> </w:t>
      </w:r>
      <w:r>
        <w:rPr/>
        <w:t>was</w:t>
      </w:r>
      <w:r>
        <w:rPr>
          <w:spacing w:val="-1"/>
        </w:rPr>
        <w:t> </w:t>
      </w:r>
      <w:r>
        <w:rPr/>
        <w:t>gently</w:t>
      </w:r>
      <w:r>
        <w:rPr>
          <w:spacing w:val="-8"/>
        </w:rPr>
        <w:t> </w:t>
      </w:r>
      <w:r>
        <w:rPr/>
        <w:t>mixed</w:t>
      </w:r>
      <w:r>
        <w:rPr>
          <w:spacing w:val="-1"/>
        </w:rPr>
        <w:t> </w:t>
      </w:r>
      <w:r>
        <w:rPr/>
        <w:t>to</w:t>
      </w:r>
      <w:r>
        <w:rPr>
          <w:spacing w:val="-1"/>
        </w:rPr>
        <w:t> </w:t>
      </w:r>
      <w:r>
        <w:rPr/>
        <w:t>avoid</w:t>
      </w:r>
      <w:r>
        <w:rPr>
          <w:spacing w:val="-1"/>
        </w:rPr>
        <w:t> </w:t>
      </w:r>
      <w:r>
        <w:rPr/>
        <w:t>foaming.</w:t>
      </w:r>
      <w:r>
        <w:rPr>
          <w:spacing w:val="-1"/>
        </w:rPr>
        <w:t> </w:t>
      </w:r>
      <w:r>
        <w:rPr/>
        <w:t>The</w:t>
      </w:r>
      <w:r>
        <w:rPr>
          <w:spacing w:val="-3"/>
        </w:rPr>
        <w:t> </w:t>
      </w:r>
      <w:r>
        <w:rPr/>
        <w:t>lyophilized Control vial was reconstituted using the standard diluent for human serum. The solution also was gently mixed to avoid foaming and allowed to stand for 5 minutes before it was used. Again, the preparation of IX Biotinylated anti-IFN</w:t>
      </w:r>
      <w:r>
        <w:rPr>
          <w:rFonts w:ascii="Symbol" w:hAnsi="Symbol"/>
        </w:rPr>
        <w:t></w:t>
      </w:r>
      <w:r>
        <w:rPr/>
        <w:t> was done with a dilution of 1 in 26.5 using Biotinylated Antibody Diluent. In addition, the IX streptavidin-HRP concentrate was prepared by adding 500</w:t>
      </w:r>
      <w:r>
        <w:rPr>
          <w:rFonts w:ascii="Symbol" w:hAnsi="Symbol"/>
        </w:rPr>
        <w:t></w:t>
      </w:r>
      <w:r>
        <w:rPr/>
        <w:t>l of HRP diluent to the streptavidin HRP vial. The already prepared IX streptavidin-HRP concentrate was further diluted with HRP Diluent in the ratio of 1:67 dilutions. Similarly, the vial containing the standard was reconstituted with standard diluent for human serum to obtain 400pg/mI. Different concentrations of the standard were made by double</w:t>
      </w:r>
      <w:r>
        <w:rPr>
          <w:spacing w:val="-2"/>
        </w:rPr>
        <w:t> </w:t>
      </w:r>
      <w:r>
        <w:rPr/>
        <w:t>diluting</w:t>
      </w:r>
      <w:r>
        <w:rPr>
          <w:spacing w:val="-1"/>
        </w:rPr>
        <w:t> </w:t>
      </w:r>
      <w:r>
        <w:rPr/>
        <w:t>the</w:t>
      </w:r>
      <w:r>
        <w:rPr>
          <w:spacing w:val="-2"/>
        </w:rPr>
        <w:t> </w:t>
      </w:r>
      <w:r>
        <w:rPr/>
        <w:t>400pg/ml</w:t>
      </w:r>
      <w:r>
        <w:rPr>
          <w:spacing w:val="-1"/>
        </w:rPr>
        <w:t> </w:t>
      </w:r>
      <w:r>
        <w:rPr/>
        <w:t>to</w:t>
      </w:r>
      <w:r>
        <w:rPr>
          <w:spacing w:val="-1"/>
        </w:rPr>
        <w:t> </w:t>
      </w:r>
      <w:r>
        <w:rPr/>
        <w:t>obtain</w:t>
      </w:r>
      <w:r>
        <w:rPr>
          <w:spacing w:val="-1"/>
        </w:rPr>
        <w:t> </w:t>
      </w:r>
      <w:r>
        <w:rPr/>
        <w:t>200pg/ml,</w:t>
      </w:r>
      <w:r>
        <w:rPr>
          <w:spacing w:val="-3"/>
        </w:rPr>
        <w:t> </w:t>
      </w:r>
      <w:r>
        <w:rPr/>
        <w:t>100pg/ml,</w:t>
      </w:r>
      <w:r>
        <w:rPr>
          <w:spacing w:val="-1"/>
        </w:rPr>
        <w:t> </w:t>
      </w:r>
      <w:r>
        <w:rPr/>
        <w:t>50pg/ml,</w:t>
      </w:r>
      <w:r>
        <w:rPr>
          <w:spacing w:val="-3"/>
        </w:rPr>
        <w:t> </w:t>
      </w:r>
      <w:r>
        <w:rPr/>
        <w:t>25pg/ml</w:t>
      </w:r>
      <w:r>
        <w:rPr>
          <w:spacing w:val="-1"/>
        </w:rPr>
        <w:t> </w:t>
      </w:r>
      <w:r>
        <w:rPr/>
        <w:t>and</w:t>
      </w:r>
      <w:r>
        <w:rPr>
          <w:spacing w:val="-1"/>
        </w:rPr>
        <w:t> </w:t>
      </w:r>
      <w:r>
        <w:rPr/>
        <w:t>12.5pg/ml in 6 test tubes respectively. The standard diluent serves as the zero standards.</w:t>
      </w:r>
    </w:p>
    <w:p>
      <w:pPr>
        <w:pStyle w:val="Heading2"/>
        <w:spacing w:before="7"/>
        <w:jc w:val="both"/>
      </w:pPr>
      <w:r>
        <w:rPr/>
        <w:t>ASSAY </w:t>
      </w:r>
      <w:r>
        <w:rPr>
          <w:spacing w:val="-2"/>
        </w:rPr>
        <w:t>PROCEDURE</w:t>
      </w:r>
    </w:p>
    <w:p>
      <w:pPr>
        <w:pStyle w:val="BodyText"/>
        <w:spacing w:line="480" w:lineRule="auto" w:before="271"/>
        <w:ind w:left="560" w:right="797"/>
        <w:jc w:val="both"/>
      </w:pPr>
      <w:r>
        <w:rPr/>
        <w:t>All materials, the standards, prepared reagents, and samples were brought to room temperature and the assay conducted in duplicate. One hundred microlitres (100</w:t>
      </w:r>
      <w:r>
        <w:rPr>
          <w:rFonts w:ascii="Symbol" w:hAnsi="Symbol"/>
        </w:rPr>
        <w:t></w:t>
      </w:r>
      <w:r>
        <w:rPr/>
        <w:t>l) of each standard, IX control solution, samples and blank were added into the appropriate wells. A 50</w:t>
      </w:r>
      <w:r>
        <w:rPr>
          <w:rFonts w:ascii="Symbol" w:hAnsi="Symbol"/>
        </w:rPr>
        <w:t></w:t>
      </w:r>
      <w:r>
        <w:rPr/>
        <w:t>l of IX Biotinylated anti-IL-10 was later added, covered and incubated for 1 hour at room temperature.</w:t>
      </w:r>
      <w:r>
        <w:rPr>
          <w:spacing w:val="27"/>
        </w:rPr>
        <w:t> </w:t>
      </w:r>
      <w:r>
        <w:rPr/>
        <w:t>The</w:t>
      </w:r>
      <w:r>
        <w:rPr>
          <w:spacing w:val="27"/>
        </w:rPr>
        <w:t> </w:t>
      </w:r>
      <w:r>
        <w:rPr/>
        <w:t>solution</w:t>
      </w:r>
      <w:r>
        <w:rPr>
          <w:spacing w:val="27"/>
        </w:rPr>
        <w:t> </w:t>
      </w:r>
      <w:r>
        <w:rPr/>
        <w:t>was</w:t>
      </w:r>
      <w:r>
        <w:rPr>
          <w:spacing w:val="28"/>
        </w:rPr>
        <w:t> </w:t>
      </w:r>
      <w:r>
        <w:rPr/>
        <w:t>discarded</w:t>
      </w:r>
      <w:r>
        <w:rPr>
          <w:spacing w:val="30"/>
        </w:rPr>
        <w:t> </w:t>
      </w:r>
      <w:r>
        <w:rPr/>
        <w:t>and</w:t>
      </w:r>
      <w:r>
        <w:rPr>
          <w:spacing w:val="27"/>
        </w:rPr>
        <w:t> </w:t>
      </w:r>
      <w:r>
        <w:rPr/>
        <w:t>washed</w:t>
      </w:r>
      <w:r>
        <w:rPr>
          <w:spacing w:val="27"/>
        </w:rPr>
        <w:t> </w:t>
      </w:r>
      <w:r>
        <w:rPr/>
        <w:t>4</w:t>
      </w:r>
      <w:r>
        <w:rPr>
          <w:spacing w:val="27"/>
        </w:rPr>
        <w:t> </w:t>
      </w:r>
      <w:r>
        <w:rPr/>
        <w:t>times</w:t>
      </w:r>
      <w:r>
        <w:rPr>
          <w:spacing w:val="28"/>
        </w:rPr>
        <w:t> </w:t>
      </w:r>
      <w:r>
        <w:rPr/>
        <w:t>with</w:t>
      </w:r>
      <w:r>
        <w:rPr>
          <w:spacing w:val="29"/>
        </w:rPr>
        <w:t> </w:t>
      </w:r>
      <w:r>
        <w:rPr/>
        <w:t>300</w:t>
      </w:r>
      <w:r>
        <w:rPr>
          <w:rFonts w:ascii="Symbol" w:hAnsi="Symbol"/>
        </w:rPr>
        <w:t></w:t>
      </w:r>
      <w:r>
        <w:rPr/>
        <w:t>l</w:t>
      </w:r>
      <w:r>
        <w:rPr>
          <w:spacing w:val="30"/>
        </w:rPr>
        <w:t> </w:t>
      </w:r>
      <w:r>
        <w:rPr/>
        <w:t>of</w:t>
      </w:r>
      <w:r>
        <w:rPr>
          <w:spacing w:val="27"/>
        </w:rPr>
        <w:t> </w:t>
      </w:r>
      <w:r>
        <w:rPr/>
        <w:t>wash</w:t>
      </w:r>
      <w:r>
        <w:rPr>
          <w:spacing w:val="28"/>
        </w:rPr>
        <w:t> </w:t>
      </w:r>
      <w:r>
        <w:rPr>
          <w:spacing w:val="-2"/>
        </w:rPr>
        <w:t>solution.</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The liquid were completely removed after each wash. On completion of the last wash, the plate was inverted and blotted against a clean absorbent paper. One hundred microlitres (100</w:t>
      </w:r>
      <w:r>
        <w:rPr>
          <w:rFonts w:ascii="Symbol" w:hAnsi="Symbol"/>
        </w:rPr>
        <w:t></w:t>
      </w:r>
      <w:r>
        <w:rPr/>
        <w:t>l) of IX streptavidin-HRP solution was added to each well. The wells were</w:t>
      </w:r>
      <w:r>
        <w:rPr>
          <w:spacing w:val="-1"/>
        </w:rPr>
        <w:t> </w:t>
      </w:r>
      <w:r>
        <w:rPr/>
        <w:t>covered and incubated for 30 minutes at room temperature. The solution was again discarded and the normal process of washing earlier carried out was repeated. Retained liquid in the well after the last wash was blotted on an absorbent paper. One hundred microlitre of chromogen TMB substrate solution was added into each well and incubated in the dark for 12-15 minutes at room temperature. The reaction was terminated on the addition of 100</w:t>
      </w:r>
      <w:r>
        <w:rPr>
          <w:rFonts w:ascii="Symbol" w:hAnsi="Symbol"/>
        </w:rPr>
        <w:t></w:t>
      </w:r>
      <w:r>
        <w:rPr/>
        <w:t>l of the stop reagent and the colour developed was read at 450nm.</w:t>
      </w:r>
    </w:p>
    <w:p>
      <w:pPr>
        <w:pStyle w:val="Heading2"/>
        <w:spacing w:before="6"/>
      </w:pPr>
      <w:r>
        <w:rPr>
          <w:spacing w:val="-2"/>
        </w:rPr>
        <w:t>CALCULATION</w:t>
      </w:r>
    </w:p>
    <w:p>
      <w:pPr>
        <w:pStyle w:val="BodyText"/>
        <w:spacing w:line="480" w:lineRule="auto" w:before="271"/>
        <w:ind w:left="560" w:right="796"/>
        <w:jc w:val="both"/>
      </w:pPr>
      <w:r>
        <w:rPr/>
        <w:t>The mean of the absorbance for each set of duplicate standards, control and samples were taken and subtracted from the average optical density of zero standards. A standard curve on log-log graph paper was plotted with the concentration of the standards on the x-axis and absorbance on the y-axis and values of samples and controls interpolated.</w:t>
      </w:r>
    </w:p>
    <w:p>
      <w:pPr>
        <w:pStyle w:val="Heading2"/>
        <w:spacing w:before="6"/>
      </w:pPr>
      <w:r>
        <w:rPr>
          <w:spacing w:val="-2"/>
        </w:rPr>
        <w:t>SENSITIVITY</w:t>
      </w:r>
    </w:p>
    <w:p>
      <w:pPr>
        <w:pStyle w:val="BodyText"/>
        <w:spacing w:before="271"/>
        <w:ind w:left="560"/>
        <w:jc w:val="both"/>
      </w:pPr>
      <w:r>
        <w:rPr/>
        <w:t>The</w:t>
      </w:r>
      <w:r>
        <w:rPr>
          <w:spacing w:val="-5"/>
        </w:rPr>
        <w:t> </w:t>
      </w:r>
      <w:r>
        <w:rPr/>
        <w:t>minimum</w:t>
      </w:r>
      <w:r>
        <w:rPr>
          <w:spacing w:val="-1"/>
        </w:rPr>
        <w:t> </w:t>
      </w:r>
      <w:r>
        <w:rPr/>
        <w:t>detectable dose</w:t>
      </w:r>
      <w:r>
        <w:rPr>
          <w:spacing w:val="-2"/>
        </w:rPr>
        <w:t> </w:t>
      </w:r>
      <w:r>
        <w:rPr/>
        <w:t>of IFN</w:t>
      </w:r>
      <w:r>
        <w:rPr>
          <w:spacing w:val="-1"/>
        </w:rPr>
        <w:t> </w:t>
      </w:r>
      <w:r>
        <w:rPr/>
        <w:t>gamma</w:t>
      </w:r>
      <w:r>
        <w:rPr>
          <w:spacing w:val="-2"/>
        </w:rPr>
        <w:t> </w:t>
      </w:r>
      <w:r>
        <w:rPr/>
        <w:t>was</w:t>
      </w:r>
      <w:r>
        <w:rPr>
          <w:spacing w:val="1"/>
        </w:rPr>
        <w:t> </w:t>
      </w:r>
      <w:r>
        <w:rPr/>
        <w:t>&lt;5</w:t>
      </w:r>
      <w:r>
        <w:rPr>
          <w:spacing w:val="-1"/>
        </w:rPr>
        <w:t> </w:t>
      </w:r>
      <w:r>
        <w:rPr>
          <w:spacing w:val="-2"/>
        </w:rPr>
        <w:t>pg/mL.</w:t>
      </w:r>
    </w:p>
    <w:p>
      <w:pPr>
        <w:pStyle w:val="BodyText"/>
        <w:spacing w:before="237"/>
      </w:pPr>
    </w:p>
    <w:p>
      <w:pPr>
        <w:pStyle w:val="ListParagraph"/>
        <w:numPr>
          <w:ilvl w:val="2"/>
          <w:numId w:val="9"/>
        </w:numPr>
        <w:tabs>
          <w:tab w:pos="1040" w:val="left" w:leader="none"/>
        </w:tabs>
        <w:spacing w:line="480" w:lineRule="auto" w:before="0" w:after="0"/>
        <w:ind w:left="560" w:right="796" w:firstLine="0"/>
        <w:jc w:val="both"/>
        <w:rPr>
          <w:b/>
          <w:sz w:val="24"/>
        </w:rPr>
      </w:pPr>
      <w:r>
        <w:rPr>
          <w:b/>
          <w:sz w:val="24"/>
        </w:rPr>
        <w:t>QUANTITATIVE MEASUREMENT OF TNF</w:t>
      </w:r>
      <w:r>
        <w:rPr>
          <w:rFonts w:ascii="Symbol" w:hAnsi="Symbol"/>
          <w:sz w:val="24"/>
        </w:rPr>
        <w:t></w:t>
      </w:r>
      <w:r>
        <w:rPr>
          <w:sz w:val="24"/>
        </w:rPr>
        <w:t> </w:t>
      </w:r>
      <w:r>
        <w:rPr>
          <w:b/>
          <w:sz w:val="24"/>
        </w:rPr>
        <w:t>BY ELISA TECHNIQUE AS DESCRIBED BY (ABCAM, 2013) Batch No. ab100654, Lot No. GR154836-1, GR150780-1, GR151204-1</w:t>
      </w:r>
    </w:p>
    <w:p>
      <w:pPr>
        <w:pStyle w:val="Heading2"/>
        <w:spacing w:line="275" w:lineRule="exact"/>
      </w:pPr>
      <w:r>
        <w:rPr>
          <w:spacing w:val="-2"/>
        </w:rPr>
        <w:t>PRINCIPLE:</w:t>
      </w:r>
    </w:p>
    <w:p>
      <w:pPr>
        <w:pStyle w:val="BodyText"/>
        <w:spacing w:line="480" w:lineRule="auto" w:before="273"/>
        <w:ind w:left="560" w:right="796"/>
        <w:jc w:val="both"/>
      </w:pPr>
      <w:r>
        <w:rPr/>
        <w:t>This assay is of the sandwich format. Antibody specific for human TNF</w:t>
      </w:r>
      <w:r>
        <w:rPr>
          <w:rFonts w:ascii="Symbol" w:hAnsi="Symbol"/>
        </w:rPr>
        <w:t></w:t>
      </w:r>
      <w:r>
        <w:rPr/>
        <w:t> is coated in a well for the detection of TNF</w:t>
      </w:r>
      <w:r>
        <w:rPr>
          <w:rFonts w:ascii="Symbol" w:hAnsi="Symbol"/>
        </w:rPr>
        <w:t></w:t>
      </w:r>
      <w:r>
        <w:rPr/>
        <w:t>. TNF</w:t>
      </w:r>
      <w:r>
        <w:rPr>
          <w:rFonts w:ascii="Symbol" w:hAnsi="Symbol"/>
        </w:rPr>
        <w:t></w:t>
      </w:r>
      <w:r>
        <w:rPr/>
        <w:t> in the specimen is bound by the immobilized Antibody.</w:t>
      </w:r>
      <w:r>
        <w:rPr>
          <w:spacing w:val="40"/>
        </w:rPr>
        <w:t> </w:t>
      </w:r>
      <w:r>
        <w:rPr/>
        <w:t>The wells are incubated and washed before adding Biotinylated anti-human TNF</w:t>
      </w:r>
      <w:r>
        <w:rPr>
          <w:rFonts w:ascii="Symbol" w:hAnsi="Symbol"/>
        </w:rPr>
        <w:t></w:t>
      </w:r>
      <w:r>
        <w:rPr/>
        <w:t> Antibody. After washing away the unbound Biotinylated antibody, the enzyme HRP conjugated streptavidin</w:t>
      </w:r>
      <w:r>
        <w:rPr>
          <w:spacing w:val="30"/>
        </w:rPr>
        <w:t> </w:t>
      </w:r>
      <w:r>
        <w:rPr/>
        <w:t>is</w:t>
      </w:r>
      <w:r>
        <w:rPr>
          <w:spacing w:val="30"/>
        </w:rPr>
        <w:t> </w:t>
      </w:r>
      <w:r>
        <w:rPr/>
        <w:t>added.</w:t>
      </w:r>
      <w:r>
        <w:rPr>
          <w:spacing w:val="30"/>
        </w:rPr>
        <w:t> </w:t>
      </w:r>
      <w:r>
        <w:rPr/>
        <w:t>The</w:t>
      </w:r>
      <w:r>
        <w:rPr>
          <w:spacing w:val="29"/>
        </w:rPr>
        <w:t> </w:t>
      </w:r>
      <w:r>
        <w:rPr/>
        <w:t>wells</w:t>
      </w:r>
      <w:r>
        <w:rPr>
          <w:spacing w:val="30"/>
        </w:rPr>
        <w:t> </w:t>
      </w:r>
      <w:r>
        <w:rPr/>
        <w:t>are</w:t>
      </w:r>
      <w:r>
        <w:rPr>
          <w:spacing w:val="31"/>
        </w:rPr>
        <w:t> </w:t>
      </w:r>
      <w:r>
        <w:rPr/>
        <w:t>again</w:t>
      </w:r>
      <w:r>
        <w:rPr>
          <w:spacing w:val="30"/>
        </w:rPr>
        <w:t> </w:t>
      </w:r>
      <w:r>
        <w:rPr/>
        <w:t>washed</w:t>
      </w:r>
      <w:r>
        <w:rPr>
          <w:spacing w:val="29"/>
        </w:rPr>
        <w:t> </w:t>
      </w:r>
      <w:r>
        <w:rPr/>
        <w:t>and</w:t>
      </w:r>
      <w:r>
        <w:rPr>
          <w:spacing w:val="33"/>
        </w:rPr>
        <w:t> </w:t>
      </w:r>
      <w:r>
        <w:rPr/>
        <w:t>a</w:t>
      </w:r>
      <w:r>
        <w:rPr>
          <w:spacing w:val="29"/>
        </w:rPr>
        <w:t> </w:t>
      </w:r>
      <w:r>
        <w:rPr/>
        <w:t>TMB</w:t>
      </w:r>
      <w:r>
        <w:rPr>
          <w:spacing w:val="30"/>
        </w:rPr>
        <w:t> </w:t>
      </w:r>
      <w:r>
        <w:rPr/>
        <w:t>substrate</w:t>
      </w:r>
      <w:r>
        <w:rPr>
          <w:spacing w:val="32"/>
        </w:rPr>
        <w:t> </w:t>
      </w:r>
      <w:r>
        <w:rPr/>
        <w:t>solution</w:t>
      </w:r>
      <w:r>
        <w:rPr>
          <w:spacing w:val="30"/>
        </w:rPr>
        <w:t> </w:t>
      </w:r>
      <w:r>
        <w:rPr/>
        <w:t>added.</w:t>
      </w:r>
      <w:r>
        <w:rPr>
          <w:spacing w:val="30"/>
        </w:rPr>
        <w:t> </w:t>
      </w:r>
      <w:r>
        <w:rPr>
          <w:spacing w:val="-10"/>
        </w:rPr>
        <w:t>A</w:t>
      </w:r>
    </w:p>
    <w:p>
      <w:pPr>
        <w:spacing w:after="0" w:line="480" w:lineRule="auto"/>
        <w:jc w:val="both"/>
        <w:sectPr>
          <w:pgSz w:w="11910" w:h="16840"/>
          <w:pgMar w:header="0" w:footer="1067" w:top="1060" w:bottom="1260" w:left="880" w:right="640"/>
        </w:sectPr>
      </w:pPr>
    </w:p>
    <w:p>
      <w:pPr>
        <w:pStyle w:val="BodyText"/>
        <w:spacing w:line="477" w:lineRule="auto" w:before="72"/>
        <w:ind w:left="560" w:right="799"/>
        <w:jc w:val="both"/>
      </w:pPr>
      <w:r>
        <w:rPr/>
        <w:t>colour develops which intensity is in proportion to the amount of bound TNF</w:t>
      </w:r>
      <w:r>
        <w:rPr>
          <w:rFonts w:ascii="Symbol" w:hAnsi="Symbol"/>
        </w:rPr>
        <w:t></w:t>
      </w:r>
      <w:r>
        <w:rPr/>
        <w:t>. The stop solution changes the colour from blue to yellow and is measured at 450nm.</w:t>
      </w:r>
    </w:p>
    <w:p>
      <w:pPr>
        <w:pStyle w:val="Heading2"/>
        <w:spacing w:before="9"/>
        <w:jc w:val="both"/>
      </w:pPr>
      <w:r>
        <w:rPr/>
        <w:t>PREPARATION</w:t>
      </w:r>
      <w:r>
        <w:rPr>
          <w:spacing w:val="-3"/>
        </w:rPr>
        <w:t> </w:t>
      </w:r>
      <w:r>
        <w:rPr/>
        <w:t>OF REAGENTS</w:t>
      </w:r>
      <w:r>
        <w:rPr>
          <w:spacing w:val="-1"/>
        </w:rPr>
        <w:t> </w:t>
      </w:r>
      <w:r>
        <w:rPr/>
        <w:t>AND </w:t>
      </w:r>
      <w:r>
        <w:rPr>
          <w:spacing w:val="-2"/>
        </w:rPr>
        <w:t>STANDARDS</w:t>
      </w:r>
    </w:p>
    <w:p>
      <w:pPr>
        <w:pStyle w:val="BodyText"/>
        <w:spacing w:line="480" w:lineRule="auto" w:before="271"/>
        <w:ind w:left="560" w:right="795"/>
        <w:jc w:val="both"/>
      </w:pPr>
      <w:r>
        <w:rPr/>
        <w:t>The manufacturer‟s directive was strictly followed in the preparation of reagents and standards used to assay TNF</w:t>
      </w:r>
      <w:r>
        <w:rPr>
          <w:rFonts w:ascii="Symbol" w:hAnsi="Symbol"/>
        </w:rPr>
        <w:t></w:t>
      </w:r>
      <w:r>
        <w:rPr/>
        <w:t>. The prepared reagents were IX Assay Diluent Buffer, IX Wash Buffer, IX Biotinylated TNF</w:t>
      </w:r>
      <w:r>
        <w:rPr>
          <w:rFonts w:ascii="Symbol" w:hAnsi="Symbol"/>
        </w:rPr>
        <w:t></w:t>
      </w:r>
      <w:r>
        <w:rPr/>
        <w:t> Detection Antibody, IX streptavidin-HRP solution and different concentrations of the standard. For IX-Assay Diluent Buffer, a 5X Assay Diluent was diluted 1 in 5 with distilled water. For IX Wash Solution, 380mls of distilled water was added to 20mls of 20X Wash Buffer Concentrate to yield 400mls of IX Wash Buffer. As for the preparation of IX Biotinylated TNF</w:t>
      </w:r>
      <w:r>
        <w:rPr>
          <w:rFonts w:ascii="Symbol" w:hAnsi="Symbol"/>
        </w:rPr>
        <w:t></w:t>
      </w:r>
      <w:r>
        <w:rPr/>
        <w:t> detection antibody, the vial containing IX Biotinylated anti-human TNF</w:t>
      </w:r>
      <w:r>
        <w:rPr>
          <w:rFonts w:ascii="Symbol" w:hAnsi="Symbol"/>
        </w:rPr>
        <w:t></w:t>
      </w:r>
      <w:r>
        <w:rPr/>
        <w:t> was briefly spun and 100</w:t>
      </w:r>
      <w:r>
        <w:rPr>
          <w:rFonts w:ascii="Symbol" w:hAnsi="Symbol"/>
        </w:rPr>
        <w:t></w:t>
      </w:r>
      <w:r>
        <w:rPr/>
        <w:t>l of IX Assay Diluent B added to the vial, to yield the Antibody Concentrate. The solution was gently mixed and a further dilution of</w:t>
      </w:r>
      <w:r>
        <w:rPr>
          <w:spacing w:val="-1"/>
        </w:rPr>
        <w:t> </w:t>
      </w:r>
      <w:r>
        <w:rPr/>
        <w:t>1 in 80 dilution of</w:t>
      </w:r>
      <w:r>
        <w:rPr>
          <w:spacing w:val="-1"/>
        </w:rPr>
        <w:t> </w:t>
      </w:r>
      <w:r>
        <w:rPr/>
        <w:t>the</w:t>
      </w:r>
      <w:r>
        <w:rPr>
          <w:spacing w:val="-1"/>
        </w:rPr>
        <w:t> </w:t>
      </w:r>
      <w:r>
        <w:rPr/>
        <w:t>concentrate</w:t>
      </w:r>
      <w:r>
        <w:rPr>
          <w:spacing w:val="-1"/>
        </w:rPr>
        <w:t> </w:t>
      </w:r>
      <w:r>
        <w:rPr/>
        <w:t>was made</w:t>
      </w:r>
      <w:r>
        <w:rPr>
          <w:spacing w:val="-2"/>
        </w:rPr>
        <w:t> </w:t>
      </w:r>
      <w:r>
        <w:rPr/>
        <w:t>using IX</w:t>
      </w:r>
      <w:r>
        <w:rPr>
          <w:spacing w:val="-1"/>
        </w:rPr>
        <w:t> </w:t>
      </w:r>
      <w:r>
        <w:rPr/>
        <w:t>Assay</w:t>
      </w:r>
      <w:r>
        <w:rPr>
          <w:spacing w:val="-5"/>
        </w:rPr>
        <w:t> </w:t>
      </w:r>
      <w:r>
        <w:rPr/>
        <w:t>Diluent B. For</w:t>
      </w:r>
      <w:r>
        <w:rPr>
          <w:spacing w:val="-1"/>
        </w:rPr>
        <w:t> </w:t>
      </w:r>
      <w:r>
        <w:rPr/>
        <w:t>the IX HRP streptavidin solution, another brief spun of the 600X HRP streptavidin concentrate vial was done and a 600 fold dilution made with IX Assay Diluent B prior to use by dissolving 20</w:t>
      </w:r>
      <w:r>
        <w:rPr>
          <w:rFonts w:ascii="Symbol" w:hAnsi="Symbol"/>
        </w:rPr>
        <w:t></w:t>
      </w:r>
      <w:r>
        <w:rPr/>
        <w:t>l of 600X HRP streptavidin concentrate into a tube with 12ml of IX Diluent B. Similarly, serial dilutions of the standards were prepared immediately prior to use as follows; After a brief spin of the vial of TNF</w:t>
      </w:r>
      <w:r>
        <w:rPr>
          <w:rFonts w:ascii="Symbol" w:hAnsi="Symbol"/>
        </w:rPr>
        <w:t></w:t>
      </w:r>
      <w:r>
        <w:rPr/>
        <w:t> Standard, a concentration of 50ng/mL Stock Standardwas prepared by adding 160</w:t>
      </w:r>
      <w:r>
        <w:rPr>
          <w:rFonts w:ascii="Symbol" w:hAnsi="Symbol"/>
        </w:rPr>
        <w:t></w:t>
      </w:r>
      <w:r>
        <w:rPr/>
        <w:t>L Assay Diluent A (for serum/plasma samples) into the vial. Then, standard of 7 different concentrations were prepared from the stock standard (50ng/ml) to obtain values of 6000pg/ml, 2400pg/ml, 960pg/ml, 384pg/ml, 153.6pg/ml, 61.44pg/ml and 24.58pg/ml.</w:t>
      </w:r>
      <w:r>
        <w:rPr>
          <w:spacing w:val="4"/>
        </w:rPr>
        <w:t> </w:t>
      </w:r>
      <w:r>
        <w:rPr/>
        <w:t>The</w:t>
      </w:r>
      <w:r>
        <w:rPr>
          <w:spacing w:val="4"/>
        </w:rPr>
        <w:t> </w:t>
      </w:r>
      <w:r>
        <w:rPr/>
        <w:t>steps</w:t>
      </w:r>
      <w:r>
        <w:rPr>
          <w:spacing w:val="4"/>
        </w:rPr>
        <w:t> </w:t>
      </w:r>
      <w:r>
        <w:rPr/>
        <w:t>were</w:t>
      </w:r>
      <w:r>
        <w:rPr>
          <w:spacing w:val="6"/>
        </w:rPr>
        <w:t> </w:t>
      </w:r>
      <w:r>
        <w:rPr/>
        <w:t>as</w:t>
      </w:r>
      <w:r>
        <w:rPr>
          <w:spacing w:val="6"/>
        </w:rPr>
        <w:t> </w:t>
      </w:r>
      <w:r>
        <w:rPr/>
        <w:t>follows:</w:t>
      </w:r>
      <w:r>
        <w:rPr>
          <w:spacing w:val="7"/>
        </w:rPr>
        <w:t> </w:t>
      </w:r>
      <w:r>
        <w:rPr/>
        <w:t>7</w:t>
      </w:r>
      <w:r>
        <w:rPr>
          <w:spacing w:val="5"/>
        </w:rPr>
        <w:t> </w:t>
      </w:r>
      <w:r>
        <w:rPr/>
        <w:t>scrupulously</w:t>
      </w:r>
      <w:r>
        <w:rPr>
          <w:spacing w:val="1"/>
        </w:rPr>
        <w:t> </w:t>
      </w:r>
      <w:r>
        <w:rPr/>
        <w:t>cleaned</w:t>
      </w:r>
      <w:r>
        <w:rPr>
          <w:spacing w:val="6"/>
        </w:rPr>
        <w:t> </w:t>
      </w:r>
      <w:r>
        <w:rPr/>
        <w:t>sterile</w:t>
      </w:r>
      <w:r>
        <w:rPr>
          <w:spacing w:val="5"/>
        </w:rPr>
        <w:t> </w:t>
      </w:r>
      <w:r>
        <w:rPr/>
        <w:t>tubes</w:t>
      </w:r>
      <w:r>
        <w:rPr>
          <w:spacing w:val="7"/>
        </w:rPr>
        <w:t> </w:t>
      </w:r>
      <w:r>
        <w:rPr/>
        <w:t>were</w:t>
      </w:r>
      <w:r>
        <w:rPr>
          <w:spacing w:val="5"/>
        </w:rPr>
        <w:t> </w:t>
      </w:r>
      <w:r>
        <w:rPr/>
        <w:t>labeled</w:t>
      </w:r>
      <w:r>
        <w:rPr>
          <w:spacing w:val="5"/>
        </w:rPr>
        <w:t> </w:t>
      </w:r>
      <w:r>
        <w:rPr/>
        <w:t>1</w:t>
      </w:r>
      <w:r>
        <w:rPr>
          <w:spacing w:val="6"/>
        </w:rPr>
        <w:t> </w:t>
      </w:r>
      <w:r>
        <w:rPr>
          <w:spacing w:val="-5"/>
        </w:rPr>
        <w:t>to</w:t>
      </w:r>
    </w:p>
    <w:p>
      <w:pPr>
        <w:pStyle w:val="BodyText"/>
        <w:spacing w:line="480" w:lineRule="auto" w:before="4"/>
        <w:ind w:left="560" w:right="799"/>
        <w:jc w:val="both"/>
      </w:pPr>
      <w:r>
        <w:rPr/>
        <w:t>7.</w:t>
      </w:r>
      <w:r>
        <w:rPr>
          <w:spacing w:val="40"/>
        </w:rPr>
        <w:t> </w:t>
      </w:r>
      <w:r>
        <w:rPr/>
        <w:t>In</w:t>
      </w:r>
      <w:r>
        <w:rPr>
          <w:spacing w:val="-3"/>
        </w:rPr>
        <w:t> </w:t>
      </w:r>
      <w:r>
        <w:rPr/>
        <w:t>the</w:t>
      </w:r>
      <w:r>
        <w:rPr>
          <w:spacing w:val="-3"/>
        </w:rPr>
        <w:t> </w:t>
      </w:r>
      <w:r>
        <w:rPr/>
        <w:t>first</w:t>
      </w:r>
      <w:r>
        <w:rPr>
          <w:spacing w:val="-3"/>
        </w:rPr>
        <w:t> </w:t>
      </w:r>
      <w:r>
        <w:rPr/>
        <w:t>tube,</w:t>
      </w:r>
      <w:r>
        <w:rPr>
          <w:spacing w:val="-1"/>
        </w:rPr>
        <w:t> </w:t>
      </w:r>
      <w:r>
        <w:rPr/>
        <w:t>80</w:t>
      </w:r>
      <w:r>
        <w:rPr>
          <w:rFonts w:ascii="Symbol" w:hAnsi="Symbol"/>
        </w:rPr>
        <w:t></w:t>
      </w:r>
      <w:r>
        <w:rPr/>
        <w:t>l</w:t>
      </w:r>
      <w:r>
        <w:rPr>
          <w:spacing w:val="-1"/>
        </w:rPr>
        <w:t> </w:t>
      </w:r>
      <w:r>
        <w:rPr/>
        <w:t>of</w:t>
      </w:r>
      <w:r>
        <w:rPr>
          <w:spacing w:val="-4"/>
        </w:rPr>
        <w:t> </w:t>
      </w:r>
      <w:r>
        <w:rPr/>
        <w:t>50ng/ml</w:t>
      </w:r>
      <w:r>
        <w:rPr>
          <w:spacing w:val="-3"/>
        </w:rPr>
        <w:t> </w:t>
      </w:r>
      <w:r>
        <w:rPr/>
        <w:t>(50,000pg/ml)</w:t>
      </w:r>
      <w:r>
        <w:rPr>
          <w:spacing w:val="-3"/>
        </w:rPr>
        <w:t> </w:t>
      </w:r>
      <w:r>
        <w:rPr/>
        <w:t>of</w:t>
      </w:r>
      <w:r>
        <w:rPr>
          <w:spacing w:val="-4"/>
        </w:rPr>
        <w:t> </w:t>
      </w:r>
      <w:r>
        <w:rPr/>
        <w:t>stock</w:t>
      </w:r>
      <w:r>
        <w:rPr>
          <w:spacing w:val="-3"/>
        </w:rPr>
        <w:t> </w:t>
      </w:r>
      <w:r>
        <w:rPr/>
        <w:t>standard</w:t>
      </w:r>
      <w:r>
        <w:rPr>
          <w:spacing w:val="-3"/>
        </w:rPr>
        <w:t> </w:t>
      </w:r>
      <w:r>
        <w:rPr/>
        <w:t>was</w:t>
      </w:r>
      <w:r>
        <w:rPr>
          <w:spacing w:val="-3"/>
        </w:rPr>
        <w:t> </w:t>
      </w:r>
      <w:r>
        <w:rPr/>
        <w:t>added</w:t>
      </w:r>
      <w:r>
        <w:rPr>
          <w:spacing w:val="-3"/>
        </w:rPr>
        <w:t> </w:t>
      </w:r>
      <w:r>
        <w:rPr/>
        <w:t>to</w:t>
      </w:r>
      <w:r>
        <w:rPr>
          <w:spacing w:val="-3"/>
        </w:rPr>
        <w:t> </w:t>
      </w:r>
      <w:r>
        <w:rPr/>
        <w:t>586.7ml</w:t>
      </w:r>
      <w:r>
        <w:rPr>
          <w:spacing w:val="-3"/>
        </w:rPr>
        <w:t> </w:t>
      </w:r>
      <w:r>
        <w:rPr/>
        <w:t>of assay diluent A. This was gently mixed and a concentration of 6000pg/ml was obtained. A 300</w:t>
      </w:r>
      <w:r>
        <w:rPr>
          <w:rFonts w:ascii="Symbol" w:hAnsi="Symbol"/>
        </w:rPr>
        <w:t></w:t>
      </w:r>
      <w:r>
        <w:rPr/>
        <w:t>l</w:t>
      </w:r>
      <w:r>
        <w:rPr>
          <w:spacing w:val="2"/>
        </w:rPr>
        <w:t> </w:t>
      </w:r>
      <w:r>
        <w:rPr/>
        <w:t>of</w:t>
      </w:r>
      <w:r>
        <w:rPr>
          <w:spacing w:val="2"/>
        </w:rPr>
        <w:t> </w:t>
      </w:r>
      <w:r>
        <w:rPr/>
        <w:t>Assay</w:t>
      </w:r>
      <w:r>
        <w:rPr>
          <w:spacing w:val="-2"/>
        </w:rPr>
        <w:t> </w:t>
      </w:r>
      <w:r>
        <w:rPr/>
        <w:t>Diluent</w:t>
      </w:r>
      <w:r>
        <w:rPr>
          <w:spacing w:val="4"/>
        </w:rPr>
        <w:t> </w:t>
      </w:r>
      <w:r>
        <w:rPr/>
        <w:t>A</w:t>
      </w:r>
      <w:r>
        <w:rPr>
          <w:spacing w:val="3"/>
        </w:rPr>
        <w:t> </w:t>
      </w:r>
      <w:r>
        <w:rPr/>
        <w:t>was</w:t>
      </w:r>
      <w:r>
        <w:rPr>
          <w:spacing w:val="3"/>
        </w:rPr>
        <w:t> </w:t>
      </w:r>
      <w:r>
        <w:rPr/>
        <w:t>pipetted</w:t>
      </w:r>
      <w:r>
        <w:rPr>
          <w:spacing w:val="4"/>
        </w:rPr>
        <w:t> </w:t>
      </w:r>
      <w:r>
        <w:rPr/>
        <w:t>and</w:t>
      </w:r>
      <w:r>
        <w:rPr>
          <w:spacing w:val="3"/>
        </w:rPr>
        <w:t> </w:t>
      </w:r>
      <w:r>
        <w:rPr/>
        <w:t>added</w:t>
      </w:r>
      <w:r>
        <w:rPr>
          <w:spacing w:val="3"/>
        </w:rPr>
        <w:t> </w:t>
      </w:r>
      <w:r>
        <w:rPr/>
        <w:t>into</w:t>
      </w:r>
      <w:r>
        <w:rPr>
          <w:spacing w:val="4"/>
        </w:rPr>
        <w:t> </w:t>
      </w:r>
      <w:r>
        <w:rPr/>
        <w:t>the</w:t>
      </w:r>
      <w:r>
        <w:rPr>
          <w:spacing w:val="3"/>
        </w:rPr>
        <w:t> </w:t>
      </w:r>
      <w:r>
        <w:rPr/>
        <w:t>remaining</w:t>
      </w:r>
      <w:r>
        <w:rPr>
          <w:spacing w:val="4"/>
        </w:rPr>
        <w:t> </w:t>
      </w:r>
      <w:r>
        <w:rPr/>
        <w:t>tubes</w:t>
      </w:r>
      <w:r>
        <w:rPr>
          <w:spacing w:val="4"/>
        </w:rPr>
        <w:t> </w:t>
      </w:r>
      <w:r>
        <w:rPr/>
        <w:t>either</w:t>
      </w:r>
      <w:r>
        <w:rPr>
          <w:spacing w:val="2"/>
        </w:rPr>
        <w:t> </w:t>
      </w:r>
      <w:r>
        <w:rPr/>
        <w:t>from</w:t>
      </w:r>
      <w:r>
        <w:rPr>
          <w:spacing w:val="4"/>
        </w:rPr>
        <w:t> </w:t>
      </w:r>
      <w:r>
        <w:rPr/>
        <w:t>tube</w:t>
      </w:r>
      <w:r>
        <w:rPr>
          <w:spacing w:val="4"/>
        </w:rPr>
        <w:t> </w:t>
      </w:r>
      <w:r>
        <w:rPr>
          <w:spacing w:val="-10"/>
        </w:rPr>
        <w:t>2</w:t>
      </w:r>
    </w:p>
    <w:p>
      <w:pPr>
        <w:spacing w:after="0" w:line="480" w:lineRule="auto"/>
        <w:jc w:val="both"/>
        <w:sectPr>
          <w:pgSz w:w="11910" w:h="16840"/>
          <w:pgMar w:header="0" w:footer="1067" w:top="1060" w:bottom="1260" w:left="880" w:right="640"/>
        </w:sectPr>
      </w:pPr>
    </w:p>
    <w:p>
      <w:pPr>
        <w:pStyle w:val="BodyText"/>
        <w:spacing w:line="480" w:lineRule="auto" w:before="72"/>
        <w:ind w:left="560" w:right="794"/>
        <w:jc w:val="both"/>
      </w:pPr>
      <w:r>
        <w:rPr/>
        <w:t>to 7. A 200</w:t>
      </w:r>
      <w:r>
        <w:rPr>
          <w:rFonts w:ascii="Symbol" w:hAnsi="Symbol"/>
        </w:rPr>
        <w:t></w:t>
      </w:r>
      <w:r>
        <w:rPr/>
        <w:t>l of the standard in tube 1 (6000pg/ml) was added into tube 2 to obtain a concentration of 2400 pg/ml. The same steps were taken to the 6th tube to achieve concentrations of 960.0pg/ml, 384/ml, 153.6pg/ml, 61.44pg/ml and 24.58pg/ml respectively while assay diluent A serves as the zero standard (0pg/ml).</w:t>
      </w:r>
    </w:p>
    <w:p>
      <w:pPr>
        <w:pStyle w:val="Heading2"/>
        <w:spacing w:before="3"/>
      </w:pPr>
      <w:r>
        <w:rPr/>
        <w:t>ASSAY </w:t>
      </w:r>
      <w:r>
        <w:rPr>
          <w:spacing w:val="-2"/>
        </w:rPr>
        <w:t>PROCEDURE</w:t>
      </w:r>
    </w:p>
    <w:p>
      <w:pPr>
        <w:pStyle w:val="BodyText"/>
        <w:spacing w:line="480" w:lineRule="auto" w:before="272"/>
        <w:ind w:left="560" w:right="796"/>
        <w:jc w:val="both"/>
      </w:pPr>
      <w:r>
        <w:rPr/>
        <w:t>All materials, the standards, prepared reagents, and samples were brought to room temperature and the assay conducted in duplicate. One hundred microlitres (100</w:t>
      </w:r>
      <w:r>
        <w:rPr>
          <w:rFonts w:ascii="Symbol" w:hAnsi="Symbol"/>
        </w:rPr>
        <w:t></w:t>
      </w:r>
      <w:r>
        <w:rPr/>
        <w:t>L) of each standard and samples were added into the appropriate wells. The plate was covered and incubated for 2.5 hours at room temperature. The solution was discarded and washed 4 times with 300</w:t>
      </w:r>
      <w:r>
        <w:rPr>
          <w:rFonts w:ascii="Symbol" w:hAnsi="Symbol"/>
        </w:rPr>
        <w:t></w:t>
      </w:r>
      <w:r>
        <w:rPr/>
        <w:t>l of wash solution. The liquid was completely removed after each wash.</w:t>
      </w:r>
      <w:r>
        <w:rPr>
          <w:spacing w:val="40"/>
        </w:rPr>
        <w:t> </w:t>
      </w:r>
      <w:r>
        <w:rPr/>
        <w:t>On completion of the last wash, the plate was inverted and blotted against a clean absorbent paper. One hundred microlitres (100</w:t>
      </w:r>
      <w:r>
        <w:rPr>
          <w:rFonts w:ascii="Symbol" w:hAnsi="Symbol"/>
        </w:rPr>
        <w:t></w:t>
      </w:r>
      <w:r>
        <w:rPr/>
        <w:t>l) of IX Biotinylated TNF</w:t>
      </w:r>
      <w:r>
        <w:rPr>
          <w:rFonts w:ascii="Symbol" w:hAnsi="Symbol"/>
        </w:rPr>
        <w:t></w:t>
      </w:r>
      <w:r>
        <w:rPr/>
        <w:t> Detection Antibody was added to each well and was later incubated for 1 hour at room temperature with a gentle shake. Again the solution was discarded and washed 4 times with 300</w:t>
      </w:r>
      <w:r>
        <w:rPr>
          <w:rFonts w:ascii="Symbol" w:hAnsi="Symbol"/>
        </w:rPr>
        <w:t></w:t>
      </w:r>
      <w:r>
        <w:rPr/>
        <w:t>l of wash solution.</w:t>
      </w:r>
      <w:r>
        <w:rPr>
          <w:spacing w:val="40"/>
        </w:rPr>
        <w:t> </w:t>
      </w:r>
      <w:r>
        <w:rPr/>
        <w:t>The liquid was completely removed after each wash. On completion of the last wash, the</w:t>
      </w:r>
      <w:r>
        <w:rPr>
          <w:spacing w:val="40"/>
        </w:rPr>
        <w:t> </w:t>
      </w:r>
      <w:r>
        <w:rPr/>
        <w:t>plate was inverted and blotted against a clean absorbent paper. A 100</w:t>
      </w:r>
      <w:r>
        <w:rPr>
          <w:rFonts w:ascii="Symbol" w:hAnsi="Symbol"/>
        </w:rPr>
        <w:t></w:t>
      </w:r>
      <w:r>
        <w:rPr/>
        <w:t>l of IX Streptavidin- HRP solution was added to each well. The wells were covered and incubated for 45 minutes at room temperature. The solution was again discarded and the normal process of washing was repeated and blotting of remaining liquid in the well was done after the last wash.One hundred microlitre of chromogen TMB substrate solution was added into each well and incubated</w:t>
      </w:r>
      <w:r>
        <w:rPr>
          <w:spacing w:val="-1"/>
        </w:rPr>
        <w:t> </w:t>
      </w:r>
      <w:r>
        <w:rPr/>
        <w:t>in the dark for 30 minutes</w:t>
      </w:r>
      <w:r>
        <w:rPr>
          <w:spacing w:val="-1"/>
        </w:rPr>
        <w:t> </w:t>
      </w:r>
      <w:r>
        <w:rPr/>
        <w:t>at room</w:t>
      </w:r>
      <w:r>
        <w:rPr>
          <w:spacing w:val="-1"/>
        </w:rPr>
        <w:t> </w:t>
      </w:r>
      <w:r>
        <w:rPr/>
        <w:t>temperature. The reaction was terminated</w:t>
      </w:r>
      <w:r>
        <w:rPr>
          <w:spacing w:val="-1"/>
        </w:rPr>
        <w:t> </w:t>
      </w:r>
      <w:r>
        <w:rPr/>
        <w:t>on the addition of 50</w:t>
      </w:r>
      <w:r>
        <w:rPr>
          <w:rFonts w:ascii="Symbol" w:hAnsi="Symbol"/>
        </w:rPr>
        <w:t></w:t>
      </w:r>
      <w:r>
        <w:rPr/>
        <w:t>l of the stop reagent and the colour developed was read at 450nm.</w:t>
      </w:r>
    </w:p>
    <w:p>
      <w:pPr>
        <w:pStyle w:val="Heading2"/>
        <w:spacing w:before="6"/>
      </w:pPr>
      <w:r>
        <w:rPr>
          <w:spacing w:val="-2"/>
        </w:rPr>
        <w:t>CALCULATION</w:t>
      </w:r>
    </w:p>
    <w:p>
      <w:pPr>
        <w:pStyle w:val="BodyText"/>
        <w:spacing w:line="480" w:lineRule="auto" w:before="272"/>
        <w:ind w:left="560" w:right="796"/>
        <w:jc w:val="both"/>
      </w:pPr>
      <w:r>
        <w:rPr/>
        <w:t>The mean of the absorbance for each set of duplicate standards, control and samples were taken</w:t>
      </w:r>
      <w:r>
        <w:rPr>
          <w:spacing w:val="9"/>
        </w:rPr>
        <w:t> </w:t>
      </w:r>
      <w:r>
        <w:rPr/>
        <w:t>and</w:t>
      </w:r>
      <w:r>
        <w:rPr>
          <w:spacing w:val="11"/>
        </w:rPr>
        <w:t> </w:t>
      </w:r>
      <w:r>
        <w:rPr/>
        <w:t>subtracted</w:t>
      </w:r>
      <w:r>
        <w:rPr>
          <w:spacing w:val="9"/>
        </w:rPr>
        <w:t> </w:t>
      </w:r>
      <w:r>
        <w:rPr/>
        <w:t>from</w:t>
      </w:r>
      <w:r>
        <w:rPr>
          <w:spacing w:val="9"/>
        </w:rPr>
        <w:t> </w:t>
      </w:r>
      <w:r>
        <w:rPr/>
        <w:t>the</w:t>
      </w:r>
      <w:r>
        <w:rPr>
          <w:spacing w:val="8"/>
        </w:rPr>
        <w:t> </w:t>
      </w:r>
      <w:r>
        <w:rPr/>
        <w:t>average</w:t>
      </w:r>
      <w:r>
        <w:rPr>
          <w:spacing w:val="8"/>
        </w:rPr>
        <w:t> </w:t>
      </w:r>
      <w:r>
        <w:rPr/>
        <w:t>optical</w:t>
      </w:r>
      <w:r>
        <w:rPr>
          <w:spacing w:val="9"/>
        </w:rPr>
        <w:t> </w:t>
      </w:r>
      <w:r>
        <w:rPr/>
        <w:t>density</w:t>
      </w:r>
      <w:r>
        <w:rPr>
          <w:spacing w:val="4"/>
        </w:rPr>
        <w:t> </w:t>
      </w:r>
      <w:r>
        <w:rPr/>
        <w:t>of</w:t>
      </w:r>
      <w:r>
        <w:rPr>
          <w:spacing w:val="8"/>
        </w:rPr>
        <w:t> </w:t>
      </w:r>
      <w:r>
        <w:rPr/>
        <w:t>zero</w:t>
      </w:r>
      <w:r>
        <w:rPr>
          <w:spacing w:val="8"/>
        </w:rPr>
        <w:t> </w:t>
      </w:r>
      <w:r>
        <w:rPr/>
        <w:t>standards.</w:t>
      </w:r>
      <w:r>
        <w:rPr>
          <w:spacing w:val="11"/>
        </w:rPr>
        <w:t> </w:t>
      </w:r>
      <w:r>
        <w:rPr/>
        <w:t>A</w:t>
      </w:r>
      <w:r>
        <w:rPr>
          <w:spacing w:val="8"/>
        </w:rPr>
        <w:t> </w:t>
      </w:r>
      <w:r>
        <w:rPr/>
        <w:t>standard</w:t>
      </w:r>
      <w:r>
        <w:rPr>
          <w:spacing w:val="10"/>
        </w:rPr>
        <w:t> </w:t>
      </w:r>
      <w:r>
        <w:rPr/>
        <w:t>curve</w:t>
      </w:r>
      <w:r>
        <w:rPr>
          <w:spacing w:val="9"/>
        </w:rPr>
        <w:t> </w:t>
      </w:r>
      <w:r>
        <w:rPr>
          <w:spacing w:val="-5"/>
        </w:rPr>
        <w:t>on</w:t>
      </w:r>
    </w:p>
    <w:p>
      <w:pPr>
        <w:spacing w:after="0" w:line="480" w:lineRule="auto"/>
        <w:jc w:val="both"/>
        <w:sectPr>
          <w:pgSz w:w="11910" w:h="16840"/>
          <w:pgMar w:header="0" w:footer="1067" w:top="1060" w:bottom="1260" w:left="880" w:right="640"/>
        </w:sectPr>
      </w:pPr>
    </w:p>
    <w:p>
      <w:pPr>
        <w:pStyle w:val="BodyText"/>
        <w:spacing w:line="480" w:lineRule="auto" w:before="70"/>
        <w:ind w:left="560" w:right="796"/>
        <w:jc w:val="both"/>
      </w:pPr>
      <w:r>
        <w:rPr/>
        <w:t>log-log graph paper was plotted with the concentration of the standards on the x-axis and absorbance on the y-axis and values of samples and controls interpolated.</w:t>
      </w:r>
    </w:p>
    <w:p>
      <w:pPr>
        <w:pStyle w:val="Heading2"/>
        <w:spacing w:before="5"/>
      </w:pPr>
      <w:r>
        <w:rPr>
          <w:spacing w:val="-2"/>
        </w:rPr>
        <w:t>SENSITIVITY</w:t>
      </w:r>
    </w:p>
    <w:p>
      <w:pPr>
        <w:pStyle w:val="BodyText"/>
        <w:spacing w:before="274"/>
        <w:ind w:left="560"/>
        <w:jc w:val="both"/>
      </w:pPr>
      <w:r>
        <w:rPr/>
        <w:t>The</w:t>
      </w:r>
      <w:r>
        <w:rPr>
          <w:spacing w:val="-3"/>
        </w:rPr>
        <w:t> </w:t>
      </w:r>
      <w:r>
        <w:rPr/>
        <w:t>minimum detectable</w:t>
      </w:r>
      <w:r>
        <w:rPr>
          <w:spacing w:val="1"/>
        </w:rPr>
        <w:t> </w:t>
      </w:r>
      <w:r>
        <w:rPr/>
        <w:t>dose</w:t>
      </w:r>
      <w:r>
        <w:rPr>
          <w:spacing w:val="-1"/>
        </w:rPr>
        <w:t> </w:t>
      </w:r>
      <w:r>
        <w:rPr/>
        <w:t>of TNF</w:t>
      </w:r>
      <w:r>
        <w:rPr>
          <w:rFonts w:ascii="Symbol" w:hAnsi="Symbol"/>
        </w:rPr>
        <w:t></w:t>
      </w:r>
      <w:r>
        <w:rPr>
          <w:spacing w:val="-3"/>
        </w:rPr>
        <w:t> </w:t>
      </w:r>
      <w:r>
        <w:rPr/>
        <w:t>is typically</w:t>
      </w:r>
      <w:r>
        <w:rPr>
          <w:spacing w:val="-3"/>
        </w:rPr>
        <w:t> </w:t>
      </w:r>
      <w:r>
        <w:rPr/>
        <w:t>less than </w:t>
      </w:r>
      <w:r>
        <w:rPr>
          <w:spacing w:val="-2"/>
        </w:rPr>
        <w:t>30pg/ml</w:t>
      </w:r>
    </w:p>
    <w:p>
      <w:pPr>
        <w:pStyle w:val="BodyText"/>
        <w:spacing w:before="263"/>
      </w:pPr>
    </w:p>
    <w:p>
      <w:pPr>
        <w:pStyle w:val="ListParagraph"/>
        <w:numPr>
          <w:ilvl w:val="2"/>
          <w:numId w:val="9"/>
        </w:numPr>
        <w:tabs>
          <w:tab w:pos="1040" w:val="left" w:leader="none"/>
        </w:tabs>
        <w:spacing w:line="360" w:lineRule="auto" w:before="0" w:after="0"/>
        <w:ind w:left="560" w:right="799" w:firstLine="0"/>
        <w:jc w:val="left"/>
        <w:rPr>
          <w:b/>
          <w:sz w:val="24"/>
        </w:rPr>
      </w:pPr>
      <w:r>
        <w:rPr>
          <w:b/>
          <w:sz w:val="24"/>
        </w:rPr>
        <w:t>QUANTITATIVE</w:t>
      </w:r>
      <w:r>
        <w:rPr>
          <w:b/>
          <w:spacing w:val="37"/>
          <w:sz w:val="24"/>
        </w:rPr>
        <w:t> </w:t>
      </w:r>
      <w:r>
        <w:rPr>
          <w:b/>
          <w:sz w:val="24"/>
        </w:rPr>
        <w:t>ASSAY</w:t>
      </w:r>
      <w:r>
        <w:rPr>
          <w:b/>
          <w:spacing w:val="37"/>
          <w:sz w:val="24"/>
        </w:rPr>
        <w:t> </w:t>
      </w:r>
      <w:r>
        <w:rPr>
          <w:b/>
          <w:sz w:val="24"/>
        </w:rPr>
        <w:t>OF</w:t>
      </w:r>
      <w:r>
        <w:rPr>
          <w:b/>
          <w:spacing w:val="36"/>
          <w:sz w:val="24"/>
        </w:rPr>
        <w:t> </w:t>
      </w:r>
      <w:r>
        <w:rPr>
          <w:b/>
          <w:sz w:val="24"/>
        </w:rPr>
        <w:t>sTfR</w:t>
      </w:r>
      <w:r>
        <w:rPr>
          <w:b/>
          <w:spacing w:val="36"/>
          <w:sz w:val="24"/>
        </w:rPr>
        <w:t> </w:t>
      </w:r>
      <w:r>
        <w:rPr>
          <w:b/>
          <w:sz w:val="24"/>
        </w:rPr>
        <w:t>BY</w:t>
      </w:r>
      <w:r>
        <w:rPr>
          <w:b/>
          <w:spacing w:val="36"/>
          <w:sz w:val="24"/>
        </w:rPr>
        <w:t> </w:t>
      </w:r>
      <w:r>
        <w:rPr>
          <w:b/>
          <w:sz w:val="24"/>
        </w:rPr>
        <w:t>ELISA</w:t>
      </w:r>
      <w:r>
        <w:rPr>
          <w:b/>
          <w:spacing w:val="36"/>
          <w:sz w:val="24"/>
        </w:rPr>
        <w:t> </w:t>
      </w:r>
      <w:r>
        <w:rPr>
          <w:b/>
          <w:sz w:val="24"/>
        </w:rPr>
        <w:t>TECHNIQUE</w:t>
      </w:r>
      <w:r>
        <w:rPr>
          <w:b/>
          <w:spacing w:val="34"/>
          <w:sz w:val="24"/>
        </w:rPr>
        <w:t> </w:t>
      </w:r>
      <w:r>
        <w:rPr>
          <w:b/>
          <w:sz w:val="24"/>
        </w:rPr>
        <w:t>AS</w:t>
      </w:r>
      <w:r>
        <w:rPr>
          <w:b/>
          <w:spacing w:val="37"/>
          <w:sz w:val="24"/>
        </w:rPr>
        <w:t> </w:t>
      </w:r>
      <w:r>
        <w:rPr>
          <w:b/>
          <w:sz w:val="24"/>
        </w:rPr>
        <w:t>DESCRIBED BY (MONOBIND INC., 2013). Catalogue No. 8625-300</w:t>
      </w:r>
    </w:p>
    <w:p>
      <w:pPr>
        <w:pStyle w:val="Heading2"/>
        <w:spacing w:line="274" w:lineRule="exact"/>
      </w:pPr>
      <w:r>
        <w:rPr>
          <w:spacing w:val="-2"/>
        </w:rPr>
        <w:t>PRINCIPLE:</w:t>
      </w:r>
    </w:p>
    <w:p>
      <w:pPr>
        <w:pStyle w:val="BodyText"/>
        <w:rPr>
          <w:b/>
        </w:rPr>
      </w:pPr>
    </w:p>
    <w:p>
      <w:pPr>
        <w:pStyle w:val="Heading3"/>
        <w:jc w:val="both"/>
      </w:pPr>
      <w:r>
        <w:rPr/>
        <w:t>Immunoenzymometric</w:t>
      </w:r>
      <w:r>
        <w:rPr>
          <w:spacing w:val="-4"/>
        </w:rPr>
        <w:t> </w:t>
      </w:r>
      <w:r>
        <w:rPr/>
        <w:t>sequential</w:t>
      </w:r>
      <w:r>
        <w:rPr>
          <w:spacing w:val="-3"/>
        </w:rPr>
        <w:t> </w:t>
      </w:r>
      <w:r>
        <w:rPr/>
        <w:t>assay</w:t>
      </w:r>
      <w:r>
        <w:rPr>
          <w:spacing w:val="-2"/>
        </w:rPr>
        <w:t> </w:t>
      </w:r>
      <w:r>
        <w:rPr/>
        <w:t>(TYPE</w:t>
      </w:r>
      <w:r>
        <w:rPr>
          <w:spacing w:val="-4"/>
        </w:rPr>
        <w:t> </w:t>
      </w:r>
      <w:r>
        <w:rPr>
          <w:spacing w:val="-5"/>
        </w:rPr>
        <w:t>4):</w:t>
      </w:r>
    </w:p>
    <w:p>
      <w:pPr>
        <w:pStyle w:val="BodyText"/>
        <w:spacing w:line="480" w:lineRule="auto" w:before="271"/>
        <w:ind w:left="560" w:right="801"/>
        <w:jc w:val="both"/>
      </w:pPr>
      <w:r>
        <w:rPr/>
        <w:t>A specific anti sTfR antibody with different and distinct epitope recognition is coated in a microtiter well. Monoclonal Biotinylated antibody and serum containing the native antigen are added simultaneously. A reaction result forming an antibody antigen complex. The biotin attached to the antibody binds to the streptavidin coated in the microwells resulting in immobilization of the complex. The complex is incubated and later on washed to remove the unbound antibody-antigen biotinylated complex.</w:t>
      </w:r>
    </w:p>
    <w:p>
      <w:pPr>
        <w:pStyle w:val="BodyText"/>
        <w:spacing w:before="1"/>
        <w:ind w:left="560"/>
        <w:jc w:val="both"/>
      </w:pPr>
      <w:r>
        <w:rPr/>
        <mc:AlternateContent>
          <mc:Choice Requires="wps">
            <w:drawing>
              <wp:anchor distT="0" distB="0" distL="0" distR="0" allowOverlap="1" layoutInCell="1" locked="0" behindDoc="0" simplePos="0" relativeHeight="15730688">
                <wp:simplePos x="0" y="0"/>
                <wp:positionH relativeFrom="page">
                  <wp:posOffset>2742310</wp:posOffset>
                </wp:positionH>
                <wp:positionV relativeFrom="paragraph">
                  <wp:posOffset>248201</wp:posOffset>
                </wp:positionV>
                <wp:extent cx="470534" cy="28765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470534" cy="287655"/>
                          <a:chExt cx="470534" cy="287655"/>
                        </a:xfrm>
                      </wpg:grpSpPr>
                      <wps:wsp>
                        <wps:cNvPr id="10" name="Graphic 10"/>
                        <wps:cNvSpPr/>
                        <wps:spPr>
                          <a:xfrm>
                            <a:off x="453326" y="235141"/>
                            <a:ext cx="9525" cy="9525"/>
                          </a:xfrm>
                          <a:custGeom>
                            <a:avLst/>
                            <a:gdLst/>
                            <a:ahLst/>
                            <a:cxnLst/>
                            <a:rect l="l" t="t" r="r" b="b"/>
                            <a:pathLst>
                              <a:path w="9525" h="9525">
                                <a:moveTo>
                                  <a:pt x="0" y="4762"/>
                                </a:moveTo>
                                <a:lnTo>
                                  <a:pt x="1394" y="1394"/>
                                </a:lnTo>
                                <a:lnTo>
                                  <a:pt x="4762" y="0"/>
                                </a:lnTo>
                                <a:lnTo>
                                  <a:pt x="8130" y="1394"/>
                                </a:lnTo>
                                <a:lnTo>
                                  <a:pt x="9525" y="4762"/>
                                </a:lnTo>
                                <a:lnTo>
                                  <a:pt x="8130" y="8130"/>
                                </a:lnTo>
                                <a:lnTo>
                                  <a:pt x="4762" y="9525"/>
                                </a:lnTo>
                                <a:lnTo>
                                  <a:pt x="1394" y="8130"/>
                                </a:lnTo>
                                <a:lnTo>
                                  <a:pt x="0" y="4762"/>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889" y="125603"/>
                            <a:ext cx="457200" cy="114300"/>
                          </a:xfrm>
                          <a:custGeom>
                            <a:avLst/>
                            <a:gdLst/>
                            <a:ahLst/>
                            <a:cxnLst/>
                            <a:rect l="l" t="t" r="r" b="b"/>
                            <a:pathLst>
                              <a:path w="457200" h="114300">
                                <a:moveTo>
                                  <a:pt x="0" y="114300"/>
                                </a:moveTo>
                                <a:lnTo>
                                  <a:pt x="457200" y="114300"/>
                                </a:lnTo>
                              </a:path>
                              <a:path w="457200" h="114300">
                                <a:moveTo>
                                  <a:pt x="457200" y="114300"/>
                                </a:moveTo>
                                <a:lnTo>
                                  <a:pt x="342900" y="0"/>
                                </a:lnTo>
                              </a:path>
                            </a:pathLst>
                          </a:custGeom>
                          <a:ln w="12700">
                            <a:solidFill>
                              <a:srgbClr val="000000"/>
                            </a:solidFill>
                            <a:prstDash val="solid"/>
                          </a:ln>
                        </wps:spPr>
                        <wps:bodyPr wrap="square" lIns="0" tIns="0" rIns="0" bIns="0" rtlCol="0">
                          <a:prstTxWarp prst="textNoShape">
                            <a:avLst/>
                          </a:prstTxWarp>
                          <a:noAutofit/>
                        </wps:bodyPr>
                      </wps:wsp>
                      <wps:wsp>
                        <wps:cNvPr id="12" name="Textbox 12"/>
                        <wps:cNvSpPr txBox="1"/>
                        <wps:spPr>
                          <a:xfrm>
                            <a:off x="0" y="109431"/>
                            <a:ext cx="198755" cy="168910"/>
                          </a:xfrm>
                          <a:prstGeom prst="rect">
                            <a:avLst/>
                          </a:prstGeom>
                        </wps:spPr>
                        <wps:txbx>
                          <w:txbxContent>
                            <w:p>
                              <w:pPr>
                                <w:spacing w:line="266" w:lineRule="exact" w:before="0"/>
                                <w:ind w:left="0" w:right="0" w:firstLine="0"/>
                                <w:jc w:val="left"/>
                                <w:rPr>
                                  <w:sz w:val="24"/>
                                </w:rPr>
                              </w:pPr>
                              <w:r>
                                <w:rPr>
                                  <w:spacing w:val="-5"/>
                                  <w:sz w:val="24"/>
                                </w:rPr>
                                <w:t>Ag</w:t>
                              </w:r>
                            </w:p>
                          </w:txbxContent>
                        </wps:txbx>
                        <wps:bodyPr wrap="square" lIns="0" tIns="0" rIns="0" bIns="0" rtlCol="0">
                          <a:noAutofit/>
                        </wps:bodyPr>
                      </wps:wsp>
                      <wps:wsp>
                        <wps:cNvPr id="13" name="Textbox 13"/>
                        <wps:cNvSpPr txBox="1"/>
                        <wps:spPr>
                          <a:xfrm>
                            <a:off x="92964" y="0"/>
                            <a:ext cx="29845" cy="199390"/>
                          </a:xfrm>
                          <a:prstGeom prst="rect">
                            <a:avLst/>
                          </a:prstGeom>
                        </wps:spPr>
                        <wps:txbx>
                          <w:txbxContent>
                            <w:p>
                              <w:pPr>
                                <w:spacing w:line="313" w:lineRule="exact" w:before="0"/>
                                <w:ind w:left="0" w:right="0" w:firstLine="0"/>
                                <w:jc w:val="left"/>
                                <w:rPr>
                                  <w:rFonts w:ascii="Microsoft Sans Serif"/>
                                  <w:sz w:val="28"/>
                                </w:rPr>
                              </w:pPr>
                              <w:r>
                                <w:rPr>
                                  <w:rFonts w:ascii="Microsoft Sans Serif"/>
                                  <w:spacing w:val="-171"/>
                                  <w:sz w:val="28"/>
                                </w:rPr>
                                <w:t>K</w:t>
                              </w:r>
                            </w:p>
                          </w:txbxContent>
                        </wps:txbx>
                        <wps:bodyPr wrap="square" lIns="0" tIns="0" rIns="0" bIns="0" rtlCol="0">
                          <a:noAutofit/>
                        </wps:bodyPr>
                      </wps:wsp>
                      <wps:wsp>
                        <wps:cNvPr id="14" name="Textbox 14"/>
                        <wps:cNvSpPr txBox="1"/>
                        <wps:spPr>
                          <a:xfrm>
                            <a:off x="187452" y="174059"/>
                            <a:ext cx="283210" cy="113664"/>
                          </a:xfrm>
                          <a:prstGeom prst="rect">
                            <a:avLst/>
                          </a:prstGeom>
                        </wps:spPr>
                        <wps:txbx>
                          <w:txbxContent>
                            <w:p>
                              <w:pPr>
                                <w:spacing w:line="178" w:lineRule="exact" w:before="0"/>
                                <w:ind w:left="0" w:right="0" w:firstLine="0"/>
                                <w:jc w:val="left"/>
                                <w:rPr>
                                  <w:sz w:val="16"/>
                                </w:rPr>
                              </w:pPr>
                              <w:r>
                                <w:rPr>
                                  <w:spacing w:val="-2"/>
                                  <w:sz w:val="16"/>
                                </w:rPr>
                                <w:t>(sTfR)</w:t>
                              </w:r>
                            </w:p>
                          </w:txbxContent>
                        </wps:txbx>
                        <wps:bodyPr wrap="square" lIns="0" tIns="0" rIns="0" bIns="0" rtlCol="0">
                          <a:noAutofit/>
                        </wps:bodyPr>
                      </wps:wsp>
                      <wps:wsp>
                        <wps:cNvPr id="15" name="Textbox 15"/>
                        <wps:cNvSpPr txBox="1"/>
                        <wps:spPr>
                          <a:xfrm>
                            <a:off x="211836" y="83852"/>
                            <a:ext cx="76835" cy="128270"/>
                          </a:xfrm>
                          <a:prstGeom prst="rect">
                            <a:avLst/>
                          </a:prstGeom>
                        </wps:spPr>
                        <wps:txbx>
                          <w:txbxContent>
                            <w:p>
                              <w:pPr>
                                <w:spacing w:line="201" w:lineRule="exact" w:before="0"/>
                                <w:ind w:left="0" w:right="0" w:firstLine="0"/>
                                <w:jc w:val="left"/>
                                <w:rPr>
                                  <w:rFonts w:ascii="Microsoft Sans Serif"/>
                                  <w:sz w:val="18"/>
                                </w:rPr>
                              </w:pPr>
                              <w:r>
                                <w:rPr>
                                  <w:rFonts w:ascii="Microsoft Sans Serif"/>
                                  <w:spacing w:val="-10"/>
                                  <w:sz w:val="18"/>
                                </w:rPr>
                                <w:t>a</w:t>
                              </w:r>
                            </w:p>
                          </w:txbxContent>
                        </wps:txbx>
                        <wps:bodyPr wrap="square" lIns="0" tIns="0" rIns="0" bIns="0" rtlCol="0">
                          <a:noAutofit/>
                        </wps:bodyPr>
                      </wps:wsp>
                    </wpg:wgp>
                  </a:graphicData>
                </a:graphic>
              </wp:anchor>
            </w:drawing>
          </mc:Choice>
          <mc:Fallback>
            <w:pict>
              <v:group style="position:absolute;margin-left:215.929993pt;margin-top:19.543402pt;width:37.050pt;height:22.65pt;mso-position-horizontal-relative:page;mso-position-vertical-relative:paragraph;z-index:15730688" id="docshapegroup5" coordorigin="4319,391" coordsize="741,453">
                <v:shape style="position:absolute;left:5032;top:761;width:15;height:15" id="docshape6" coordorigin="5032,761" coordsize="15,15" path="m5032,769l5035,763,5040,761,5045,763,5047,769,5045,774,5040,776,5035,774,5032,769xe" filled="true" fillcolor="#000000" stroked="false">
                  <v:path arrowok="t"/>
                  <v:fill type="solid"/>
                </v:shape>
                <v:shape style="position:absolute;left:4320;top:588;width:720;height:180" id="docshape7" coordorigin="4320,589" coordsize="720,180" path="m4320,769l5040,769m5040,769l4860,589e" filled="false" stroked="true" strokeweight="1pt" strokecolor="#000000">
                  <v:path arrowok="t"/>
                  <v:stroke dashstyle="solid"/>
                </v:shape>
                <v:shape style="position:absolute;left:4318;top:563;width:313;height:266" type="#_x0000_t202" id="docshape8" filled="false" stroked="false">
                  <v:textbox inset="0,0,0,0">
                    <w:txbxContent>
                      <w:p>
                        <w:pPr>
                          <w:spacing w:line="266" w:lineRule="exact" w:before="0"/>
                          <w:ind w:left="0" w:right="0" w:firstLine="0"/>
                          <w:jc w:val="left"/>
                          <w:rPr>
                            <w:sz w:val="24"/>
                          </w:rPr>
                        </w:pPr>
                        <w:r>
                          <w:rPr>
                            <w:spacing w:val="-5"/>
                            <w:sz w:val="24"/>
                          </w:rPr>
                          <w:t>Ag</w:t>
                        </w:r>
                      </w:p>
                    </w:txbxContent>
                  </v:textbox>
                  <w10:wrap type="none"/>
                </v:shape>
                <v:shape style="position:absolute;left:4465;top:390;width:47;height:314" type="#_x0000_t202" id="docshape9" filled="false" stroked="false">
                  <v:textbox inset="0,0,0,0">
                    <w:txbxContent>
                      <w:p>
                        <w:pPr>
                          <w:spacing w:line="313" w:lineRule="exact" w:before="0"/>
                          <w:ind w:left="0" w:right="0" w:firstLine="0"/>
                          <w:jc w:val="left"/>
                          <w:rPr>
                            <w:rFonts w:ascii="Microsoft Sans Serif"/>
                            <w:sz w:val="28"/>
                          </w:rPr>
                        </w:pPr>
                        <w:r>
                          <w:rPr>
                            <w:rFonts w:ascii="Microsoft Sans Serif"/>
                            <w:spacing w:val="-171"/>
                            <w:sz w:val="28"/>
                          </w:rPr>
                          <w:t>K</w:t>
                        </w:r>
                      </w:p>
                    </w:txbxContent>
                  </v:textbox>
                  <w10:wrap type="none"/>
                </v:shape>
                <v:shape style="position:absolute;left:4613;top:664;width:446;height:179" type="#_x0000_t202" id="docshape10" filled="false" stroked="false">
                  <v:textbox inset="0,0,0,0">
                    <w:txbxContent>
                      <w:p>
                        <w:pPr>
                          <w:spacing w:line="178" w:lineRule="exact" w:before="0"/>
                          <w:ind w:left="0" w:right="0" w:firstLine="0"/>
                          <w:jc w:val="left"/>
                          <w:rPr>
                            <w:sz w:val="16"/>
                          </w:rPr>
                        </w:pPr>
                        <w:r>
                          <w:rPr>
                            <w:spacing w:val="-2"/>
                            <w:sz w:val="16"/>
                          </w:rPr>
                          <w:t>(sTfR)</w:t>
                        </w:r>
                      </w:p>
                    </w:txbxContent>
                  </v:textbox>
                  <w10:wrap type="none"/>
                </v:shape>
                <v:shape style="position:absolute;left:4652;top:522;width:121;height:202" type="#_x0000_t202" id="docshape11" filled="false" stroked="false">
                  <v:textbox inset="0,0,0,0">
                    <w:txbxContent>
                      <w:p>
                        <w:pPr>
                          <w:spacing w:line="201" w:lineRule="exact" w:before="0"/>
                          <w:ind w:left="0" w:right="0" w:firstLine="0"/>
                          <w:jc w:val="left"/>
                          <w:rPr>
                            <w:rFonts w:ascii="Microsoft Sans Serif"/>
                            <w:sz w:val="18"/>
                          </w:rPr>
                        </w:pPr>
                        <w:r>
                          <w:rPr>
                            <w:rFonts w:ascii="Microsoft Sans Serif"/>
                            <w:spacing w:val="-10"/>
                            <w:sz w:val="18"/>
                          </w:rPr>
                          <w:t>a</w:t>
                        </w:r>
                      </w:p>
                    </w:txbxContent>
                  </v:textbox>
                  <w10:wrap type="none"/>
                </v:shape>
                <w10:wrap type="none"/>
              </v:group>
            </w:pict>
          </mc:Fallback>
        </mc:AlternateContent>
      </w:r>
      <w:r>
        <w:rPr/>
        <w:t>The</w:t>
      </w:r>
      <w:r>
        <w:rPr>
          <w:spacing w:val="-3"/>
        </w:rPr>
        <w:t> </w:t>
      </w:r>
      <w:r>
        <w:rPr/>
        <w:t>interaction is</w:t>
      </w:r>
      <w:r>
        <w:rPr>
          <w:spacing w:val="-1"/>
        </w:rPr>
        <w:t> </w:t>
      </w:r>
      <w:r>
        <w:rPr/>
        <w:t>illustrated</w:t>
      </w:r>
      <w:r>
        <w:rPr>
          <w:spacing w:val="-1"/>
        </w:rPr>
        <w:t> </w:t>
      </w:r>
      <w:r>
        <w:rPr/>
        <w:t>by</w:t>
      </w:r>
      <w:r>
        <w:rPr>
          <w:spacing w:val="-5"/>
        </w:rPr>
        <w:t> </w:t>
      </w:r>
      <w:r>
        <w:rPr/>
        <w:t>the</w:t>
      </w:r>
      <w:r>
        <w:rPr>
          <w:spacing w:val="1"/>
        </w:rPr>
        <w:t> </w:t>
      </w:r>
      <w:r>
        <w:rPr>
          <w:spacing w:val="-2"/>
        </w:rPr>
        <w:t>following</w:t>
      </w:r>
    </w:p>
    <w:p>
      <w:pPr>
        <w:pStyle w:val="BodyText"/>
        <w:spacing w:before="8"/>
        <w:rPr>
          <w:sz w:val="12"/>
        </w:rPr>
      </w:pPr>
    </w:p>
    <w:p>
      <w:pPr>
        <w:spacing w:after="0"/>
        <w:rPr>
          <w:sz w:val="12"/>
        </w:rPr>
        <w:sectPr>
          <w:pgSz w:w="11910" w:h="16840"/>
          <w:pgMar w:header="0" w:footer="1067" w:top="1060" w:bottom="1260" w:left="880" w:right="640"/>
        </w:sectPr>
      </w:pPr>
    </w:p>
    <w:p>
      <w:pPr>
        <w:spacing w:before="131"/>
        <w:ind w:left="1280" w:right="0" w:firstLine="0"/>
        <w:jc w:val="left"/>
        <w:rPr>
          <w:sz w:val="16"/>
        </w:rPr>
      </w:pPr>
      <w:r>
        <w:rPr>
          <w:position w:val="3"/>
          <w:sz w:val="24"/>
        </w:rPr>
        <w:t>Ag</w:t>
      </w:r>
      <w:r>
        <w:rPr>
          <w:sz w:val="16"/>
        </w:rPr>
        <w:t>(sTfR)</w:t>
      </w:r>
      <w:r>
        <w:rPr>
          <w:spacing w:val="13"/>
          <w:sz w:val="16"/>
        </w:rPr>
        <w:t> </w:t>
      </w:r>
      <w:r>
        <w:rPr>
          <w:position w:val="3"/>
          <w:sz w:val="24"/>
        </w:rPr>
        <w:t>+</w:t>
      </w:r>
      <w:r>
        <w:rPr>
          <w:spacing w:val="-2"/>
          <w:position w:val="3"/>
          <w:sz w:val="24"/>
        </w:rPr>
        <w:t> Ab</w:t>
      </w:r>
      <w:r>
        <w:rPr>
          <w:spacing w:val="-2"/>
          <w:sz w:val="16"/>
        </w:rPr>
        <w:t>(m)</w:t>
      </w:r>
    </w:p>
    <w:p>
      <w:pPr>
        <w:spacing w:before="94"/>
        <w:ind w:left="1280" w:right="0" w:firstLine="0"/>
        <w:jc w:val="left"/>
        <w:rPr>
          <w:sz w:val="16"/>
        </w:rPr>
      </w:pPr>
      <w:r>
        <w:rPr/>
        <w:br w:type="column"/>
      </w:r>
      <w:r>
        <w:rPr>
          <w:position w:val="-10"/>
          <w:sz w:val="24"/>
        </w:rPr>
        <w:t>– </w:t>
      </w:r>
      <w:r>
        <w:rPr>
          <w:spacing w:val="-2"/>
          <w:sz w:val="16"/>
        </w:rPr>
        <w:t>Btn</w:t>
      </w:r>
      <w:r>
        <w:rPr>
          <w:spacing w:val="-2"/>
          <w:position w:val="-10"/>
          <w:sz w:val="24"/>
        </w:rPr>
        <w:t>Ab</w:t>
      </w:r>
      <w:r>
        <w:rPr>
          <w:spacing w:val="-2"/>
          <w:position w:val="-13"/>
          <w:sz w:val="16"/>
        </w:rPr>
        <w:t>(m)</w:t>
      </w:r>
    </w:p>
    <w:p>
      <w:pPr>
        <w:spacing w:after="0"/>
        <w:jc w:val="left"/>
        <w:rPr>
          <w:sz w:val="16"/>
        </w:rPr>
        <w:sectPr>
          <w:type w:val="continuous"/>
          <w:pgSz w:w="11910" w:h="16840"/>
          <w:pgMar w:header="0" w:footer="1067" w:top="1060" w:bottom="1260" w:left="880" w:right="640"/>
          <w:cols w:num="2" w:equalWidth="0">
            <w:col w:w="2819" w:space="119"/>
            <w:col w:w="7452"/>
          </w:cols>
        </w:sectPr>
      </w:pPr>
    </w:p>
    <w:p>
      <w:pPr>
        <w:pStyle w:val="BodyText"/>
        <w:spacing w:before="2"/>
        <w:rPr>
          <w:sz w:val="5"/>
        </w:rPr>
      </w:pPr>
    </w:p>
    <w:p>
      <w:pPr>
        <w:pStyle w:val="BodyText"/>
        <w:ind w:left="3478"/>
        <w:rPr>
          <w:sz w:val="20"/>
        </w:rPr>
      </w:pPr>
      <w:r>
        <w:rPr>
          <w:sz w:val="20"/>
        </w:rPr>
        <mc:AlternateContent>
          <mc:Choice Requires="wps">
            <w:drawing>
              <wp:inline distT="0" distB="0" distL="0" distR="0">
                <wp:extent cx="463550" cy="229870"/>
                <wp:effectExtent l="9525" t="0" r="12700" b="8254"/>
                <wp:docPr id="16" name="Group 16"/>
                <wp:cNvGraphicFramePr>
                  <a:graphicFrameLocks/>
                </wp:cNvGraphicFramePr>
                <a:graphic>
                  <a:graphicData uri="http://schemas.microsoft.com/office/word/2010/wordprocessingGroup">
                    <wpg:wgp>
                      <wpg:cNvPr id="16" name="Group 16"/>
                      <wpg:cNvGrpSpPr/>
                      <wpg:grpSpPr>
                        <a:xfrm>
                          <a:off x="0" y="0"/>
                          <a:ext cx="463550" cy="229870"/>
                          <a:chExt cx="463550" cy="229870"/>
                        </a:xfrm>
                      </wpg:grpSpPr>
                      <wps:wsp>
                        <wps:cNvPr id="17" name="Graphic 17"/>
                        <wps:cNvSpPr/>
                        <wps:spPr>
                          <a:xfrm>
                            <a:off x="6350" y="6350"/>
                            <a:ext cx="457200" cy="114300"/>
                          </a:xfrm>
                          <a:custGeom>
                            <a:avLst/>
                            <a:gdLst/>
                            <a:ahLst/>
                            <a:cxnLst/>
                            <a:rect l="l" t="t" r="r" b="b"/>
                            <a:pathLst>
                              <a:path w="457200" h="114300">
                                <a:moveTo>
                                  <a:pt x="457200" y="0"/>
                                </a:moveTo>
                                <a:lnTo>
                                  <a:pt x="0" y="0"/>
                                </a:lnTo>
                              </a:path>
                              <a:path w="457200" h="114300">
                                <a:moveTo>
                                  <a:pt x="0" y="0"/>
                                </a:moveTo>
                                <a:lnTo>
                                  <a:pt x="114300" y="114300"/>
                                </a:lnTo>
                              </a:path>
                            </a:pathLst>
                          </a:custGeom>
                          <a:ln w="12700">
                            <a:solidFill>
                              <a:srgbClr val="000000"/>
                            </a:solidFill>
                            <a:prstDash val="solid"/>
                          </a:ln>
                        </wps:spPr>
                        <wps:bodyPr wrap="square" lIns="0" tIns="0" rIns="0" bIns="0" rtlCol="0">
                          <a:prstTxWarp prst="textNoShape">
                            <a:avLst/>
                          </a:prstTxWarp>
                          <a:noAutofit/>
                        </wps:bodyPr>
                      </wps:wsp>
                      <wps:wsp>
                        <wps:cNvPr id="18" name="Textbox 18"/>
                        <wps:cNvSpPr txBox="1"/>
                        <wps:spPr>
                          <a:xfrm>
                            <a:off x="0" y="0"/>
                            <a:ext cx="463550" cy="229870"/>
                          </a:xfrm>
                          <a:prstGeom prst="rect">
                            <a:avLst/>
                          </a:prstGeom>
                        </wps:spPr>
                        <wps:txbx>
                          <w:txbxContent>
                            <w:p>
                              <w:pPr>
                                <w:spacing w:before="25"/>
                                <w:ind w:left="263" w:right="0" w:firstLine="0"/>
                                <w:jc w:val="left"/>
                                <w:rPr>
                                  <w:rFonts w:ascii="Microsoft Sans Serif"/>
                                  <w:sz w:val="18"/>
                                </w:rPr>
                              </w:pPr>
                              <w:r>
                                <w:rPr>
                                  <w:rFonts w:ascii="Microsoft Sans Serif"/>
                                  <w:position w:val="4"/>
                                  <w:sz w:val="28"/>
                                </w:rPr>
                                <w:t>K</w:t>
                              </w:r>
                              <w:r>
                                <w:rPr>
                                  <w:rFonts w:ascii="Microsoft Sans Serif"/>
                                  <w:spacing w:val="4"/>
                                  <w:position w:val="4"/>
                                  <w:sz w:val="28"/>
                                </w:rPr>
                                <w:t> </w:t>
                              </w:r>
                              <w:r>
                                <w:rPr>
                                  <w:rFonts w:ascii="Microsoft Sans Serif"/>
                                  <w:sz w:val="18"/>
                                </w:rPr>
                                <w:t>-</w:t>
                              </w:r>
                              <w:r>
                                <w:rPr>
                                  <w:rFonts w:ascii="Microsoft Sans Serif"/>
                                  <w:spacing w:val="-10"/>
                                  <w:sz w:val="18"/>
                                </w:rPr>
                                <w:t>a</w:t>
                              </w:r>
                            </w:p>
                          </w:txbxContent>
                        </wps:txbx>
                        <wps:bodyPr wrap="square" lIns="0" tIns="0" rIns="0" bIns="0" rtlCol="0">
                          <a:noAutofit/>
                        </wps:bodyPr>
                      </wps:wsp>
                    </wpg:wgp>
                  </a:graphicData>
                </a:graphic>
              </wp:inline>
            </w:drawing>
          </mc:Choice>
          <mc:Fallback>
            <w:pict>
              <v:group style="width:36.5pt;height:18.1pt;mso-position-horizontal-relative:char;mso-position-vertical-relative:line" id="docshapegroup12" coordorigin="0,0" coordsize="730,362">
                <v:shape style="position:absolute;left:10;top:10;width:720;height:180" id="docshape13" coordorigin="10,10" coordsize="720,180" path="m730,10l10,10m10,10l190,190e" filled="false" stroked="true" strokeweight="1pt" strokecolor="#000000">
                  <v:path arrowok="t"/>
                  <v:stroke dashstyle="solid"/>
                </v:shape>
                <v:shape style="position:absolute;left:0;top:0;width:730;height:362" type="#_x0000_t202" id="docshape14" filled="false" stroked="false">
                  <v:textbox inset="0,0,0,0">
                    <w:txbxContent>
                      <w:p>
                        <w:pPr>
                          <w:spacing w:before="25"/>
                          <w:ind w:left="263" w:right="0" w:firstLine="0"/>
                          <w:jc w:val="left"/>
                          <w:rPr>
                            <w:rFonts w:ascii="Microsoft Sans Serif"/>
                            <w:sz w:val="18"/>
                          </w:rPr>
                        </w:pPr>
                        <w:r>
                          <w:rPr>
                            <w:rFonts w:ascii="Microsoft Sans Serif"/>
                            <w:position w:val="4"/>
                            <w:sz w:val="28"/>
                          </w:rPr>
                          <w:t>K</w:t>
                        </w:r>
                        <w:r>
                          <w:rPr>
                            <w:rFonts w:ascii="Microsoft Sans Serif"/>
                            <w:spacing w:val="4"/>
                            <w:position w:val="4"/>
                            <w:sz w:val="28"/>
                          </w:rPr>
                          <w:t> </w:t>
                        </w:r>
                        <w:r>
                          <w:rPr>
                            <w:rFonts w:ascii="Microsoft Sans Serif"/>
                            <w:sz w:val="18"/>
                          </w:rPr>
                          <w:t>-</w:t>
                        </w:r>
                        <w:r>
                          <w:rPr>
                            <w:rFonts w:ascii="Microsoft Sans Serif"/>
                            <w:spacing w:val="-10"/>
                            <w:sz w:val="18"/>
                          </w:rPr>
                          <w:t>a</w:t>
                        </w:r>
                      </w:p>
                    </w:txbxContent>
                  </v:textbox>
                  <w10:wrap type="none"/>
                </v:shape>
              </v:group>
            </w:pict>
          </mc:Fallback>
        </mc:AlternateContent>
      </w:r>
      <w:r>
        <w:rPr>
          <w:sz w:val="20"/>
        </w:rPr>
      </w:r>
    </w:p>
    <w:p>
      <w:pPr>
        <w:pStyle w:val="BodyText"/>
        <w:spacing w:before="91"/>
        <w:ind w:left="560"/>
      </w:pPr>
      <w:r>
        <w:rPr>
          <w:spacing w:val="-2"/>
        </w:rPr>
        <w:t>where,</w:t>
      </w:r>
    </w:p>
    <w:p>
      <w:pPr>
        <w:pStyle w:val="BodyText"/>
        <w:spacing w:line="360" w:lineRule="auto" w:before="137"/>
        <w:ind w:left="560" w:right="3345"/>
      </w:pPr>
      <w:r>
        <w:rPr>
          <w:vertAlign w:val="superscript"/>
        </w:rPr>
        <w:t>Btn</w:t>
      </w:r>
      <w:r>
        <w:rPr>
          <w:vertAlign w:val="baseline"/>
        </w:rPr>
        <w:t>Ab</w:t>
      </w:r>
      <w:r>
        <w:rPr>
          <w:vertAlign w:val="subscript"/>
        </w:rPr>
        <w:t>(m)</w:t>
      </w:r>
      <w:r>
        <w:rPr>
          <w:spacing w:val="-8"/>
          <w:vertAlign w:val="baseline"/>
        </w:rPr>
        <w:t> </w:t>
      </w:r>
      <w:r>
        <w:rPr>
          <w:vertAlign w:val="baseline"/>
        </w:rPr>
        <w:t>=</w:t>
      </w:r>
      <w:r>
        <w:rPr>
          <w:spacing w:val="-7"/>
          <w:vertAlign w:val="baseline"/>
        </w:rPr>
        <w:t> </w:t>
      </w:r>
      <w:r>
        <w:rPr>
          <w:vertAlign w:val="baseline"/>
        </w:rPr>
        <w:t>Biotinylated</w:t>
      </w:r>
      <w:r>
        <w:rPr>
          <w:spacing w:val="-4"/>
          <w:vertAlign w:val="baseline"/>
        </w:rPr>
        <w:t> </w:t>
      </w:r>
      <w:r>
        <w:rPr>
          <w:vertAlign w:val="baseline"/>
        </w:rPr>
        <w:t>Monoclonal</w:t>
      </w:r>
      <w:r>
        <w:rPr>
          <w:spacing w:val="-6"/>
          <w:vertAlign w:val="baseline"/>
        </w:rPr>
        <w:t> </w:t>
      </w:r>
      <w:r>
        <w:rPr>
          <w:vertAlign w:val="baseline"/>
        </w:rPr>
        <w:t>Antibody</w:t>
      </w:r>
      <w:r>
        <w:rPr>
          <w:spacing w:val="-11"/>
          <w:vertAlign w:val="baseline"/>
        </w:rPr>
        <w:t> </w:t>
      </w:r>
      <w:r>
        <w:rPr>
          <w:vertAlign w:val="baseline"/>
        </w:rPr>
        <w:t>(Excess</w:t>
      </w:r>
      <w:r>
        <w:rPr>
          <w:spacing w:val="-6"/>
          <w:vertAlign w:val="baseline"/>
        </w:rPr>
        <w:t> </w:t>
      </w:r>
      <w:r>
        <w:rPr>
          <w:vertAlign w:val="baseline"/>
        </w:rPr>
        <w:t>Quantity) Ag</w:t>
      </w:r>
      <w:r>
        <w:rPr>
          <w:vertAlign w:val="subscript"/>
        </w:rPr>
        <w:t>(sTfR)</w:t>
      </w:r>
      <w:r>
        <w:rPr>
          <w:vertAlign w:val="baseline"/>
        </w:rPr>
        <w:t> = Native Antigen (Variable Quantity)</w:t>
      </w:r>
    </w:p>
    <w:p>
      <w:pPr>
        <w:pStyle w:val="BodyText"/>
        <w:spacing w:line="360" w:lineRule="auto"/>
        <w:ind w:left="560" w:right="3345"/>
      </w:pPr>
      <w:r>
        <w:rPr/>
        <w:t>Ag</w:t>
      </w:r>
      <w:r>
        <w:rPr>
          <w:vertAlign w:val="subscript"/>
        </w:rPr>
        <w:t>(sTfR)</w:t>
      </w:r>
      <w:r>
        <w:rPr>
          <w:spacing w:val="-6"/>
          <w:vertAlign w:val="baseline"/>
        </w:rPr>
        <w:t> </w:t>
      </w:r>
      <w:r>
        <w:rPr>
          <w:vertAlign w:val="baseline"/>
        </w:rPr>
        <w:t>–</w:t>
      </w:r>
      <w:r>
        <w:rPr>
          <w:spacing w:val="-5"/>
          <w:vertAlign w:val="baseline"/>
        </w:rPr>
        <w:t> </w:t>
      </w:r>
      <w:r>
        <w:rPr>
          <w:vertAlign w:val="superscript"/>
        </w:rPr>
        <w:t>Btn</w:t>
      </w:r>
      <w:r>
        <w:rPr>
          <w:vertAlign w:val="baseline"/>
        </w:rPr>
        <w:t>Ab</w:t>
      </w:r>
      <w:r>
        <w:rPr>
          <w:vertAlign w:val="subscript"/>
        </w:rPr>
        <w:t>(m)</w:t>
      </w:r>
      <w:r>
        <w:rPr>
          <w:spacing w:val="-6"/>
          <w:vertAlign w:val="baseline"/>
        </w:rPr>
        <w:t> </w:t>
      </w:r>
      <w:r>
        <w:rPr>
          <w:vertAlign w:val="baseline"/>
        </w:rPr>
        <w:t>=</w:t>
      </w:r>
      <w:r>
        <w:rPr>
          <w:spacing w:val="-6"/>
          <w:vertAlign w:val="baseline"/>
        </w:rPr>
        <w:t> </w:t>
      </w:r>
      <w:r>
        <w:rPr>
          <w:vertAlign w:val="baseline"/>
        </w:rPr>
        <w:t>Antigen-Antibody</w:t>
      </w:r>
      <w:r>
        <w:rPr>
          <w:spacing w:val="-10"/>
          <w:vertAlign w:val="baseline"/>
        </w:rPr>
        <w:t> </w:t>
      </w:r>
      <w:r>
        <w:rPr>
          <w:vertAlign w:val="baseline"/>
        </w:rPr>
        <w:t>complex</w:t>
      </w:r>
      <w:r>
        <w:rPr>
          <w:spacing w:val="-5"/>
          <w:vertAlign w:val="baseline"/>
        </w:rPr>
        <w:t> </w:t>
      </w:r>
      <w:r>
        <w:rPr>
          <w:vertAlign w:val="baseline"/>
        </w:rPr>
        <w:t>(Variable</w:t>
      </w:r>
      <w:r>
        <w:rPr>
          <w:spacing w:val="-5"/>
          <w:vertAlign w:val="baseline"/>
        </w:rPr>
        <w:t> </w:t>
      </w:r>
      <w:r>
        <w:rPr>
          <w:vertAlign w:val="baseline"/>
        </w:rPr>
        <w:t>Quan.) K</w:t>
      </w:r>
      <w:r>
        <w:rPr>
          <w:vertAlign w:val="subscript"/>
        </w:rPr>
        <w:t>a</w:t>
      </w:r>
      <w:r>
        <w:rPr>
          <w:vertAlign w:val="baseline"/>
        </w:rPr>
        <w:t> = Rate Constant of Association</w:t>
      </w:r>
    </w:p>
    <w:p>
      <w:pPr>
        <w:pStyle w:val="BodyText"/>
        <w:spacing w:before="1"/>
        <w:ind w:left="560"/>
      </w:pPr>
      <w:r>
        <w:rPr/>
        <w:t>K</w:t>
      </w:r>
      <w:r>
        <w:rPr>
          <w:spacing w:val="-1"/>
        </w:rPr>
        <w:t> </w:t>
      </w:r>
      <w:r>
        <w:rPr>
          <w:vertAlign w:val="subscript"/>
        </w:rPr>
        <w:t>–a</w:t>
      </w:r>
      <w:r>
        <w:rPr>
          <w:vertAlign w:val="baseline"/>
        </w:rPr>
        <w:t> =</w:t>
      </w:r>
      <w:r>
        <w:rPr>
          <w:spacing w:val="-1"/>
          <w:vertAlign w:val="baseline"/>
        </w:rPr>
        <w:t> </w:t>
      </w:r>
      <w:r>
        <w:rPr>
          <w:vertAlign w:val="baseline"/>
        </w:rPr>
        <w:t>Rate Constant of </w:t>
      </w:r>
      <w:r>
        <w:rPr>
          <w:spacing w:val="-2"/>
          <w:vertAlign w:val="baseline"/>
        </w:rPr>
        <w:t>Disassociation</w:t>
      </w:r>
    </w:p>
    <w:p>
      <w:pPr>
        <w:pStyle w:val="BodyText"/>
        <w:tabs>
          <w:tab w:pos="4873" w:val="left" w:leader="none"/>
        </w:tabs>
        <w:spacing w:line="480" w:lineRule="auto" w:before="136"/>
        <w:ind w:left="560" w:right="2958"/>
      </w:pPr>
      <w:r>
        <w:rPr/>
        <mc:AlternateContent>
          <mc:Choice Requires="wps">
            <w:drawing>
              <wp:anchor distT="0" distB="0" distL="0" distR="0" allowOverlap="1" layoutInCell="1" locked="0" behindDoc="1" simplePos="0" relativeHeight="484736000">
                <wp:simplePos x="0" y="0"/>
                <wp:positionH relativeFrom="page">
                  <wp:posOffset>3355975</wp:posOffset>
                </wp:positionH>
                <wp:positionV relativeFrom="paragraph">
                  <wp:posOffset>150955</wp:posOffset>
                </wp:positionV>
                <wp:extent cx="342900" cy="762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342900" cy="76200"/>
                        </a:xfrm>
                        <a:custGeom>
                          <a:avLst/>
                          <a:gdLst/>
                          <a:ahLst/>
                          <a:cxnLst/>
                          <a:rect l="l" t="t" r="r" b="b"/>
                          <a:pathLst>
                            <a:path w="342900" h="76200">
                              <a:moveTo>
                                <a:pt x="266700" y="0"/>
                              </a:moveTo>
                              <a:lnTo>
                                <a:pt x="266700" y="76200"/>
                              </a:lnTo>
                              <a:lnTo>
                                <a:pt x="330200" y="44450"/>
                              </a:lnTo>
                              <a:lnTo>
                                <a:pt x="279400" y="44450"/>
                              </a:lnTo>
                              <a:lnTo>
                                <a:pt x="279400" y="31750"/>
                              </a:lnTo>
                              <a:lnTo>
                                <a:pt x="330200" y="31750"/>
                              </a:lnTo>
                              <a:lnTo>
                                <a:pt x="266700" y="0"/>
                              </a:lnTo>
                              <a:close/>
                            </a:path>
                            <a:path w="342900" h="76200">
                              <a:moveTo>
                                <a:pt x="266700" y="31750"/>
                              </a:moveTo>
                              <a:lnTo>
                                <a:pt x="0" y="31750"/>
                              </a:lnTo>
                              <a:lnTo>
                                <a:pt x="0" y="44450"/>
                              </a:lnTo>
                              <a:lnTo>
                                <a:pt x="266700" y="44450"/>
                              </a:lnTo>
                              <a:lnTo>
                                <a:pt x="266700" y="31750"/>
                              </a:lnTo>
                              <a:close/>
                            </a:path>
                            <a:path w="342900" h="76200">
                              <a:moveTo>
                                <a:pt x="330200" y="31750"/>
                              </a:moveTo>
                              <a:lnTo>
                                <a:pt x="279400" y="31750"/>
                              </a:lnTo>
                              <a:lnTo>
                                <a:pt x="279400" y="44450"/>
                              </a:lnTo>
                              <a:lnTo>
                                <a:pt x="330200" y="44450"/>
                              </a:lnTo>
                              <a:lnTo>
                                <a:pt x="342900" y="38100"/>
                              </a:lnTo>
                              <a:lnTo>
                                <a:pt x="330200" y="317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64.25pt;margin-top:11.886223pt;width:27pt;height:6pt;mso-position-horizontal-relative:page;mso-position-vertical-relative:paragraph;z-index:-18580480" id="docshape15" coordorigin="5285,238" coordsize="540,120" path="m5705,238l5705,358,5805,308,5725,308,5725,288,5805,288,5705,238xm5705,288l5285,288,5285,308,5705,308,5705,288xm5805,288l5725,288,5725,308,5805,308,5825,298,5805,288xe" filled="true" fillcolor="#000000" stroked="false">
                <v:path arrowok="t"/>
                <v:fill type="solid"/>
                <w10:wrap type="none"/>
              </v:shape>
            </w:pict>
          </mc:Fallback>
        </mc:AlternateContent>
      </w:r>
      <w:r>
        <w:rPr/>
        <w:t>Ag</w:t>
      </w:r>
      <w:r>
        <w:rPr>
          <w:vertAlign w:val="subscript"/>
        </w:rPr>
        <w:t>(sTfR)</w:t>
      </w:r>
      <w:r>
        <w:rPr>
          <w:vertAlign w:val="baseline"/>
        </w:rPr>
        <w:t> –</w:t>
      </w:r>
      <w:r>
        <w:rPr>
          <w:vertAlign w:val="superscript"/>
        </w:rPr>
        <w:t>Btn</w:t>
      </w:r>
      <w:r>
        <w:rPr>
          <w:vertAlign w:val="baseline"/>
        </w:rPr>
        <w:t>Ab</w:t>
      </w:r>
      <w:r>
        <w:rPr>
          <w:vertAlign w:val="subscript"/>
        </w:rPr>
        <w:t>(m)</w:t>
      </w:r>
      <w:r>
        <w:rPr>
          <w:vertAlign w:val="baseline"/>
        </w:rPr>
        <w:t> + </w:t>
      </w:r>
      <w:r>
        <w:rPr>
          <w:u w:val="single"/>
          <w:vertAlign w:val="baseline"/>
        </w:rPr>
        <w:t>Streptavidin</w:t>
      </w:r>
      <w:r>
        <w:rPr>
          <w:vertAlign w:val="baseline"/>
        </w:rPr>
        <w:t> C.W.</w:t>
        <w:tab/>
      </w:r>
      <w:r>
        <w:rPr>
          <w:u w:val="single"/>
          <w:vertAlign w:val="baseline"/>
        </w:rPr>
        <w:t>immobilized</w:t>
      </w:r>
      <w:r>
        <w:rPr>
          <w:spacing w:val="-17"/>
          <w:u w:val="single"/>
          <w:vertAlign w:val="baseline"/>
        </w:rPr>
        <w:t> </w:t>
      </w:r>
      <w:r>
        <w:rPr>
          <w:u w:val="single"/>
          <w:vertAlign w:val="baseline"/>
        </w:rPr>
        <w:t>complex</w:t>
      </w:r>
      <w:r>
        <w:rPr>
          <w:spacing w:val="-15"/>
          <w:vertAlign w:val="baseline"/>
        </w:rPr>
        <w:t> </w:t>
      </w:r>
      <w:r>
        <w:rPr>
          <w:vertAlign w:val="baseline"/>
        </w:rPr>
        <w:t>(IC) </w:t>
      </w:r>
      <w:r>
        <w:rPr>
          <w:u w:val="single"/>
          <w:vertAlign w:val="baseline"/>
        </w:rPr>
        <w:t>Streptavidin</w:t>
      </w:r>
      <w:r>
        <w:rPr>
          <w:vertAlign w:val="baseline"/>
        </w:rPr>
        <w:t> C.W. = Streptavidin immobilized on well</w:t>
      </w:r>
    </w:p>
    <w:p>
      <w:pPr>
        <w:pStyle w:val="BodyText"/>
        <w:spacing w:before="1"/>
        <w:ind w:left="560"/>
      </w:pPr>
      <w:r>
        <w:rPr>
          <w:u w:val="single"/>
        </w:rPr>
        <w:t>Immobilized</w:t>
      </w:r>
      <w:r>
        <w:rPr>
          <w:spacing w:val="-1"/>
          <w:u w:val="single"/>
        </w:rPr>
        <w:t> </w:t>
      </w:r>
      <w:r>
        <w:rPr>
          <w:u w:val="single"/>
        </w:rPr>
        <w:t>complex</w:t>
      </w:r>
      <w:r>
        <w:rPr>
          <w:spacing w:val="-1"/>
          <w:u w:val="single"/>
        </w:rPr>
        <w:t> </w:t>
      </w:r>
      <w:r>
        <w:rPr>
          <w:u w:val="single"/>
        </w:rPr>
        <w:t>(IC)</w:t>
      </w:r>
      <w:r>
        <w:rPr/>
        <w:t> =</w:t>
      </w:r>
      <w:r>
        <w:rPr>
          <w:spacing w:val="-2"/>
        </w:rPr>
        <w:t> </w:t>
      </w:r>
      <w:r>
        <w:rPr/>
        <w:t>Ag-Ab</w:t>
      </w:r>
      <w:r>
        <w:rPr>
          <w:spacing w:val="-1"/>
        </w:rPr>
        <w:t> </w:t>
      </w:r>
      <w:r>
        <w:rPr/>
        <w:t>bound</w:t>
      </w:r>
      <w:r>
        <w:rPr>
          <w:spacing w:val="-1"/>
        </w:rPr>
        <w:t> </w:t>
      </w:r>
      <w:r>
        <w:rPr/>
        <w:t>to</w:t>
      </w:r>
      <w:r>
        <w:rPr>
          <w:spacing w:val="-1"/>
        </w:rPr>
        <w:t> </w:t>
      </w:r>
      <w:r>
        <w:rPr/>
        <w:t>the</w:t>
      </w:r>
      <w:r>
        <w:rPr>
          <w:spacing w:val="1"/>
        </w:rPr>
        <w:t> </w:t>
      </w:r>
      <w:r>
        <w:rPr>
          <w:spacing w:val="-4"/>
        </w:rPr>
        <w:t>well</w:t>
      </w:r>
    </w:p>
    <w:p>
      <w:pPr>
        <w:pStyle w:val="BodyText"/>
      </w:pPr>
    </w:p>
    <w:p>
      <w:pPr>
        <w:pStyle w:val="BodyText"/>
        <w:spacing w:line="480" w:lineRule="auto"/>
        <w:ind w:left="560" w:right="795"/>
      </w:pPr>
      <w:r>
        <w:rPr/>
        <w:t>After</w:t>
      </w:r>
      <w:r>
        <w:rPr>
          <w:spacing w:val="40"/>
        </w:rPr>
        <w:t> </w:t>
      </w:r>
      <w:r>
        <w:rPr/>
        <w:t>a</w:t>
      </w:r>
      <w:r>
        <w:rPr>
          <w:spacing w:val="40"/>
        </w:rPr>
        <w:t> </w:t>
      </w:r>
      <w:r>
        <w:rPr/>
        <w:t>suitable</w:t>
      </w:r>
      <w:r>
        <w:rPr>
          <w:spacing w:val="40"/>
        </w:rPr>
        <w:t> </w:t>
      </w:r>
      <w:r>
        <w:rPr/>
        <w:t>incubation</w:t>
      </w:r>
      <w:r>
        <w:rPr>
          <w:spacing w:val="40"/>
        </w:rPr>
        <w:t> </w:t>
      </w:r>
      <w:r>
        <w:rPr/>
        <w:t>period,</w:t>
      </w:r>
      <w:r>
        <w:rPr>
          <w:spacing w:val="40"/>
        </w:rPr>
        <w:t> </w:t>
      </w:r>
      <w:r>
        <w:rPr/>
        <w:t>the</w:t>
      </w:r>
      <w:r>
        <w:rPr>
          <w:spacing w:val="40"/>
        </w:rPr>
        <w:t> </w:t>
      </w:r>
      <w:r>
        <w:rPr/>
        <w:t>antibody-antigen</w:t>
      </w:r>
      <w:r>
        <w:rPr>
          <w:spacing w:val="40"/>
        </w:rPr>
        <w:t> </w:t>
      </w:r>
      <w:r>
        <w:rPr/>
        <w:t>bound</w:t>
      </w:r>
      <w:r>
        <w:rPr>
          <w:spacing w:val="40"/>
        </w:rPr>
        <w:t> </w:t>
      </w:r>
      <w:r>
        <w:rPr/>
        <w:t>fraction</w:t>
      </w:r>
      <w:r>
        <w:rPr>
          <w:spacing w:val="40"/>
        </w:rPr>
        <w:t> </w:t>
      </w:r>
      <w:r>
        <w:rPr/>
        <w:t>is</w:t>
      </w:r>
      <w:r>
        <w:rPr>
          <w:spacing w:val="40"/>
        </w:rPr>
        <w:t> </w:t>
      </w:r>
      <w:r>
        <w:rPr/>
        <w:t>separated</w:t>
      </w:r>
      <w:r>
        <w:rPr>
          <w:spacing w:val="40"/>
        </w:rPr>
        <w:t> </w:t>
      </w:r>
      <w:r>
        <w:rPr/>
        <w:t>from unbound</w:t>
      </w:r>
      <w:r>
        <w:rPr>
          <w:spacing w:val="28"/>
        </w:rPr>
        <w:t> </w:t>
      </w:r>
      <w:r>
        <w:rPr/>
        <w:t>antigen</w:t>
      </w:r>
      <w:r>
        <w:rPr>
          <w:spacing w:val="30"/>
        </w:rPr>
        <w:t> </w:t>
      </w:r>
      <w:r>
        <w:rPr/>
        <w:t>by</w:t>
      </w:r>
      <w:r>
        <w:rPr>
          <w:spacing w:val="26"/>
        </w:rPr>
        <w:t> </w:t>
      </w:r>
      <w:r>
        <w:rPr/>
        <w:t>decantation.</w:t>
      </w:r>
      <w:r>
        <w:rPr>
          <w:spacing w:val="34"/>
        </w:rPr>
        <w:t> </w:t>
      </w:r>
      <w:r>
        <w:rPr/>
        <w:t>Another</w:t>
      </w:r>
      <w:r>
        <w:rPr>
          <w:spacing w:val="32"/>
        </w:rPr>
        <w:t> </w:t>
      </w:r>
      <w:r>
        <w:rPr/>
        <w:t>antibody</w:t>
      </w:r>
      <w:r>
        <w:rPr>
          <w:spacing w:val="29"/>
        </w:rPr>
        <w:t> </w:t>
      </w:r>
      <w:r>
        <w:rPr/>
        <w:t>(directed</w:t>
      </w:r>
      <w:r>
        <w:rPr>
          <w:spacing w:val="33"/>
        </w:rPr>
        <w:t> </w:t>
      </w:r>
      <w:r>
        <w:rPr/>
        <w:t>at</w:t>
      </w:r>
      <w:r>
        <w:rPr>
          <w:spacing w:val="33"/>
        </w:rPr>
        <w:t> </w:t>
      </w:r>
      <w:r>
        <w:rPr/>
        <w:t>a</w:t>
      </w:r>
      <w:r>
        <w:rPr>
          <w:spacing w:val="30"/>
        </w:rPr>
        <w:t> </w:t>
      </w:r>
      <w:r>
        <w:rPr/>
        <w:t>different</w:t>
      </w:r>
      <w:r>
        <w:rPr>
          <w:spacing w:val="31"/>
        </w:rPr>
        <w:t> </w:t>
      </w:r>
      <w:r>
        <w:rPr/>
        <w:t>epitope)</w:t>
      </w:r>
      <w:r>
        <w:rPr>
          <w:spacing w:val="31"/>
        </w:rPr>
        <w:t> </w:t>
      </w:r>
      <w:r>
        <w:rPr>
          <w:spacing w:val="-2"/>
        </w:rPr>
        <w:t>labeled</w:t>
      </w:r>
    </w:p>
    <w:p>
      <w:pPr>
        <w:spacing w:after="0" w:line="480" w:lineRule="auto"/>
        <w:sectPr>
          <w:type w:val="continuous"/>
          <w:pgSz w:w="11910" w:h="16840"/>
          <w:pgMar w:header="0" w:footer="1067" w:top="1060" w:bottom="1260" w:left="880" w:right="640"/>
        </w:sectPr>
      </w:pPr>
    </w:p>
    <w:p>
      <w:pPr>
        <w:pStyle w:val="BodyText"/>
        <w:spacing w:line="480" w:lineRule="auto" w:before="70"/>
        <w:ind w:left="560" w:right="797"/>
        <w:jc w:val="both"/>
      </w:pPr>
      <w:r>
        <w:rPr/>
        <w:t>with an enzyme is added. An interaction occurs to form an enzyme antibody-antigen- Biotinylated-antibody</w:t>
      </w:r>
      <w:r>
        <w:rPr>
          <w:spacing w:val="-6"/>
        </w:rPr>
        <w:t> </w:t>
      </w:r>
      <w:r>
        <w:rPr/>
        <w:t>complex</w:t>
      </w:r>
      <w:r>
        <w:rPr>
          <w:spacing w:val="-1"/>
        </w:rPr>
        <w:t> </w:t>
      </w:r>
      <w:r>
        <w:rPr/>
        <w:t>in</w:t>
      </w:r>
      <w:r>
        <w:rPr>
          <w:spacing w:val="-1"/>
        </w:rPr>
        <w:t> </w:t>
      </w:r>
      <w:r>
        <w:rPr/>
        <w:t>the</w:t>
      </w:r>
      <w:r>
        <w:rPr>
          <w:spacing w:val="-2"/>
        </w:rPr>
        <w:t> </w:t>
      </w:r>
      <w:r>
        <w:rPr/>
        <w:t>wells.</w:t>
      </w:r>
      <w:r>
        <w:rPr>
          <w:spacing w:val="-1"/>
        </w:rPr>
        <w:t> </w:t>
      </w:r>
      <w:r>
        <w:rPr/>
        <w:t>Excess</w:t>
      </w:r>
      <w:r>
        <w:rPr>
          <w:spacing w:val="-1"/>
        </w:rPr>
        <w:t> </w:t>
      </w:r>
      <w:r>
        <w:rPr/>
        <w:t>enzyme</w:t>
      </w:r>
      <w:r>
        <w:rPr>
          <w:spacing w:val="-2"/>
        </w:rPr>
        <w:t> </w:t>
      </w:r>
      <w:r>
        <w:rPr/>
        <w:t>is</w:t>
      </w:r>
      <w:r>
        <w:rPr>
          <w:spacing w:val="-1"/>
        </w:rPr>
        <w:t> </w:t>
      </w:r>
      <w:r>
        <w:rPr/>
        <w:t>washed.</w:t>
      </w:r>
      <w:r>
        <w:rPr>
          <w:spacing w:val="-2"/>
        </w:rPr>
        <w:t> </w:t>
      </w:r>
      <w:r>
        <w:rPr/>
        <w:t>The</w:t>
      </w:r>
      <w:r>
        <w:rPr>
          <w:spacing w:val="-2"/>
        </w:rPr>
        <w:t> </w:t>
      </w:r>
      <w:r>
        <w:rPr/>
        <w:t>substrate</w:t>
      </w:r>
      <w:r>
        <w:rPr>
          <w:spacing w:val="-2"/>
        </w:rPr>
        <w:t> </w:t>
      </w:r>
      <w:r>
        <w:rPr/>
        <w:t>is</w:t>
      </w:r>
      <w:r>
        <w:rPr>
          <w:spacing w:val="-1"/>
        </w:rPr>
        <w:t> </w:t>
      </w:r>
      <w:r>
        <w:rPr/>
        <w:t>added and a blue colour develops that is proportional to the concentration of the native antigen.</w:t>
      </w:r>
    </w:p>
    <w:p>
      <w:pPr>
        <w:pStyle w:val="BodyText"/>
        <w:spacing w:line="480" w:lineRule="auto" w:before="1"/>
        <w:ind w:left="560" w:right="800"/>
        <w:jc w:val="both"/>
      </w:pPr>
      <w:r>
        <w:rPr/>
        <w:t>The intensity of the colour is measured at 450nm. Different serum references of known antigen</w:t>
      </w:r>
      <w:r>
        <w:rPr>
          <w:spacing w:val="79"/>
        </w:rPr>
        <w:t> </w:t>
      </w:r>
      <w:r>
        <w:rPr/>
        <w:t>concentration</w:t>
      </w:r>
      <w:r>
        <w:rPr>
          <w:spacing w:val="50"/>
          <w:w w:val="150"/>
        </w:rPr>
        <w:t> </w:t>
      </w:r>
      <w:r>
        <w:rPr/>
        <w:t>were</w:t>
      </w:r>
      <w:r>
        <w:rPr>
          <w:spacing w:val="77"/>
        </w:rPr>
        <w:t> </w:t>
      </w:r>
      <w:r>
        <w:rPr/>
        <w:t>used</w:t>
      </w:r>
      <w:r>
        <w:rPr>
          <w:spacing w:val="79"/>
        </w:rPr>
        <w:t> </w:t>
      </w:r>
      <w:r>
        <w:rPr/>
        <w:t>to</w:t>
      </w:r>
      <w:r>
        <w:rPr>
          <w:spacing w:val="79"/>
        </w:rPr>
        <w:t> </w:t>
      </w:r>
      <w:r>
        <w:rPr/>
        <w:t>determine</w:t>
      </w:r>
      <w:r>
        <w:rPr>
          <w:spacing w:val="79"/>
        </w:rPr>
        <w:t> </w:t>
      </w:r>
      <w:r>
        <w:rPr/>
        <w:t>the</w:t>
      </w:r>
      <w:r>
        <w:rPr>
          <w:spacing w:val="79"/>
        </w:rPr>
        <w:t> </w:t>
      </w:r>
      <w:r>
        <w:rPr/>
        <w:t>concentration</w:t>
      </w:r>
      <w:r>
        <w:rPr>
          <w:spacing w:val="79"/>
        </w:rPr>
        <w:t> </w:t>
      </w:r>
      <w:r>
        <w:rPr/>
        <w:t>of</w:t>
      </w:r>
      <w:r>
        <w:rPr>
          <w:spacing w:val="51"/>
          <w:w w:val="150"/>
        </w:rPr>
        <w:t> </w:t>
      </w:r>
      <w:r>
        <w:rPr/>
        <w:t>the</w:t>
      </w:r>
      <w:r>
        <w:rPr>
          <w:spacing w:val="78"/>
        </w:rPr>
        <w:t> </w:t>
      </w:r>
      <w:r>
        <w:rPr/>
        <w:t>antigen</w:t>
      </w:r>
      <w:r>
        <w:rPr>
          <w:spacing w:val="50"/>
          <w:w w:val="150"/>
        </w:rPr>
        <w:t> </w:t>
      </w:r>
      <w:r>
        <w:rPr/>
        <w:t>in</w:t>
      </w:r>
      <w:r>
        <w:rPr>
          <w:spacing w:val="78"/>
        </w:rPr>
        <w:t> </w:t>
      </w:r>
      <w:r>
        <w:rPr>
          <w:spacing w:val="-5"/>
        </w:rPr>
        <w:t>the</w:t>
      </w:r>
    </w:p>
    <w:p>
      <w:pPr>
        <w:spacing w:after="0" w:line="480" w:lineRule="auto"/>
        <w:jc w:val="both"/>
        <w:sectPr>
          <w:pgSz w:w="11910" w:h="16840"/>
          <w:pgMar w:header="0" w:footer="1067" w:top="1060" w:bottom="1260" w:left="880" w:right="640"/>
        </w:sectPr>
      </w:pPr>
    </w:p>
    <w:p>
      <w:pPr>
        <w:pStyle w:val="BodyText"/>
        <w:ind w:left="560"/>
      </w:pPr>
      <w:r>
        <w:rPr>
          <w:spacing w:val="-2"/>
        </w:rPr>
        <w:t>specimen.</w:t>
      </w:r>
    </w:p>
    <w:p>
      <w:pPr>
        <w:pStyle w:val="BodyText"/>
      </w:pPr>
    </w:p>
    <w:p>
      <w:pPr>
        <w:pStyle w:val="BodyText"/>
      </w:pPr>
    </w:p>
    <w:p>
      <w:pPr>
        <w:pStyle w:val="BodyText"/>
      </w:pPr>
    </w:p>
    <w:p>
      <w:pPr>
        <w:pStyle w:val="BodyText"/>
        <w:spacing w:before="94"/>
      </w:pPr>
    </w:p>
    <w:p>
      <w:pPr>
        <w:pStyle w:val="BodyText"/>
        <w:ind w:left="560"/>
      </w:pPr>
      <w:r>
        <w:rPr>
          <w:spacing w:val="-2"/>
        </w:rPr>
        <w:t>Where,</w:t>
      </w:r>
    </w:p>
    <w:p>
      <w:pPr>
        <w:spacing w:line="240" w:lineRule="auto" w:before="0"/>
        <w:rPr>
          <w:sz w:val="16"/>
        </w:rPr>
      </w:pPr>
      <w:r>
        <w:rPr/>
        <w:br w:type="column"/>
      </w:r>
      <w:r>
        <w:rPr>
          <w:sz w:val="16"/>
        </w:rPr>
      </w:r>
    </w:p>
    <w:p>
      <w:pPr>
        <w:pStyle w:val="BodyText"/>
        <w:spacing w:before="148"/>
        <w:rPr>
          <w:sz w:val="16"/>
        </w:rPr>
      </w:pPr>
    </w:p>
    <w:p>
      <w:pPr>
        <w:tabs>
          <w:tab w:pos="1744" w:val="left" w:leader="none"/>
        </w:tabs>
        <w:spacing w:line="163" w:lineRule="exact" w:before="0"/>
        <w:ind w:left="560" w:right="0" w:firstLine="0"/>
        <w:jc w:val="left"/>
        <w:rPr>
          <w:sz w:val="16"/>
        </w:rPr>
      </w:pPr>
      <w:r>
        <w:rPr>
          <w:spacing w:val="-5"/>
          <w:sz w:val="16"/>
        </w:rPr>
        <w:t>Enz</w:t>
      </w:r>
      <w:r>
        <w:rPr>
          <w:sz w:val="16"/>
        </w:rPr>
        <w:tab/>
      </w:r>
      <w:r>
        <w:rPr>
          <w:spacing w:val="-5"/>
          <w:sz w:val="16"/>
        </w:rPr>
        <w:t>Enz</w:t>
      </w:r>
    </w:p>
    <w:p>
      <w:pPr>
        <w:tabs>
          <w:tab w:pos="2286" w:val="left" w:leader="none"/>
        </w:tabs>
        <w:spacing w:line="163" w:lineRule="exact" w:before="0"/>
        <w:ind w:left="1103" w:right="0" w:firstLine="0"/>
        <w:jc w:val="left"/>
        <w:rPr>
          <w:sz w:val="16"/>
        </w:rPr>
      </w:pPr>
      <w:r>
        <w:rPr/>
        <mc:AlternateContent>
          <mc:Choice Requires="wps">
            <w:drawing>
              <wp:anchor distT="0" distB="0" distL="0" distR="0" allowOverlap="1" layoutInCell="1" locked="0" behindDoc="1" simplePos="0" relativeHeight="484736512">
                <wp:simplePos x="0" y="0"/>
                <wp:positionH relativeFrom="page">
                  <wp:posOffset>3253740</wp:posOffset>
                </wp:positionH>
                <wp:positionV relativeFrom="paragraph">
                  <wp:posOffset>-49165</wp:posOffset>
                </wp:positionV>
                <wp:extent cx="483234" cy="28511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483234" cy="285115"/>
                        </a:xfrm>
                        <a:custGeom>
                          <a:avLst/>
                          <a:gdLst/>
                          <a:ahLst/>
                          <a:cxnLst/>
                          <a:rect l="l" t="t" r="r" b="b"/>
                          <a:pathLst>
                            <a:path w="483234" h="285115">
                              <a:moveTo>
                                <a:pt x="0" y="114300"/>
                              </a:moveTo>
                              <a:lnTo>
                                <a:pt x="457200" y="114300"/>
                              </a:lnTo>
                            </a:path>
                            <a:path w="483234" h="285115">
                              <a:moveTo>
                                <a:pt x="457200" y="114300"/>
                              </a:moveTo>
                              <a:lnTo>
                                <a:pt x="342900" y="0"/>
                              </a:lnTo>
                            </a:path>
                            <a:path w="483234" h="285115">
                              <a:moveTo>
                                <a:pt x="483235" y="170815"/>
                              </a:moveTo>
                              <a:lnTo>
                                <a:pt x="26035" y="170815"/>
                              </a:lnTo>
                            </a:path>
                            <a:path w="483234" h="285115">
                              <a:moveTo>
                                <a:pt x="26035" y="170815"/>
                              </a:moveTo>
                              <a:lnTo>
                                <a:pt x="140335" y="28511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6.200012pt;margin-top:-3.871321pt;width:38.050pt;height:22.45pt;mso-position-horizontal-relative:page;mso-position-vertical-relative:paragraph;z-index:-18579968" id="docshape16" coordorigin="5124,-77" coordsize="761,449" path="m5124,103l5844,103m5844,103l5664,-77m5885,192l5165,192m5165,192l5345,372e" filled="false" stroked="true" strokeweight="1pt" strokecolor="#000000">
                <v:path arrowok="t"/>
                <v:stroke dashstyle="solid"/>
                <w10:wrap type="none"/>
              </v:shape>
            </w:pict>
          </mc:Fallback>
        </mc:AlternateContent>
      </w:r>
      <w:r>
        <w:rPr/>
        <mc:AlternateContent>
          <mc:Choice Requires="wps">
            <w:drawing>
              <wp:anchor distT="0" distB="0" distL="0" distR="0" allowOverlap="1" layoutInCell="1" locked="0" behindDoc="1" simplePos="0" relativeHeight="484737024">
                <wp:simplePos x="0" y="0"/>
                <wp:positionH relativeFrom="page">
                  <wp:posOffset>1867154</wp:posOffset>
                </wp:positionH>
                <wp:positionV relativeFrom="paragraph">
                  <wp:posOffset>-73846</wp:posOffset>
                </wp:positionV>
                <wp:extent cx="2179320" cy="1689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179320" cy="168910"/>
                        </a:xfrm>
                        <a:prstGeom prst="rect">
                          <a:avLst/>
                        </a:prstGeom>
                      </wps:spPr>
                      <wps:txbx>
                        <w:txbxContent>
                          <w:p>
                            <w:pPr>
                              <w:pStyle w:val="BodyText"/>
                              <w:tabs>
                                <w:tab w:pos="842" w:val="left" w:leader="none"/>
                                <w:tab w:pos="2026" w:val="left" w:leader="none"/>
                                <w:tab w:pos="3019" w:val="left" w:leader="none"/>
                              </w:tabs>
                              <w:spacing w:line="266" w:lineRule="exact"/>
                            </w:pPr>
                            <w:r>
                              <w:rPr>
                                <w:spacing w:val="-2"/>
                              </w:rPr>
                              <w:t>(IC)+</w:t>
                            </w:r>
                            <w:r>
                              <w:rPr/>
                              <w:tab/>
                            </w:r>
                            <w:r>
                              <w:rPr>
                                <w:spacing w:val="-5"/>
                              </w:rPr>
                              <w:t>Ab</w:t>
                            </w:r>
                            <w:r>
                              <w:rPr/>
                              <w:tab/>
                            </w:r>
                            <w:r>
                              <w:rPr>
                                <w:spacing w:val="-7"/>
                              </w:rPr>
                              <w:t>Ab</w:t>
                            </w:r>
                            <w:r>
                              <w:rPr/>
                              <w:tab/>
                              <w:t>– </w:t>
                            </w:r>
                            <w:r>
                              <w:rPr>
                                <w:spacing w:val="-11"/>
                              </w:rPr>
                              <w:t>IC</w:t>
                            </w:r>
                          </w:p>
                        </w:txbxContent>
                      </wps:txbx>
                      <wps:bodyPr wrap="square" lIns="0" tIns="0" rIns="0" bIns="0" rtlCol="0">
                        <a:noAutofit/>
                      </wps:bodyPr>
                    </wps:wsp>
                  </a:graphicData>
                </a:graphic>
              </wp:anchor>
            </w:drawing>
          </mc:Choice>
          <mc:Fallback>
            <w:pict>
              <v:shape style="position:absolute;margin-left:147.020004pt;margin-top:-5.81468pt;width:171.6pt;height:13.3pt;mso-position-horizontal-relative:page;mso-position-vertical-relative:paragraph;z-index:-18579456" type="#_x0000_t202" id="docshape17" filled="false" stroked="false">
                <v:textbox inset="0,0,0,0">
                  <w:txbxContent>
                    <w:p>
                      <w:pPr>
                        <w:pStyle w:val="BodyText"/>
                        <w:tabs>
                          <w:tab w:pos="842" w:val="left" w:leader="none"/>
                          <w:tab w:pos="2026" w:val="left" w:leader="none"/>
                          <w:tab w:pos="3019" w:val="left" w:leader="none"/>
                        </w:tabs>
                        <w:spacing w:line="266" w:lineRule="exact"/>
                      </w:pPr>
                      <w:r>
                        <w:rPr>
                          <w:spacing w:val="-2"/>
                        </w:rPr>
                        <w:t>(IC)+</w:t>
                      </w:r>
                      <w:r>
                        <w:rPr/>
                        <w:tab/>
                      </w:r>
                      <w:r>
                        <w:rPr>
                          <w:spacing w:val="-5"/>
                        </w:rPr>
                        <w:t>Ab</w:t>
                      </w:r>
                      <w:r>
                        <w:rPr/>
                        <w:tab/>
                      </w:r>
                      <w:r>
                        <w:rPr>
                          <w:spacing w:val="-7"/>
                        </w:rPr>
                        <w:t>Ab</w:t>
                      </w:r>
                      <w:r>
                        <w:rPr/>
                        <w:tab/>
                        <w:t>– </w:t>
                      </w:r>
                      <w:r>
                        <w:rPr>
                          <w:spacing w:val="-11"/>
                        </w:rPr>
                        <w:t>IC</w:t>
                      </w:r>
                    </w:p>
                  </w:txbxContent>
                </v:textbox>
                <w10:wrap type="none"/>
              </v:shape>
            </w:pict>
          </mc:Fallback>
        </mc:AlternateContent>
      </w:r>
      <w:r>
        <w:rPr>
          <w:sz w:val="16"/>
        </w:rPr>
        <w:t>(x</w:t>
      </w:r>
      <w:r>
        <w:rPr>
          <w:spacing w:val="-2"/>
          <w:sz w:val="16"/>
        </w:rPr>
        <w:t> </w:t>
      </w:r>
      <w:r>
        <w:rPr>
          <w:sz w:val="16"/>
        </w:rPr>
        <w:t>- </w:t>
      </w:r>
      <w:r>
        <w:rPr>
          <w:spacing w:val="-2"/>
          <w:sz w:val="16"/>
        </w:rPr>
        <w:t>sTfR)</w:t>
      </w:r>
      <w:r>
        <w:rPr>
          <w:sz w:val="16"/>
        </w:rPr>
        <w:tab/>
        <w:t>(x</w:t>
      </w:r>
      <w:r>
        <w:rPr>
          <w:spacing w:val="-3"/>
          <w:sz w:val="16"/>
        </w:rPr>
        <w:t> </w:t>
      </w:r>
      <w:r>
        <w:rPr>
          <w:sz w:val="16"/>
        </w:rPr>
        <w:t>-</w:t>
      </w:r>
      <w:r>
        <w:rPr>
          <w:spacing w:val="1"/>
          <w:sz w:val="16"/>
        </w:rPr>
        <w:t> </w:t>
      </w:r>
      <w:r>
        <w:rPr>
          <w:spacing w:val="-4"/>
          <w:sz w:val="16"/>
        </w:rPr>
        <w:t>sTfR)</w:t>
      </w:r>
    </w:p>
    <w:p>
      <w:pPr>
        <w:pStyle w:val="Heading1"/>
      </w:pPr>
      <w:r>
        <w:rPr>
          <w:w w:val="115"/>
        </w:rPr>
        <w:t>K</w:t>
      </w:r>
      <w:r>
        <w:rPr>
          <w:w w:val="115"/>
          <w:vertAlign w:val="subscript"/>
        </w:rPr>
        <w:t>–b</w:t>
      </w:r>
      <w:r>
        <w:rPr>
          <w:spacing w:val="-12"/>
          <w:w w:val="115"/>
          <w:vertAlign w:val="baseline"/>
        </w:rPr>
        <w:t> </w:t>
      </w:r>
      <w:r>
        <w:rPr>
          <w:spacing w:val="-10"/>
          <w:w w:val="120"/>
          <w:vertAlign w:val="baseline"/>
        </w:rPr>
        <w:t>-</w:t>
      </w:r>
    </w:p>
    <w:p>
      <w:pPr>
        <w:spacing w:after="0"/>
        <w:sectPr>
          <w:type w:val="continuous"/>
          <w:pgSz w:w="11910" w:h="16840"/>
          <w:pgMar w:header="0" w:footer="1067" w:top="1060" w:bottom="1260" w:left="880" w:right="640"/>
          <w:cols w:num="2" w:equalWidth="0">
            <w:col w:w="1565" w:space="527"/>
            <w:col w:w="8298"/>
          </w:cols>
        </w:sectPr>
      </w:pPr>
    </w:p>
    <w:p>
      <w:pPr>
        <w:pStyle w:val="BodyText"/>
        <w:spacing w:line="360" w:lineRule="auto" w:before="139"/>
        <w:ind w:left="560" w:right="951"/>
      </w:pPr>
      <w:r>
        <w:rPr>
          <w:vertAlign w:val="superscript"/>
        </w:rPr>
        <w:t>Enz</w:t>
      </w:r>
      <w:r>
        <w:rPr>
          <w:vertAlign w:val="baseline"/>
        </w:rPr>
        <w:t>Ab</w:t>
      </w:r>
      <w:r>
        <w:rPr>
          <w:vertAlign w:val="subscript"/>
        </w:rPr>
        <w:t>(x</w:t>
      </w:r>
      <w:r>
        <w:rPr>
          <w:spacing w:val="-21"/>
          <w:vertAlign w:val="baseline"/>
        </w:rPr>
        <w:t> </w:t>
      </w:r>
      <w:r>
        <w:rPr>
          <w:vertAlign w:val="subscript"/>
        </w:rPr>
        <w:t>-</w:t>
      </w:r>
      <w:r>
        <w:rPr>
          <w:spacing w:val="-20"/>
          <w:vertAlign w:val="baseline"/>
        </w:rPr>
        <w:t> </w:t>
      </w:r>
      <w:r>
        <w:rPr>
          <w:vertAlign w:val="subscript"/>
        </w:rPr>
        <w:t>sTfR)</w:t>
      </w:r>
      <w:r>
        <w:rPr>
          <w:spacing w:val="-11"/>
          <w:vertAlign w:val="baseline"/>
        </w:rPr>
        <w:t> </w:t>
      </w:r>
      <w:r>
        <w:rPr>
          <w:vertAlign w:val="baseline"/>
        </w:rPr>
        <w:t>=</w:t>
      </w:r>
      <w:r>
        <w:rPr>
          <w:spacing w:val="-4"/>
          <w:vertAlign w:val="baseline"/>
        </w:rPr>
        <w:t> </w:t>
      </w:r>
      <w:r>
        <w:rPr>
          <w:vertAlign w:val="baseline"/>
        </w:rPr>
        <w:t>Enzyme</w:t>
      </w:r>
      <w:r>
        <w:rPr>
          <w:spacing w:val="-4"/>
          <w:vertAlign w:val="baseline"/>
        </w:rPr>
        <w:t> </w:t>
      </w:r>
      <w:r>
        <w:rPr>
          <w:vertAlign w:val="baseline"/>
        </w:rPr>
        <w:t>labeled</w:t>
      </w:r>
      <w:r>
        <w:rPr>
          <w:spacing w:val="-3"/>
          <w:vertAlign w:val="baseline"/>
        </w:rPr>
        <w:t> </w:t>
      </w:r>
      <w:r>
        <w:rPr>
          <w:vertAlign w:val="baseline"/>
        </w:rPr>
        <w:t>Antibody</w:t>
      </w:r>
      <w:r>
        <w:rPr>
          <w:spacing w:val="-8"/>
          <w:vertAlign w:val="baseline"/>
        </w:rPr>
        <w:t> </w:t>
      </w:r>
      <w:r>
        <w:rPr>
          <w:vertAlign w:val="baseline"/>
        </w:rPr>
        <w:t>(Excess</w:t>
      </w:r>
      <w:r>
        <w:rPr>
          <w:spacing w:val="-1"/>
          <w:vertAlign w:val="baseline"/>
        </w:rPr>
        <w:t> </w:t>
      </w:r>
      <w:r>
        <w:rPr>
          <w:vertAlign w:val="baseline"/>
        </w:rPr>
        <w:t>Quantity)</w:t>
      </w:r>
      <w:r>
        <w:rPr>
          <w:spacing w:val="-3"/>
          <w:vertAlign w:val="baseline"/>
        </w:rPr>
        <w:t> </w:t>
      </w:r>
      <w:r>
        <w:rPr>
          <w:vertAlign w:val="baseline"/>
        </w:rPr>
        <w:t>EflZAb(ferritin) </w:t>
      </w:r>
      <w:r>
        <w:rPr>
          <w:vertAlign w:val="superscript"/>
        </w:rPr>
        <w:t>Enz</w:t>
      </w:r>
      <w:r>
        <w:rPr>
          <w:vertAlign w:val="baseline"/>
        </w:rPr>
        <w:t>Ab</w:t>
      </w:r>
      <w:r>
        <w:rPr>
          <w:vertAlign w:val="subscript"/>
        </w:rPr>
        <w:t>(x</w:t>
      </w:r>
      <w:r>
        <w:rPr>
          <w:spacing w:val="-21"/>
          <w:vertAlign w:val="baseline"/>
        </w:rPr>
        <w:t> </w:t>
      </w:r>
      <w:r>
        <w:rPr>
          <w:vertAlign w:val="subscript"/>
        </w:rPr>
        <w:t>-</w:t>
      </w:r>
      <w:r>
        <w:rPr>
          <w:spacing w:val="-20"/>
          <w:vertAlign w:val="baseline"/>
        </w:rPr>
        <w:t> </w:t>
      </w:r>
      <w:r>
        <w:rPr>
          <w:vertAlign w:val="subscript"/>
        </w:rPr>
        <w:t>sTfR)</w:t>
      </w:r>
      <w:r>
        <w:rPr>
          <w:spacing w:val="-4"/>
          <w:vertAlign w:val="baseline"/>
        </w:rPr>
        <w:t> </w:t>
      </w:r>
      <w:r>
        <w:rPr>
          <w:vertAlign w:val="baseline"/>
        </w:rPr>
        <w:t>– IC</w:t>
      </w:r>
      <w:r>
        <w:rPr>
          <w:spacing w:val="40"/>
          <w:vertAlign w:val="baseline"/>
        </w:rPr>
        <w:t> </w:t>
      </w:r>
      <w:r>
        <w:rPr>
          <w:vertAlign w:val="baseline"/>
        </w:rPr>
        <w:t>= Antigen-Antibodies Complex</w:t>
      </w:r>
    </w:p>
    <w:p>
      <w:pPr>
        <w:pStyle w:val="BodyText"/>
        <w:spacing w:line="360" w:lineRule="auto"/>
        <w:ind w:left="560" w:right="6321"/>
      </w:pPr>
      <w:r>
        <w:rPr/>
        <w:t>K</w:t>
      </w:r>
      <w:r>
        <w:rPr>
          <w:vertAlign w:val="subscript"/>
        </w:rPr>
        <w:t>b</w:t>
      </w:r>
      <w:r>
        <w:rPr>
          <w:vertAlign w:val="baseline"/>
        </w:rPr>
        <w:t> = Rate Constant of Association</w:t>
      </w:r>
      <w:r>
        <w:rPr>
          <w:spacing w:val="40"/>
          <w:vertAlign w:val="baseline"/>
        </w:rPr>
        <w:t> </w:t>
      </w:r>
      <w:r>
        <w:rPr>
          <w:vertAlign w:val="baseline"/>
        </w:rPr>
        <w:t>K</w:t>
      </w:r>
      <w:r>
        <w:rPr>
          <w:spacing w:val="-7"/>
          <w:vertAlign w:val="baseline"/>
        </w:rPr>
        <w:t> </w:t>
      </w:r>
      <w:r>
        <w:rPr>
          <w:vertAlign w:val="subscript"/>
        </w:rPr>
        <w:t>–b</w:t>
      </w:r>
      <w:r>
        <w:rPr>
          <w:spacing w:val="-5"/>
          <w:vertAlign w:val="baseline"/>
        </w:rPr>
        <w:t> </w:t>
      </w:r>
      <w:r>
        <w:rPr>
          <w:vertAlign w:val="baseline"/>
        </w:rPr>
        <w:t>=</w:t>
      </w:r>
      <w:r>
        <w:rPr>
          <w:spacing w:val="-7"/>
          <w:vertAlign w:val="baseline"/>
        </w:rPr>
        <w:t> </w:t>
      </w:r>
      <w:r>
        <w:rPr>
          <w:vertAlign w:val="baseline"/>
        </w:rPr>
        <w:t>Rate</w:t>
      </w:r>
      <w:r>
        <w:rPr>
          <w:spacing w:val="-6"/>
          <w:vertAlign w:val="baseline"/>
        </w:rPr>
        <w:t> </w:t>
      </w:r>
      <w:r>
        <w:rPr>
          <w:vertAlign w:val="baseline"/>
        </w:rPr>
        <w:t>Constant</w:t>
      </w:r>
      <w:r>
        <w:rPr>
          <w:spacing w:val="-6"/>
          <w:vertAlign w:val="baseline"/>
        </w:rPr>
        <w:t> </w:t>
      </w:r>
      <w:r>
        <w:rPr>
          <w:vertAlign w:val="baseline"/>
        </w:rPr>
        <w:t>of</w:t>
      </w:r>
      <w:r>
        <w:rPr>
          <w:spacing w:val="-9"/>
          <w:vertAlign w:val="baseline"/>
        </w:rPr>
        <w:t> </w:t>
      </w:r>
      <w:r>
        <w:rPr>
          <w:vertAlign w:val="baseline"/>
        </w:rPr>
        <w:t>Dissociation</w:t>
      </w:r>
    </w:p>
    <w:p>
      <w:pPr>
        <w:pStyle w:val="Heading2"/>
        <w:spacing w:before="3"/>
      </w:pPr>
      <w:r>
        <w:rPr/>
        <w:t>PREPARATION</w:t>
      </w:r>
      <w:r>
        <w:rPr>
          <w:spacing w:val="-1"/>
        </w:rPr>
        <w:t> </w:t>
      </w:r>
      <w:r>
        <w:rPr/>
        <w:t>OF</w:t>
      </w:r>
      <w:r>
        <w:rPr>
          <w:spacing w:val="-1"/>
        </w:rPr>
        <w:t> </w:t>
      </w:r>
      <w:r>
        <w:rPr/>
        <w:t>WASH </w:t>
      </w:r>
      <w:r>
        <w:rPr>
          <w:spacing w:val="-2"/>
        </w:rPr>
        <w:t>BUFFER</w:t>
      </w:r>
    </w:p>
    <w:p>
      <w:pPr>
        <w:pStyle w:val="BodyText"/>
        <w:spacing w:line="480" w:lineRule="auto" w:before="271"/>
        <w:ind w:left="560" w:right="801"/>
        <w:jc w:val="both"/>
      </w:pPr>
      <w:r>
        <w:rPr/>
        <w:t>The preparation of the wash buffer was done following the manufacturer‟s directive; 980ml of distilled water was added to 20ml of the wash buffer to obtain 1000ml of the solution.</w:t>
      </w:r>
    </w:p>
    <w:p>
      <w:pPr>
        <w:pStyle w:val="Heading2"/>
        <w:spacing w:before="5"/>
      </w:pPr>
      <w:r>
        <w:rPr>
          <w:spacing w:val="-2"/>
        </w:rPr>
        <w:t>PROCEDURE</w:t>
      </w:r>
    </w:p>
    <w:p>
      <w:pPr>
        <w:pStyle w:val="BodyText"/>
        <w:spacing w:line="480" w:lineRule="auto" w:before="271"/>
        <w:ind w:left="560" w:right="794"/>
        <w:jc w:val="both"/>
      </w:pPr>
      <w:r>
        <w:rPr/>
        <w:t>All reagents, serum references and control were brought to room temperature 20 – 27</w:t>
      </w:r>
      <w:r>
        <w:rPr>
          <w:vertAlign w:val="superscript"/>
        </w:rPr>
        <w:t>o</w:t>
      </w:r>
      <w:r>
        <w:rPr>
          <w:vertAlign w:val="baseline"/>
        </w:rPr>
        <w:t>C. The assay</w:t>
      </w:r>
      <w:r>
        <w:rPr>
          <w:spacing w:val="-7"/>
          <w:vertAlign w:val="baseline"/>
        </w:rPr>
        <w:t> </w:t>
      </w:r>
      <w:r>
        <w:rPr>
          <w:vertAlign w:val="baseline"/>
        </w:rPr>
        <w:t>was</w:t>
      </w:r>
      <w:r>
        <w:rPr>
          <w:spacing w:val="-1"/>
          <w:vertAlign w:val="baseline"/>
        </w:rPr>
        <w:t> </w:t>
      </w:r>
      <w:r>
        <w:rPr>
          <w:vertAlign w:val="baseline"/>
        </w:rPr>
        <w:t>carried</w:t>
      </w:r>
      <w:r>
        <w:rPr>
          <w:spacing w:val="-3"/>
          <w:vertAlign w:val="baseline"/>
        </w:rPr>
        <w:t> </w:t>
      </w:r>
      <w:r>
        <w:rPr>
          <w:vertAlign w:val="baseline"/>
        </w:rPr>
        <w:t>out</w:t>
      </w:r>
      <w:r>
        <w:rPr>
          <w:spacing w:val="-3"/>
          <w:vertAlign w:val="baseline"/>
        </w:rPr>
        <w:t> </w:t>
      </w:r>
      <w:r>
        <w:rPr>
          <w:vertAlign w:val="baseline"/>
        </w:rPr>
        <w:t>in</w:t>
      </w:r>
      <w:r>
        <w:rPr>
          <w:spacing w:val="-1"/>
          <w:vertAlign w:val="baseline"/>
        </w:rPr>
        <w:t> </w:t>
      </w:r>
      <w:r>
        <w:rPr>
          <w:vertAlign w:val="baseline"/>
        </w:rPr>
        <w:t>duplicates.</w:t>
      </w:r>
      <w:r>
        <w:rPr>
          <w:spacing w:val="-2"/>
          <w:vertAlign w:val="baseline"/>
        </w:rPr>
        <w:t> </w:t>
      </w:r>
      <w:r>
        <w:rPr>
          <w:vertAlign w:val="baseline"/>
        </w:rPr>
        <w:t>Ten</w:t>
      </w:r>
      <w:r>
        <w:rPr>
          <w:spacing w:val="-3"/>
          <w:vertAlign w:val="baseline"/>
        </w:rPr>
        <w:t> </w:t>
      </w:r>
      <w:r>
        <w:rPr>
          <w:vertAlign w:val="baseline"/>
        </w:rPr>
        <w:t>microlitres</w:t>
      </w:r>
      <w:r>
        <w:rPr>
          <w:spacing w:val="-3"/>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appropriate</w:t>
      </w:r>
      <w:r>
        <w:rPr>
          <w:spacing w:val="-3"/>
          <w:vertAlign w:val="baseline"/>
        </w:rPr>
        <w:t> </w:t>
      </w:r>
      <w:r>
        <w:rPr>
          <w:vertAlign w:val="baseline"/>
        </w:rPr>
        <w:t>serum</w:t>
      </w:r>
      <w:r>
        <w:rPr>
          <w:spacing w:val="-3"/>
          <w:vertAlign w:val="baseline"/>
        </w:rPr>
        <w:t> </w:t>
      </w:r>
      <w:r>
        <w:rPr>
          <w:vertAlign w:val="baseline"/>
        </w:rPr>
        <w:t>reference</w:t>
      </w:r>
      <w:r>
        <w:rPr>
          <w:spacing w:val="-3"/>
          <w:vertAlign w:val="baseline"/>
        </w:rPr>
        <w:t> </w:t>
      </w:r>
      <w:r>
        <w:rPr>
          <w:vertAlign w:val="baseline"/>
        </w:rPr>
        <w:t>control and specimen were pipetted into the appropriate well. A 100</w:t>
      </w:r>
      <w:r>
        <w:rPr>
          <w:rFonts w:ascii="Symbol" w:hAnsi="Symbol"/>
          <w:vertAlign w:val="baseline"/>
        </w:rPr>
        <w:t></w:t>
      </w:r>
      <w:r>
        <w:rPr>
          <w:vertAlign w:val="baseline"/>
        </w:rPr>
        <w:t>l of sTfR Biotin Reagent was added to all the wells and the microplate was gently mixed for 30 seconds, covered and incubated for 45 minutes at room temperature. The content of the wells were discarded and the plate blotted with absorbent paper. Later 300</w:t>
      </w:r>
      <w:r>
        <w:rPr>
          <w:rFonts w:ascii="Symbol" w:hAnsi="Symbol"/>
          <w:vertAlign w:val="baseline"/>
        </w:rPr>
        <w:t></w:t>
      </w:r>
      <w:r>
        <w:rPr>
          <w:vertAlign w:val="baseline"/>
        </w:rPr>
        <w:t>l of wash buffer was added and well</w:t>
      </w:r>
      <w:r>
        <w:rPr>
          <w:spacing w:val="40"/>
          <w:vertAlign w:val="baseline"/>
        </w:rPr>
        <w:t> </w:t>
      </w:r>
      <w:r>
        <w:rPr>
          <w:vertAlign w:val="baseline"/>
        </w:rPr>
        <w:t>washed 3 times. A 100</w:t>
      </w:r>
      <w:r>
        <w:rPr>
          <w:rFonts w:ascii="Symbol" w:hAnsi="Symbol"/>
          <w:vertAlign w:val="baseline"/>
        </w:rPr>
        <w:t></w:t>
      </w:r>
      <w:r>
        <w:rPr>
          <w:vertAlign w:val="baseline"/>
        </w:rPr>
        <w:t>l of Anti-sTfR Enzyme Reagent was added to all the wells which were covered and incubated for 30 minutes at room temperature. The content of the microplate</w:t>
      </w:r>
      <w:r>
        <w:rPr>
          <w:spacing w:val="-1"/>
          <w:vertAlign w:val="baseline"/>
        </w:rPr>
        <w:t> </w:t>
      </w:r>
      <w:r>
        <w:rPr>
          <w:vertAlign w:val="baseline"/>
        </w:rPr>
        <w:t>were again discarded and the</w:t>
      </w:r>
      <w:r>
        <w:rPr>
          <w:spacing w:val="-1"/>
          <w:vertAlign w:val="baseline"/>
        </w:rPr>
        <w:t> </w:t>
      </w:r>
      <w:r>
        <w:rPr>
          <w:vertAlign w:val="baseline"/>
        </w:rPr>
        <w:t>plate blotted with absorbent paper. Another</w:t>
      </w:r>
      <w:r>
        <w:rPr>
          <w:spacing w:val="-1"/>
          <w:vertAlign w:val="baseline"/>
        </w:rPr>
        <w:t> </w:t>
      </w:r>
      <w:r>
        <w:rPr>
          <w:vertAlign w:val="baseline"/>
        </w:rPr>
        <w:t>300</w:t>
      </w:r>
      <w:r>
        <w:rPr>
          <w:rFonts w:ascii="Symbol" w:hAnsi="Symbol"/>
          <w:vertAlign w:val="baseline"/>
        </w:rPr>
        <w:t></w:t>
      </w:r>
      <w:r>
        <w:rPr>
          <w:vertAlign w:val="baseline"/>
        </w:rPr>
        <w:t>l of the</w:t>
      </w:r>
      <w:r>
        <w:rPr>
          <w:spacing w:val="-3"/>
          <w:vertAlign w:val="baseline"/>
        </w:rPr>
        <w:t> </w:t>
      </w:r>
      <w:r>
        <w:rPr>
          <w:vertAlign w:val="baseline"/>
        </w:rPr>
        <w:t>wash</w:t>
      </w:r>
      <w:r>
        <w:rPr>
          <w:spacing w:val="1"/>
          <w:vertAlign w:val="baseline"/>
        </w:rPr>
        <w:t> </w:t>
      </w:r>
      <w:r>
        <w:rPr>
          <w:vertAlign w:val="baseline"/>
        </w:rPr>
        <w:t>buffer</w:t>
      </w:r>
      <w:r>
        <w:rPr>
          <w:spacing w:val="-1"/>
          <w:vertAlign w:val="baseline"/>
        </w:rPr>
        <w:t> </w:t>
      </w:r>
      <w:r>
        <w:rPr>
          <w:vertAlign w:val="baseline"/>
        </w:rPr>
        <w:t>was</w:t>
      </w:r>
      <w:r>
        <w:rPr>
          <w:spacing w:val="2"/>
          <w:vertAlign w:val="baseline"/>
        </w:rPr>
        <w:t> </w:t>
      </w:r>
      <w:r>
        <w:rPr>
          <w:vertAlign w:val="baseline"/>
        </w:rPr>
        <w:t>added and</w:t>
      </w:r>
      <w:r>
        <w:rPr>
          <w:spacing w:val="1"/>
          <w:vertAlign w:val="baseline"/>
        </w:rPr>
        <w:t> </w:t>
      </w:r>
      <w:r>
        <w:rPr>
          <w:vertAlign w:val="baseline"/>
        </w:rPr>
        <w:t>the</w:t>
      </w:r>
      <w:r>
        <w:rPr>
          <w:spacing w:val="-1"/>
          <w:vertAlign w:val="baseline"/>
        </w:rPr>
        <w:t> </w:t>
      </w:r>
      <w:r>
        <w:rPr>
          <w:vertAlign w:val="baseline"/>
        </w:rPr>
        <w:t>wells</w:t>
      </w:r>
      <w:r>
        <w:rPr>
          <w:spacing w:val="1"/>
          <w:vertAlign w:val="baseline"/>
        </w:rPr>
        <w:t> </w:t>
      </w:r>
      <w:r>
        <w:rPr>
          <w:vertAlign w:val="baseline"/>
        </w:rPr>
        <w:t>were</w:t>
      </w:r>
      <w:r>
        <w:rPr>
          <w:spacing w:val="-2"/>
          <w:vertAlign w:val="baseline"/>
        </w:rPr>
        <w:t> </w:t>
      </w:r>
      <w:r>
        <w:rPr>
          <w:vertAlign w:val="baseline"/>
        </w:rPr>
        <w:t>again</w:t>
      </w:r>
      <w:r>
        <w:rPr>
          <w:spacing w:val="1"/>
          <w:vertAlign w:val="baseline"/>
        </w:rPr>
        <w:t> </w:t>
      </w:r>
      <w:r>
        <w:rPr>
          <w:vertAlign w:val="baseline"/>
        </w:rPr>
        <w:t>washed.</w:t>
      </w:r>
      <w:r>
        <w:rPr>
          <w:spacing w:val="-1"/>
          <w:vertAlign w:val="baseline"/>
        </w:rPr>
        <w:t> </w:t>
      </w:r>
      <w:r>
        <w:rPr>
          <w:vertAlign w:val="baseline"/>
        </w:rPr>
        <w:t>The</w:t>
      </w:r>
      <w:r>
        <w:rPr>
          <w:spacing w:val="-1"/>
          <w:vertAlign w:val="baseline"/>
        </w:rPr>
        <w:t> </w:t>
      </w:r>
      <w:r>
        <w:rPr>
          <w:vertAlign w:val="baseline"/>
        </w:rPr>
        <w:t>washing was</w:t>
      </w:r>
      <w:r>
        <w:rPr>
          <w:spacing w:val="1"/>
          <w:vertAlign w:val="baseline"/>
        </w:rPr>
        <w:t> </w:t>
      </w:r>
      <w:r>
        <w:rPr>
          <w:vertAlign w:val="baseline"/>
        </w:rPr>
        <w:t>again</w:t>
      </w:r>
      <w:r>
        <w:rPr>
          <w:spacing w:val="1"/>
          <w:vertAlign w:val="baseline"/>
        </w:rPr>
        <w:t> </w:t>
      </w:r>
      <w:r>
        <w:rPr>
          <w:spacing w:val="-2"/>
          <w:vertAlign w:val="baseline"/>
        </w:rPr>
        <w:t>repeated</w:t>
      </w:r>
    </w:p>
    <w:p>
      <w:pPr>
        <w:spacing w:after="0" w:line="480" w:lineRule="auto"/>
        <w:jc w:val="both"/>
        <w:sectPr>
          <w:type w:val="continuous"/>
          <w:pgSz w:w="11910" w:h="16840"/>
          <w:pgMar w:header="0" w:footer="1067" w:top="1060" w:bottom="1260" w:left="880" w:right="640"/>
        </w:sectPr>
      </w:pPr>
    </w:p>
    <w:p>
      <w:pPr>
        <w:pStyle w:val="BodyText"/>
        <w:spacing w:line="480" w:lineRule="auto" w:before="70"/>
        <w:ind w:left="560" w:right="796"/>
        <w:jc w:val="both"/>
      </w:pPr>
      <w:r>
        <w:rPr/>
        <w:t>for two (2) additional times for a total of three (3) washes. This was followed by the blotting of the plate on an absorbent paper. One hundred microlitre (100</w:t>
      </w:r>
      <w:r>
        <w:rPr>
          <w:rFonts w:ascii="Symbol" w:hAnsi="Symbol"/>
        </w:rPr>
        <w:t></w:t>
      </w:r>
      <w:r>
        <w:rPr/>
        <w:t>l) of substrate solution was added to all wells, allowed to stand without shaking and incubated for 15 minutes at 37</w:t>
      </w:r>
      <w:r>
        <w:rPr>
          <w:vertAlign w:val="superscript"/>
        </w:rPr>
        <w:t>o</w:t>
      </w:r>
      <w:r>
        <w:rPr>
          <w:vertAlign w:val="baseline"/>
        </w:rPr>
        <w:t>c.</w:t>
      </w:r>
      <w:r>
        <w:rPr>
          <w:spacing w:val="40"/>
          <w:vertAlign w:val="baseline"/>
        </w:rPr>
        <w:t> </w:t>
      </w:r>
      <w:r>
        <w:rPr>
          <w:vertAlign w:val="baseline"/>
        </w:rPr>
        <w:t>The reaction was terminated on the addition of 50</w:t>
      </w:r>
      <w:r>
        <w:rPr>
          <w:rFonts w:ascii="Symbol" w:hAnsi="Symbol"/>
          <w:vertAlign w:val="baseline"/>
        </w:rPr>
        <w:t></w:t>
      </w:r>
      <w:r>
        <w:rPr>
          <w:vertAlign w:val="baseline"/>
        </w:rPr>
        <w:t>l of stop solution. The mixture was gently mixed for 15 – 20 seconds. The colour produced in each well was read within 30 minutes at </w:t>
      </w:r>
      <w:r>
        <w:rPr>
          <w:spacing w:val="-2"/>
          <w:vertAlign w:val="baseline"/>
        </w:rPr>
        <w:t>450nm.</w:t>
      </w:r>
    </w:p>
    <w:p>
      <w:pPr>
        <w:pStyle w:val="Heading2"/>
        <w:spacing w:before="6"/>
      </w:pPr>
      <w:r>
        <w:rPr>
          <w:spacing w:val="-2"/>
        </w:rPr>
        <w:t>CALCULATION</w:t>
      </w:r>
    </w:p>
    <w:p>
      <w:pPr>
        <w:pStyle w:val="BodyText"/>
        <w:spacing w:line="480" w:lineRule="auto" w:before="271"/>
        <w:ind w:left="560" w:right="803"/>
        <w:jc w:val="both"/>
      </w:pPr>
      <w:r>
        <w:rPr/>
        <w:t>The mean absorbance for each duplicate serum reference versus the corresponding soluble transferrin concentration was interpolated.</w:t>
      </w:r>
    </w:p>
    <w:p>
      <w:pPr>
        <w:pStyle w:val="Heading3"/>
        <w:spacing w:before="5"/>
      </w:pPr>
      <w:r>
        <w:rPr/>
        <w:t>Expected</w:t>
      </w:r>
      <w:r>
        <w:rPr>
          <w:spacing w:val="-1"/>
        </w:rPr>
        <w:t> </w:t>
      </w:r>
      <w:r>
        <w:rPr/>
        <w:t>Values</w:t>
      </w:r>
      <w:r>
        <w:rPr>
          <w:spacing w:val="-1"/>
        </w:rPr>
        <w:t> </w:t>
      </w:r>
      <w:r>
        <w:rPr/>
        <w:t>for</w:t>
      </w:r>
      <w:r>
        <w:rPr>
          <w:spacing w:val="-2"/>
        </w:rPr>
        <w:t> </w:t>
      </w:r>
      <w:r>
        <w:rPr/>
        <w:t>the</w:t>
      </w:r>
      <w:r>
        <w:rPr>
          <w:spacing w:val="-2"/>
        </w:rPr>
        <w:t> </w:t>
      </w:r>
      <w:r>
        <w:rPr/>
        <w:t>sTfR</w:t>
      </w:r>
      <w:r>
        <w:rPr>
          <w:spacing w:val="-1"/>
        </w:rPr>
        <w:t> </w:t>
      </w:r>
      <w:r>
        <w:rPr/>
        <w:t>Test </w:t>
      </w:r>
      <w:r>
        <w:rPr>
          <w:spacing w:val="-2"/>
        </w:rPr>
        <w:t>System</w:t>
      </w:r>
    </w:p>
    <w:p>
      <w:pPr>
        <w:pStyle w:val="BodyText"/>
        <w:tabs>
          <w:tab w:pos="2758" w:val="left" w:leader="none"/>
        </w:tabs>
        <w:spacing w:before="271"/>
        <w:ind w:left="560"/>
      </w:pPr>
      <w:r>
        <w:rPr/>
        <mc:AlternateContent>
          <mc:Choice Requires="wps">
            <w:drawing>
              <wp:anchor distT="0" distB="0" distL="0" distR="0" allowOverlap="1" layoutInCell="1" locked="0" behindDoc="1" simplePos="0" relativeHeight="484737536">
                <wp:simplePos x="0" y="0"/>
                <wp:positionH relativeFrom="page">
                  <wp:posOffset>1981200</wp:posOffset>
                </wp:positionH>
                <wp:positionV relativeFrom="paragraph">
                  <wp:posOffset>239162</wp:posOffset>
                </wp:positionV>
                <wp:extent cx="22860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28600" cy="1270"/>
                        </a:xfrm>
                        <a:custGeom>
                          <a:avLst/>
                          <a:gdLst/>
                          <a:ahLst/>
                          <a:cxnLst/>
                          <a:rect l="l" t="t" r="r" b="b"/>
                          <a:pathLst>
                            <a:path w="228600" h="0">
                              <a:moveTo>
                                <a:pt x="0" y="0"/>
                              </a:moveTo>
                              <a:lnTo>
                                <a:pt x="228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78944" from="156pt,18.831718pt" to="174pt,18.831718pt" stroked="true" strokeweight="1pt" strokecolor="#000000">
                <v:stroke dashstyle="solid"/>
                <w10:wrap type="none"/>
              </v:line>
            </w:pict>
          </mc:Fallback>
        </mc:AlternateContent>
      </w:r>
      <w:r>
        <w:rPr/>
        <mc:AlternateContent>
          <mc:Choice Requires="wps">
            <w:drawing>
              <wp:anchor distT="0" distB="0" distL="0" distR="0" allowOverlap="1" layoutInCell="1" locked="0" behindDoc="1" simplePos="0" relativeHeight="484738048">
                <wp:simplePos x="0" y="0"/>
                <wp:positionH relativeFrom="page">
                  <wp:posOffset>1981200</wp:posOffset>
                </wp:positionH>
                <wp:positionV relativeFrom="paragraph">
                  <wp:posOffset>315362</wp:posOffset>
                </wp:positionV>
                <wp:extent cx="22860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228600" cy="1270"/>
                        </a:xfrm>
                        <a:custGeom>
                          <a:avLst/>
                          <a:gdLst/>
                          <a:ahLst/>
                          <a:cxnLst/>
                          <a:rect l="l" t="t" r="r" b="b"/>
                          <a:pathLst>
                            <a:path w="228600" h="0">
                              <a:moveTo>
                                <a:pt x="0" y="0"/>
                              </a:moveTo>
                              <a:lnTo>
                                <a:pt x="228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78432" from="156pt,24.831718pt" to="174pt,24.831718pt" stroked="true" strokeweight="1pt" strokecolor="#000000">
                <v:stroke dashstyle="solid"/>
                <w10:wrap type="none"/>
              </v:line>
            </w:pict>
          </mc:Fallback>
        </mc:AlternateContent>
      </w:r>
      <w:r>
        <w:rPr/>
        <w:t>1.8 – </w:t>
      </w:r>
      <w:r>
        <w:rPr>
          <w:spacing w:val="-2"/>
        </w:rPr>
        <w:t>4.6mg/L</w:t>
      </w:r>
      <w:r>
        <w:rPr/>
        <w:tab/>
        <w:t>25.13</w:t>
      </w:r>
      <w:r>
        <w:rPr>
          <w:spacing w:val="2"/>
        </w:rPr>
        <w:t> </w:t>
      </w:r>
      <w:r>
        <w:rPr/>
        <w:t>–</w:t>
      </w:r>
      <w:r>
        <w:rPr>
          <w:spacing w:val="1"/>
        </w:rPr>
        <w:t> </w:t>
      </w:r>
      <w:r>
        <w:rPr>
          <w:spacing w:val="-2"/>
        </w:rPr>
        <w:t>64.22nmol/L</w:t>
      </w:r>
    </w:p>
    <w:p>
      <w:pPr>
        <w:pStyle w:val="BodyText"/>
      </w:pPr>
    </w:p>
    <w:p>
      <w:pPr>
        <w:pStyle w:val="BodyText"/>
        <w:ind w:left="560"/>
      </w:pPr>
      <w:r>
        <w:rPr/>
        <w:t>Conversion</w:t>
      </w:r>
      <w:r>
        <w:rPr>
          <w:spacing w:val="-1"/>
        </w:rPr>
        <w:t> </w:t>
      </w:r>
      <w:r>
        <w:rPr/>
        <w:t>between</w:t>
      </w:r>
      <w:r>
        <w:rPr>
          <w:spacing w:val="-1"/>
        </w:rPr>
        <w:t> </w:t>
      </w:r>
      <w:r>
        <w:rPr/>
        <w:t>mg/L</w:t>
      </w:r>
      <w:r>
        <w:rPr>
          <w:spacing w:val="-3"/>
        </w:rPr>
        <w:t> </w:t>
      </w:r>
      <w:r>
        <w:rPr/>
        <w:t>and </w:t>
      </w:r>
      <w:r>
        <w:rPr>
          <w:spacing w:val="-2"/>
        </w:rPr>
        <w:t>nmol/L</w:t>
      </w:r>
    </w:p>
    <w:p>
      <w:pPr>
        <w:pStyle w:val="BodyText"/>
        <w:spacing w:before="1"/>
      </w:pPr>
    </w:p>
    <w:p>
      <w:pPr>
        <w:pStyle w:val="BodyText"/>
        <w:tabs>
          <w:tab w:pos="3598" w:val="left" w:leader="none"/>
        </w:tabs>
        <w:ind w:left="560"/>
      </w:pPr>
      <w:r>
        <w:rPr/>
        <mc:AlternateContent>
          <mc:Choice Requires="wps">
            <w:drawing>
              <wp:anchor distT="0" distB="0" distL="0" distR="0" allowOverlap="1" layoutInCell="1" locked="0" behindDoc="1" simplePos="0" relativeHeight="484738560">
                <wp:simplePos x="0" y="0"/>
                <wp:positionH relativeFrom="page">
                  <wp:posOffset>2634614</wp:posOffset>
                </wp:positionH>
                <wp:positionV relativeFrom="paragraph">
                  <wp:posOffset>68407</wp:posOffset>
                </wp:positionV>
                <wp:extent cx="22860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228600" cy="1270"/>
                        </a:xfrm>
                        <a:custGeom>
                          <a:avLst/>
                          <a:gdLst/>
                          <a:ahLst/>
                          <a:cxnLst/>
                          <a:rect l="l" t="t" r="r" b="b"/>
                          <a:pathLst>
                            <a:path w="228600" h="0">
                              <a:moveTo>
                                <a:pt x="0" y="0"/>
                              </a:moveTo>
                              <a:lnTo>
                                <a:pt x="228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77920" from="207.449997pt,5.386406pt" to="225.449997pt,5.386406pt" stroked="true" strokeweight="1pt" strokecolor="#000000">
                <v:stroke dashstyle="solid"/>
                <w10:wrap type="none"/>
              </v:line>
            </w:pict>
          </mc:Fallback>
        </mc:AlternateContent>
      </w:r>
      <w:r>
        <w:rPr/>
        <mc:AlternateContent>
          <mc:Choice Requires="wps">
            <w:drawing>
              <wp:anchor distT="0" distB="0" distL="0" distR="0" allowOverlap="1" layoutInCell="1" locked="0" behindDoc="1" simplePos="0" relativeHeight="484739072">
                <wp:simplePos x="0" y="0"/>
                <wp:positionH relativeFrom="page">
                  <wp:posOffset>2634614</wp:posOffset>
                </wp:positionH>
                <wp:positionV relativeFrom="paragraph">
                  <wp:posOffset>144607</wp:posOffset>
                </wp:positionV>
                <wp:extent cx="22860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228600" cy="1270"/>
                        </a:xfrm>
                        <a:custGeom>
                          <a:avLst/>
                          <a:gdLst/>
                          <a:ahLst/>
                          <a:cxnLst/>
                          <a:rect l="l" t="t" r="r" b="b"/>
                          <a:pathLst>
                            <a:path w="228600" h="0">
                              <a:moveTo>
                                <a:pt x="0" y="0"/>
                              </a:moveTo>
                              <a:lnTo>
                                <a:pt x="228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77408" from="207.449997pt,11.386406pt" to="225.449997pt,11.386406pt" stroked="true" strokeweight="1pt" strokecolor="#000000">
                <v:stroke dashstyle="solid"/>
                <w10:wrap type="none"/>
              </v:line>
            </w:pict>
          </mc:Fallback>
        </mc:AlternateContent>
      </w:r>
      <w:r>
        <w:rPr/>
        <w:t>(nmol/L</w:t>
      </w:r>
      <w:r>
        <w:rPr>
          <w:spacing w:val="-8"/>
        </w:rPr>
        <w:t> </w:t>
      </w:r>
      <w:r>
        <w:rPr/>
        <w:t>+</w:t>
      </w:r>
      <w:r>
        <w:rPr>
          <w:spacing w:val="-1"/>
        </w:rPr>
        <w:t> </w:t>
      </w:r>
      <w:r>
        <w:rPr/>
        <w:t>13.96</w:t>
      </w:r>
      <w:r>
        <w:rPr>
          <w:spacing w:val="3"/>
        </w:rPr>
        <w:t> </w:t>
      </w:r>
      <w:r>
        <w:rPr/>
        <w:t>= </w:t>
      </w:r>
      <w:r>
        <w:rPr>
          <w:spacing w:val="-4"/>
        </w:rPr>
        <w:t>(mg/L</w:t>
      </w:r>
      <w:r>
        <w:rPr/>
        <w:tab/>
        <w:t>(mg/L</w:t>
      </w:r>
      <w:r>
        <w:rPr>
          <w:spacing w:val="-8"/>
        </w:rPr>
        <w:t> </w:t>
      </w:r>
      <w:r>
        <w:rPr/>
        <w:t>x 13.96</w:t>
      </w:r>
      <w:r>
        <w:rPr>
          <w:spacing w:val="1"/>
        </w:rPr>
        <w:t> </w:t>
      </w:r>
      <w:r>
        <w:rPr/>
        <w:t>= </w:t>
      </w:r>
      <w:r>
        <w:rPr>
          <w:spacing w:val="-2"/>
        </w:rPr>
        <w:t>nmol/L)</w:t>
      </w:r>
    </w:p>
    <w:p>
      <w:pPr>
        <w:pStyle w:val="BodyText"/>
        <w:spacing w:before="4"/>
      </w:pPr>
    </w:p>
    <w:p>
      <w:pPr>
        <w:pStyle w:val="Heading2"/>
        <w:spacing w:before="1"/>
      </w:pPr>
      <w:r>
        <w:rPr>
          <w:spacing w:val="-2"/>
        </w:rPr>
        <w:t>SENSITIVITY</w:t>
      </w:r>
    </w:p>
    <w:p>
      <w:pPr>
        <w:pStyle w:val="BodyText"/>
        <w:spacing w:before="271"/>
        <w:ind w:left="560"/>
      </w:pPr>
      <w:r>
        <w:rPr/>
        <w:t>The</w:t>
      </w:r>
      <w:r>
        <w:rPr>
          <w:spacing w:val="-3"/>
        </w:rPr>
        <w:t> </w:t>
      </w:r>
      <w:r>
        <w:rPr/>
        <w:t>sTfR AccuBind</w:t>
      </w:r>
      <w:r>
        <w:rPr>
          <w:vertAlign w:val="superscript"/>
        </w:rPr>
        <w:t>TM</w:t>
      </w:r>
      <w:r>
        <w:rPr>
          <w:vertAlign w:val="baseline"/>
        </w:rPr>
        <w:t> has a sensitivity</w:t>
      </w:r>
      <w:r>
        <w:rPr>
          <w:spacing w:val="-6"/>
          <w:vertAlign w:val="baseline"/>
        </w:rPr>
        <w:t> </w:t>
      </w:r>
      <w:r>
        <w:rPr>
          <w:vertAlign w:val="baseline"/>
        </w:rPr>
        <w:t>of </w:t>
      </w:r>
      <w:r>
        <w:rPr>
          <w:spacing w:val="-2"/>
          <w:vertAlign w:val="baseline"/>
        </w:rPr>
        <w:t>0.055nmol/L.</w:t>
      </w:r>
    </w:p>
    <w:p>
      <w:pPr>
        <w:pStyle w:val="BodyText"/>
      </w:pPr>
    </w:p>
    <w:p>
      <w:pPr>
        <w:pStyle w:val="BodyText"/>
        <w:spacing w:before="5"/>
      </w:pPr>
    </w:p>
    <w:p>
      <w:pPr>
        <w:pStyle w:val="ListParagraph"/>
        <w:numPr>
          <w:ilvl w:val="2"/>
          <w:numId w:val="9"/>
        </w:numPr>
        <w:tabs>
          <w:tab w:pos="1040" w:val="left" w:leader="none"/>
        </w:tabs>
        <w:spacing w:line="480" w:lineRule="auto" w:before="0" w:after="0"/>
        <w:ind w:left="560" w:right="801" w:firstLine="0"/>
        <w:jc w:val="left"/>
        <w:rPr>
          <w:b/>
          <w:sz w:val="24"/>
        </w:rPr>
      </w:pPr>
      <w:r>
        <w:rPr>
          <w:b/>
          <w:sz w:val="24"/>
        </w:rPr>
        <w:t>QUANTITATIVE ASSAY OF SERUM FERRITIN BY ELISA TECHNIQUE AS DESCRIBED BY (MONOBIND INC., 2012). Catalogue No. 2825-300</w:t>
      </w:r>
    </w:p>
    <w:p>
      <w:pPr>
        <w:pStyle w:val="Heading2"/>
      </w:pPr>
      <w:r>
        <w:rPr>
          <w:spacing w:val="-2"/>
        </w:rPr>
        <w:t>PRINCIPLE:</w:t>
      </w:r>
    </w:p>
    <w:p>
      <w:pPr>
        <w:pStyle w:val="BodyText"/>
        <w:rPr>
          <w:b/>
        </w:rPr>
      </w:pPr>
    </w:p>
    <w:p>
      <w:pPr>
        <w:pStyle w:val="Heading3"/>
        <w:jc w:val="both"/>
      </w:pPr>
      <w:r>
        <w:rPr/>
        <w:t>Immunoenzymometric</w:t>
      </w:r>
      <w:r>
        <w:rPr>
          <w:spacing w:val="-4"/>
        </w:rPr>
        <w:t> </w:t>
      </w:r>
      <w:r>
        <w:rPr/>
        <w:t>Sequential</w:t>
      </w:r>
      <w:r>
        <w:rPr>
          <w:spacing w:val="-3"/>
        </w:rPr>
        <w:t> </w:t>
      </w:r>
      <w:r>
        <w:rPr/>
        <w:t>Assay</w:t>
      </w:r>
      <w:r>
        <w:rPr>
          <w:spacing w:val="-2"/>
        </w:rPr>
        <w:t> </w:t>
      </w:r>
      <w:r>
        <w:rPr/>
        <w:t>(TYPE</w:t>
      </w:r>
      <w:r>
        <w:rPr>
          <w:spacing w:val="-2"/>
        </w:rPr>
        <w:t> </w:t>
      </w:r>
      <w:r>
        <w:rPr>
          <w:spacing w:val="-5"/>
        </w:rPr>
        <w:t>4):</w:t>
      </w:r>
    </w:p>
    <w:p>
      <w:pPr>
        <w:pStyle w:val="BodyText"/>
        <w:spacing w:line="480" w:lineRule="auto" w:before="272"/>
        <w:ind w:left="560" w:right="796"/>
        <w:jc w:val="both"/>
      </w:pPr>
      <w:r>
        <w:rPr/>
        <w:t>A specific anti-ferritin antibody with different and distinct epitope recognition is coated in a microtiter well. Monoclonal Biotinylated antibody and serum containing the native antigen are added simultaneously. A reaction result forming an antibody antigen complex. The biotin attached to the antibody binds to the streptavidin coated in the microwells resulting in immobilization of the complex. The complex is incubated and later on washed to remove the unbound antibody-antigen complex.</w:t>
      </w:r>
    </w:p>
    <w:p>
      <w:pPr>
        <w:spacing w:after="0" w:line="480" w:lineRule="auto"/>
        <w:jc w:val="both"/>
        <w:sectPr>
          <w:pgSz w:w="11910" w:h="16840"/>
          <w:pgMar w:header="0" w:footer="1067" w:top="1060" w:bottom="1260" w:left="880" w:right="640"/>
        </w:sectPr>
      </w:pPr>
    </w:p>
    <w:p>
      <w:pPr>
        <w:pStyle w:val="BodyText"/>
        <w:spacing w:before="70"/>
        <w:ind w:left="560"/>
      </w:pPr>
      <w:r>
        <w:rPr/>
        <mc:AlternateContent>
          <mc:Choice Requires="wps">
            <w:drawing>
              <wp:anchor distT="0" distB="0" distL="0" distR="0" allowOverlap="1" layoutInCell="1" locked="0" behindDoc="1" simplePos="0" relativeHeight="484740608">
                <wp:simplePos x="0" y="0"/>
                <wp:positionH relativeFrom="page">
                  <wp:posOffset>2743200</wp:posOffset>
                </wp:positionH>
                <wp:positionV relativeFrom="paragraph">
                  <wp:posOffset>413004</wp:posOffset>
                </wp:positionV>
                <wp:extent cx="463550" cy="1270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63550" cy="127000"/>
                          <a:chExt cx="463550" cy="127000"/>
                        </a:xfrm>
                      </wpg:grpSpPr>
                      <wps:wsp>
                        <wps:cNvPr id="27" name="Graphic 27"/>
                        <wps:cNvSpPr/>
                        <wps:spPr>
                          <a:xfrm>
                            <a:off x="452437" y="115887"/>
                            <a:ext cx="9525" cy="9525"/>
                          </a:xfrm>
                          <a:custGeom>
                            <a:avLst/>
                            <a:gdLst/>
                            <a:ahLst/>
                            <a:cxnLst/>
                            <a:rect l="l" t="t" r="r" b="b"/>
                            <a:pathLst>
                              <a:path w="9525" h="9525">
                                <a:moveTo>
                                  <a:pt x="0" y="4762"/>
                                </a:moveTo>
                                <a:lnTo>
                                  <a:pt x="1394" y="1394"/>
                                </a:lnTo>
                                <a:lnTo>
                                  <a:pt x="4762" y="0"/>
                                </a:lnTo>
                                <a:lnTo>
                                  <a:pt x="8130" y="1394"/>
                                </a:lnTo>
                                <a:lnTo>
                                  <a:pt x="9525" y="4762"/>
                                </a:lnTo>
                                <a:lnTo>
                                  <a:pt x="8130" y="8130"/>
                                </a:lnTo>
                                <a:lnTo>
                                  <a:pt x="4762" y="9525"/>
                                </a:lnTo>
                                <a:lnTo>
                                  <a:pt x="1394" y="8130"/>
                                </a:lnTo>
                                <a:lnTo>
                                  <a:pt x="0" y="4762"/>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0" y="6350"/>
                            <a:ext cx="457200" cy="114300"/>
                          </a:xfrm>
                          <a:custGeom>
                            <a:avLst/>
                            <a:gdLst/>
                            <a:ahLst/>
                            <a:cxnLst/>
                            <a:rect l="l" t="t" r="r" b="b"/>
                            <a:pathLst>
                              <a:path w="457200" h="114300">
                                <a:moveTo>
                                  <a:pt x="0" y="114300"/>
                                </a:moveTo>
                                <a:lnTo>
                                  <a:pt x="457200" y="114300"/>
                                </a:lnTo>
                              </a:path>
                              <a:path w="457200" h="114300">
                                <a:moveTo>
                                  <a:pt x="457200" y="114300"/>
                                </a:moveTo>
                                <a:lnTo>
                                  <a:pt x="3429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6pt;margin-top:32.520000pt;width:36.5pt;height:10pt;mso-position-horizontal-relative:page;mso-position-vertical-relative:paragraph;z-index:-18575872" id="docshapegroup18" coordorigin="4320,650" coordsize="730,200">
                <v:shape style="position:absolute;left:5032;top:832;width:15;height:15" id="docshape19" coordorigin="5033,833" coordsize="15,15" path="m5033,840l5035,835,5040,833,5045,835,5048,840,5045,846,5040,848,5035,846,5033,840xe" filled="true" fillcolor="#000000" stroked="false">
                  <v:path arrowok="t"/>
                  <v:fill type="solid"/>
                </v:shape>
                <v:shape style="position:absolute;left:4320;top:660;width:720;height:180" id="docshape20" coordorigin="4320,660" coordsize="720,180" path="m4320,840l5040,840m5040,840l4860,660e" filled="false" stroked="true" strokeweight="1pt" strokecolor="#000000">
                  <v:path arrowok="t"/>
                  <v:stroke dashstyle="solid"/>
                </v:shape>
                <w10:wrap type="none"/>
              </v:group>
            </w:pict>
          </mc:Fallback>
        </mc:AlternateContent>
      </w:r>
      <w:r>
        <w:rPr/>
        <w:t>The</w:t>
      </w:r>
      <w:r>
        <w:rPr>
          <w:spacing w:val="-3"/>
        </w:rPr>
        <w:t> </w:t>
      </w:r>
      <w:r>
        <w:rPr/>
        <w:t>interaction is</w:t>
      </w:r>
      <w:r>
        <w:rPr>
          <w:spacing w:val="-1"/>
        </w:rPr>
        <w:t> </w:t>
      </w:r>
      <w:r>
        <w:rPr/>
        <w:t>illustrated</w:t>
      </w:r>
      <w:r>
        <w:rPr>
          <w:spacing w:val="-1"/>
        </w:rPr>
        <w:t> </w:t>
      </w:r>
      <w:r>
        <w:rPr/>
        <w:t>by</w:t>
      </w:r>
      <w:r>
        <w:rPr>
          <w:spacing w:val="-5"/>
        </w:rPr>
        <w:t> </w:t>
      </w:r>
      <w:r>
        <w:rPr/>
        <w:t>the</w:t>
      </w:r>
      <w:r>
        <w:rPr>
          <w:spacing w:val="1"/>
        </w:rPr>
        <w:t> </w:t>
      </w:r>
      <w:r>
        <w:rPr>
          <w:spacing w:val="-2"/>
        </w:rPr>
        <w:t>following</w:t>
      </w:r>
    </w:p>
    <w:p>
      <w:pPr>
        <w:spacing w:after="0"/>
        <w:sectPr>
          <w:pgSz w:w="11910" w:h="16840"/>
          <w:pgMar w:header="0" w:footer="1067" w:top="1060" w:bottom="1260" w:left="880" w:right="640"/>
        </w:sectPr>
      </w:pPr>
    </w:p>
    <w:p>
      <w:pPr>
        <w:pStyle w:val="BodyText"/>
      </w:pPr>
    </w:p>
    <w:p>
      <w:pPr>
        <w:pStyle w:val="BodyText"/>
      </w:pPr>
    </w:p>
    <w:p>
      <w:pPr>
        <w:pStyle w:val="BodyText"/>
      </w:pPr>
    </w:p>
    <w:p>
      <w:pPr>
        <w:pStyle w:val="BodyText"/>
        <w:spacing w:before="1"/>
        <w:ind w:left="560"/>
      </w:pPr>
      <w:r>
        <w:rPr>
          <w:spacing w:val="-2"/>
        </w:rPr>
        <w:t>Where,</w:t>
      </w:r>
    </w:p>
    <w:p>
      <w:pPr>
        <w:spacing w:line="240" w:lineRule="auto" w:before="93"/>
        <w:rPr>
          <w:sz w:val="16"/>
        </w:rPr>
      </w:pPr>
      <w:r>
        <w:rPr/>
        <w:br w:type="column"/>
      </w:r>
      <w:r>
        <w:rPr>
          <w:sz w:val="16"/>
        </w:rPr>
      </w:r>
    </w:p>
    <w:p>
      <w:pPr>
        <w:spacing w:before="1"/>
        <w:ind w:left="0" w:right="0" w:firstLine="0"/>
        <w:jc w:val="left"/>
        <w:rPr>
          <w:sz w:val="16"/>
        </w:rPr>
      </w:pPr>
      <w:r>
        <w:rPr>
          <w:position w:val="3"/>
          <w:sz w:val="24"/>
        </w:rPr>
        <w:t>Ag</w:t>
      </w:r>
      <w:r>
        <w:rPr>
          <w:sz w:val="16"/>
        </w:rPr>
        <w:t>(ferritin)</w:t>
      </w:r>
      <w:r>
        <w:rPr>
          <w:spacing w:val="16"/>
          <w:sz w:val="16"/>
        </w:rPr>
        <w:t> </w:t>
      </w:r>
      <w:r>
        <w:rPr>
          <w:position w:val="3"/>
          <w:sz w:val="24"/>
        </w:rPr>
        <w:t>+</w:t>
      </w:r>
      <w:r>
        <w:rPr>
          <w:spacing w:val="-3"/>
          <w:position w:val="3"/>
          <w:sz w:val="24"/>
        </w:rPr>
        <w:t> </w:t>
      </w:r>
      <w:r>
        <w:rPr>
          <w:spacing w:val="-2"/>
          <w:position w:val="3"/>
          <w:sz w:val="24"/>
        </w:rPr>
        <w:t>Ab</w:t>
      </w:r>
      <w:r>
        <w:rPr>
          <w:spacing w:val="-2"/>
          <w:sz w:val="16"/>
        </w:rPr>
        <w:t>(m)</w:t>
      </w:r>
    </w:p>
    <w:p>
      <w:pPr>
        <w:spacing w:before="114"/>
        <w:ind w:left="560" w:right="0" w:firstLine="0"/>
        <w:jc w:val="left"/>
        <w:rPr>
          <w:sz w:val="16"/>
        </w:rPr>
      </w:pPr>
      <w:r>
        <w:rPr/>
        <w:br w:type="column"/>
      </w:r>
      <w:r>
        <w:rPr>
          <w:rFonts w:ascii="Microsoft Sans Serif" w:hAnsi="Microsoft Sans Serif"/>
          <w:spacing w:val="-27"/>
          <w:position w:val="16"/>
          <w:sz w:val="28"/>
        </w:rPr>
        <w:t>K</w:t>
      </w:r>
      <w:r>
        <w:rPr>
          <w:spacing w:val="-147"/>
          <w:position w:val="3"/>
          <w:sz w:val="24"/>
        </w:rPr>
        <w:t>A</w:t>
      </w:r>
      <w:r>
        <w:rPr>
          <w:rFonts w:ascii="Microsoft Sans Serif" w:hAnsi="Microsoft Sans Serif"/>
          <w:position w:val="12"/>
          <w:sz w:val="18"/>
        </w:rPr>
        <w:t>a</w:t>
      </w:r>
      <w:r>
        <w:rPr>
          <w:rFonts w:ascii="Microsoft Sans Serif" w:hAnsi="Microsoft Sans Serif"/>
          <w:spacing w:val="-2"/>
          <w:position w:val="12"/>
          <w:sz w:val="18"/>
        </w:rPr>
        <w:t> </w:t>
      </w:r>
      <w:r>
        <w:rPr>
          <w:position w:val="3"/>
          <w:sz w:val="24"/>
        </w:rPr>
        <w:t>g</w:t>
      </w:r>
      <w:r>
        <w:rPr>
          <w:sz w:val="16"/>
        </w:rPr>
        <w:t>(ferritin)</w:t>
      </w:r>
      <w:r>
        <w:rPr>
          <w:spacing w:val="16"/>
          <w:sz w:val="16"/>
        </w:rPr>
        <w:t> </w:t>
      </w:r>
      <w:r>
        <w:rPr>
          <w:position w:val="3"/>
          <w:sz w:val="24"/>
        </w:rPr>
        <w:t>–</w:t>
      </w:r>
      <w:r>
        <w:rPr>
          <w:spacing w:val="-4"/>
          <w:position w:val="3"/>
          <w:sz w:val="24"/>
        </w:rPr>
        <w:t> </w:t>
      </w:r>
      <w:r>
        <w:rPr>
          <w:spacing w:val="-2"/>
          <w:position w:val="14"/>
          <w:sz w:val="16"/>
        </w:rPr>
        <w:t>Btn</w:t>
      </w:r>
      <w:r>
        <w:rPr>
          <w:spacing w:val="-2"/>
          <w:position w:val="3"/>
          <w:sz w:val="24"/>
        </w:rPr>
        <w:t>Ab</w:t>
      </w:r>
      <w:r>
        <w:rPr>
          <w:spacing w:val="-2"/>
          <w:sz w:val="16"/>
        </w:rPr>
        <w:t>(m)</w:t>
      </w:r>
    </w:p>
    <w:p>
      <w:pPr>
        <w:pStyle w:val="BodyText"/>
        <w:spacing w:before="4"/>
        <w:rPr>
          <w:sz w:val="5"/>
        </w:rPr>
      </w:pPr>
    </w:p>
    <w:p>
      <w:pPr>
        <w:pStyle w:val="BodyText"/>
        <w:ind w:left="453"/>
        <w:rPr>
          <w:sz w:val="20"/>
        </w:rPr>
      </w:pPr>
      <w:r>
        <w:rPr>
          <w:sz w:val="20"/>
        </w:rPr>
        <mc:AlternateContent>
          <mc:Choice Requires="wps">
            <w:drawing>
              <wp:inline distT="0" distB="0" distL="0" distR="0">
                <wp:extent cx="463550" cy="231775"/>
                <wp:effectExtent l="9525" t="0" r="12700" b="6350"/>
                <wp:docPr id="29" name="Group 29"/>
                <wp:cNvGraphicFramePr>
                  <a:graphicFrameLocks/>
                </wp:cNvGraphicFramePr>
                <a:graphic>
                  <a:graphicData uri="http://schemas.microsoft.com/office/word/2010/wordprocessingGroup">
                    <wpg:wgp>
                      <wpg:cNvPr id="29" name="Group 29"/>
                      <wpg:cNvGrpSpPr/>
                      <wpg:grpSpPr>
                        <a:xfrm>
                          <a:off x="0" y="0"/>
                          <a:ext cx="463550" cy="231775"/>
                          <a:chExt cx="463550" cy="231775"/>
                        </a:xfrm>
                      </wpg:grpSpPr>
                      <wps:wsp>
                        <wps:cNvPr id="30" name="Graphic 30"/>
                        <wps:cNvSpPr/>
                        <wps:spPr>
                          <a:xfrm>
                            <a:off x="6350" y="6350"/>
                            <a:ext cx="457200" cy="114300"/>
                          </a:xfrm>
                          <a:custGeom>
                            <a:avLst/>
                            <a:gdLst/>
                            <a:ahLst/>
                            <a:cxnLst/>
                            <a:rect l="l" t="t" r="r" b="b"/>
                            <a:pathLst>
                              <a:path w="457200" h="114300">
                                <a:moveTo>
                                  <a:pt x="457200" y="0"/>
                                </a:moveTo>
                                <a:lnTo>
                                  <a:pt x="0" y="0"/>
                                </a:lnTo>
                              </a:path>
                              <a:path w="457200" h="114300">
                                <a:moveTo>
                                  <a:pt x="0" y="0"/>
                                </a:moveTo>
                                <a:lnTo>
                                  <a:pt x="114300" y="114300"/>
                                </a:lnTo>
                              </a:path>
                            </a:pathLst>
                          </a:custGeom>
                          <a:ln w="12700">
                            <a:solidFill>
                              <a:srgbClr val="000000"/>
                            </a:solidFill>
                            <a:prstDash val="solid"/>
                          </a:ln>
                        </wps:spPr>
                        <wps:bodyPr wrap="square" lIns="0" tIns="0" rIns="0" bIns="0" rtlCol="0">
                          <a:prstTxWarp prst="textNoShape">
                            <a:avLst/>
                          </a:prstTxWarp>
                          <a:noAutofit/>
                        </wps:bodyPr>
                      </wps:wsp>
                      <wps:wsp>
                        <wps:cNvPr id="31" name="Textbox 31"/>
                        <wps:cNvSpPr txBox="1"/>
                        <wps:spPr>
                          <a:xfrm>
                            <a:off x="0" y="0"/>
                            <a:ext cx="463550" cy="231775"/>
                          </a:xfrm>
                          <a:prstGeom prst="rect">
                            <a:avLst/>
                          </a:prstGeom>
                        </wps:spPr>
                        <wps:txbx>
                          <w:txbxContent>
                            <w:p>
                              <w:pPr>
                                <w:spacing w:before="28"/>
                                <w:ind w:left="263" w:right="0" w:firstLine="0"/>
                                <w:jc w:val="left"/>
                                <w:rPr>
                                  <w:rFonts w:ascii="Microsoft Sans Serif"/>
                                  <w:sz w:val="18"/>
                                </w:rPr>
                              </w:pPr>
                              <w:r>
                                <w:rPr>
                                  <w:rFonts w:ascii="Microsoft Sans Serif"/>
                                  <w:position w:val="4"/>
                                  <w:sz w:val="28"/>
                                </w:rPr>
                                <w:t>K</w:t>
                              </w:r>
                              <w:r>
                                <w:rPr>
                                  <w:rFonts w:ascii="Microsoft Sans Serif"/>
                                  <w:spacing w:val="4"/>
                                  <w:position w:val="4"/>
                                  <w:sz w:val="28"/>
                                </w:rPr>
                                <w:t> </w:t>
                              </w:r>
                              <w:r>
                                <w:rPr>
                                  <w:rFonts w:ascii="Microsoft Sans Serif"/>
                                  <w:sz w:val="18"/>
                                </w:rPr>
                                <w:t>-</w:t>
                              </w:r>
                              <w:r>
                                <w:rPr>
                                  <w:rFonts w:ascii="Microsoft Sans Serif"/>
                                  <w:spacing w:val="-10"/>
                                  <w:sz w:val="18"/>
                                </w:rPr>
                                <w:t>a</w:t>
                              </w:r>
                            </w:p>
                          </w:txbxContent>
                        </wps:txbx>
                        <wps:bodyPr wrap="square" lIns="0" tIns="0" rIns="0" bIns="0" rtlCol="0">
                          <a:noAutofit/>
                        </wps:bodyPr>
                      </wps:wsp>
                    </wpg:wgp>
                  </a:graphicData>
                </a:graphic>
              </wp:inline>
            </w:drawing>
          </mc:Choice>
          <mc:Fallback>
            <w:pict>
              <v:group style="width:36.5pt;height:18.25pt;mso-position-horizontal-relative:char;mso-position-vertical-relative:line" id="docshapegroup21" coordorigin="0,0" coordsize="730,365">
                <v:shape style="position:absolute;left:10;top:10;width:720;height:180" id="docshape22" coordorigin="10,10" coordsize="720,180" path="m730,10l10,10m10,10l190,190e" filled="false" stroked="true" strokeweight="1pt" strokecolor="#000000">
                  <v:path arrowok="t"/>
                  <v:stroke dashstyle="solid"/>
                </v:shape>
                <v:shape style="position:absolute;left:0;top:0;width:730;height:365" type="#_x0000_t202" id="docshape23" filled="false" stroked="false">
                  <v:textbox inset="0,0,0,0">
                    <w:txbxContent>
                      <w:p>
                        <w:pPr>
                          <w:spacing w:before="28"/>
                          <w:ind w:left="263" w:right="0" w:firstLine="0"/>
                          <w:jc w:val="left"/>
                          <w:rPr>
                            <w:rFonts w:ascii="Microsoft Sans Serif"/>
                            <w:sz w:val="18"/>
                          </w:rPr>
                        </w:pPr>
                        <w:r>
                          <w:rPr>
                            <w:rFonts w:ascii="Microsoft Sans Serif"/>
                            <w:position w:val="4"/>
                            <w:sz w:val="28"/>
                          </w:rPr>
                          <w:t>K</w:t>
                        </w:r>
                        <w:r>
                          <w:rPr>
                            <w:rFonts w:ascii="Microsoft Sans Serif"/>
                            <w:spacing w:val="4"/>
                            <w:position w:val="4"/>
                            <w:sz w:val="28"/>
                          </w:rPr>
                          <w:t> </w:t>
                        </w:r>
                        <w:r>
                          <w:rPr>
                            <w:rFonts w:ascii="Microsoft Sans Serif"/>
                            <w:sz w:val="18"/>
                          </w:rPr>
                          <w:t>-</w:t>
                        </w:r>
                        <w:r>
                          <w:rPr>
                            <w:rFonts w:ascii="Microsoft Sans Serif"/>
                            <w:spacing w:val="-10"/>
                            <w:sz w:val="18"/>
                          </w:rPr>
                          <w:t>a</w:t>
                        </w:r>
                      </w:p>
                    </w:txbxContent>
                  </v:textbox>
                  <w10:wrap type="none"/>
                </v:shape>
              </v:group>
            </w:pict>
          </mc:Fallback>
        </mc:AlternateContent>
      </w:r>
      <w:r>
        <w:rPr>
          <w:sz w:val="20"/>
        </w:rPr>
      </w:r>
    </w:p>
    <w:p>
      <w:pPr>
        <w:spacing w:after="0"/>
        <w:rPr>
          <w:sz w:val="20"/>
        </w:rPr>
        <w:sectPr>
          <w:type w:val="continuous"/>
          <w:pgSz w:w="11910" w:h="16840"/>
          <w:pgMar w:header="0" w:footer="1067" w:top="1060" w:bottom="1260" w:left="880" w:right="640"/>
          <w:cols w:num="3" w:equalWidth="0">
            <w:col w:w="1259" w:space="21"/>
            <w:col w:w="1666" w:space="78"/>
            <w:col w:w="7366"/>
          </w:cols>
        </w:sectPr>
      </w:pPr>
    </w:p>
    <w:p>
      <w:pPr>
        <w:pStyle w:val="BodyText"/>
        <w:spacing w:line="480" w:lineRule="auto" w:before="276"/>
        <w:ind w:left="560" w:right="3345"/>
      </w:pPr>
      <w:r>
        <w:rPr>
          <w:vertAlign w:val="superscript"/>
        </w:rPr>
        <w:t>Btn</w:t>
      </w:r>
      <w:r>
        <w:rPr>
          <w:vertAlign w:val="baseline"/>
        </w:rPr>
        <w:t>Ab</w:t>
      </w:r>
      <w:r>
        <w:rPr>
          <w:vertAlign w:val="subscript"/>
        </w:rPr>
        <w:t>(m)</w:t>
      </w:r>
      <w:r>
        <w:rPr>
          <w:spacing w:val="-8"/>
          <w:vertAlign w:val="baseline"/>
        </w:rPr>
        <w:t> </w:t>
      </w:r>
      <w:r>
        <w:rPr>
          <w:vertAlign w:val="baseline"/>
        </w:rPr>
        <w:t>=</w:t>
      </w:r>
      <w:r>
        <w:rPr>
          <w:spacing w:val="-7"/>
          <w:vertAlign w:val="baseline"/>
        </w:rPr>
        <w:t> </w:t>
      </w:r>
      <w:r>
        <w:rPr>
          <w:vertAlign w:val="baseline"/>
        </w:rPr>
        <w:t>Biotinylated</w:t>
      </w:r>
      <w:r>
        <w:rPr>
          <w:spacing w:val="-4"/>
          <w:vertAlign w:val="baseline"/>
        </w:rPr>
        <w:t> </w:t>
      </w:r>
      <w:r>
        <w:rPr>
          <w:vertAlign w:val="baseline"/>
        </w:rPr>
        <w:t>Monoclonal</w:t>
      </w:r>
      <w:r>
        <w:rPr>
          <w:spacing w:val="-6"/>
          <w:vertAlign w:val="baseline"/>
        </w:rPr>
        <w:t> </w:t>
      </w:r>
      <w:r>
        <w:rPr>
          <w:vertAlign w:val="baseline"/>
        </w:rPr>
        <w:t>Antibody</w:t>
      </w:r>
      <w:r>
        <w:rPr>
          <w:spacing w:val="-11"/>
          <w:vertAlign w:val="baseline"/>
        </w:rPr>
        <w:t> </w:t>
      </w:r>
      <w:r>
        <w:rPr>
          <w:vertAlign w:val="baseline"/>
        </w:rPr>
        <w:t>(Excess</w:t>
      </w:r>
      <w:r>
        <w:rPr>
          <w:spacing w:val="-6"/>
          <w:vertAlign w:val="baseline"/>
        </w:rPr>
        <w:t> </w:t>
      </w:r>
      <w:r>
        <w:rPr>
          <w:vertAlign w:val="baseline"/>
        </w:rPr>
        <w:t>Quantity) Ag</w:t>
      </w:r>
      <w:r>
        <w:rPr>
          <w:vertAlign w:val="subscript"/>
        </w:rPr>
        <w:t>(ferritin)</w:t>
      </w:r>
      <w:r>
        <w:rPr>
          <w:vertAlign w:val="baseline"/>
        </w:rPr>
        <w:t> = Native Antigen (Variable Quantity)</w:t>
      </w:r>
    </w:p>
    <w:p>
      <w:pPr>
        <w:pStyle w:val="BodyText"/>
        <w:spacing w:line="480" w:lineRule="auto"/>
        <w:ind w:left="560" w:right="3345"/>
      </w:pPr>
      <w:r>
        <w:rPr/>
        <w:t>Ag</w:t>
      </w:r>
      <w:r>
        <w:rPr>
          <w:vertAlign w:val="subscript"/>
        </w:rPr>
        <w:t>(ferritin)</w:t>
      </w:r>
      <w:r>
        <w:rPr>
          <w:spacing w:val="-5"/>
          <w:vertAlign w:val="baseline"/>
        </w:rPr>
        <w:t> </w:t>
      </w:r>
      <w:r>
        <w:rPr>
          <w:vertAlign w:val="baseline"/>
        </w:rPr>
        <w:t>–</w:t>
      </w:r>
      <w:r>
        <w:rPr>
          <w:spacing w:val="-8"/>
          <w:vertAlign w:val="baseline"/>
        </w:rPr>
        <w:t> </w:t>
      </w:r>
      <w:r>
        <w:rPr>
          <w:vertAlign w:val="superscript"/>
        </w:rPr>
        <w:t>Btn</w:t>
      </w:r>
      <w:r>
        <w:rPr>
          <w:vertAlign w:val="baseline"/>
        </w:rPr>
        <w:t>Ab</w:t>
      </w:r>
      <w:r>
        <w:rPr>
          <w:vertAlign w:val="subscript"/>
        </w:rPr>
        <w:t>(m)</w:t>
      </w:r>
      <w:r>
        <w:rPr>
          <w:spacing w:val="-6"/>
          <w:vertAlign w:val="baseline"/>
        </w:rPr>
        <w:t> </w:t>
      </w:r>
      <w:r>
        <w:rPr>
          <w:vertAlign w:val="baseline"/>
        </w:rPr>
        <w:t>=</w:t>
      </w:r>
      <w:r>
        <w:rPr>
          <w:spacing w:val="-6"/>
          <w:vertAlign w:val="baseline"/>
        </w:rPr>
        <w:t> </w:t>
      </w:r>
      <w:r>
        <w:rPr>
          <w:vertAlign w:val="baseline"/>
        </w:rPr>
        <w:t>Antigen-Antibody</w:t>
      </w:r>
      <w:r>
        <w:rPr>
          <w:spacing w:val="-8"/>
          <w:vertAlign w:val="baseline"/>
        </w:rPr>
        <w:t> </w:t>
      </w:r>
      <w:r>
        <w:rPr>
          <w:vertAlign w:val="baseline"/>
        </w:rPr>
        <w:t>complex</w:t>
      </w:r>
      <w:r>
        <w:rPr>
          <w:spacing w:val="-5"/>
          <w:vertAlign w:val="baseline"/>
        </w:rPr>
        <w:t> </w:t>
      </w:r>
      <w:r>
        <w:rPr>
          <w:vertAlign w:val="baseline"/>
        </w:rPr>
        <w:t>(Variable</w:t>
      </w:r>
      <w:r>
        <w:rPr>
          <w:spacing w:val="-5"/>
          <w:vertAlign w:val="baseline"/>
        </w:rPr>
        <w:t> </w:t>
      </w:r>
      <w:r>
        <w:rPr>
          <w:vertAlign w:val="baseline"/>
        </w:rPr>
        <w:t>Quan.) K</w:t>
      </w:r>
      <w:r>
        <w:rPr>
          <w:vertAlign w:val="subscript"/>
        </w:rPr>
        <w:t>a</w:t>
      </w:r>
      <w:r>
        <w:rPr>
          <w:vertAlign w:val="baseline"/>
        </w:rPr>
        <w:t> = Rate Constant of Association</w:t>
      </w:r>
    </w:p>
    <w:p>
      <w:pPr>
        <w:pStyle w:val="BodyText"/>
        <w:ind w:left="560"/>
      </w:pPr>
      <w:r>
        <w:rPr/>
        <w:t>K</w:t>
      </w:r>
      <w:r>
        <w:rPr>
          <w:spacing w:val="-1"/>
        </w:rPr>
        <w:t> </w:t>
      </w:r>
      <w:r>
        <w:rPr>
          <w:vertAlign w:val="subscript"/>
        </w:rPr>
        <w:t>–a</w:t>
      </w:r>
      <w:r>
        <w:rPr>
          <w:vertAlign w:val="baseline"/>
        </w:rPr>
        <w:t> =</w:t>
      </w:r>
      <w:r>
        <w:rPr>
          <w:spacing w:val="-1"/>
          <w:vertAlign w:val="baseline"/>
        </w:rPr>
        <w:t> </w:t>
      </w:r>
      <w:r>
        <w:rPr>
          <w:vertAlign w:val="baseline"/>
        </w:rPr>
        <w:t>Rate Constant of </w:t>
      </w:r>
      <w:r>
        <w:rPr>
          <w:spacing w:val="-2"/>
          <w:vertAlign w:val="baseline"/>
        </w:rPr>
        <w:t>Disassociation</w:t>
      </w:r>
    </w:p>
    <w:p>
      <w:pPr>
        <w:pStyle w:val="BodyText"/>
      </w:pPr>
    </w:p>
    <w:p>
      <w:pPr>
        <w:pStyle w:val="BodyText"/>
        <w:tabs>
          <w:tab w:pos="4998" w:val="left" w:leader="none"/>
        </w:tabs>
        <w:spacing w:line="480" w:lineRule="auto"/>
        <w:ind w:left="560" w:right="2774"/>
      </w:pPr>
      <w:r>
        <w:rPr/>
        <mc:AlternateContent>
          <mc:Choice Requires="wps">
            <w:drawing>
              <wp:anchor distT="0" distB="0" distL="0" distR="0" allowOverlap="1" layoutInCell="1" locked="0" behindDoc="1" simplePos="0" relativeHeight="484740096">
                <wp:simplePos x="0" y="0"/>
                <wp:positionH relativeFrom="page">
                  <wp:posOffset>3384550</wp:posOffset>
                </wp:positionH>
                <wp:positionV relativeFrom="paragraph">
                  <wp:posOffset>73502</wp:posOffset>
                </wp:positionV>
                <wp:extent cx="1680845" cy="9398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680845" cy="93980"/>
                          <a:chExt cx="1680845" cy="93980"/>
                        </a:xfrm>
                      </wpg:grpSpPr>
                      <wps:wsp>
                        <wps:cNvPr id="33" name="Graphic 33"/>
                        <wps:cNvSpPr/>
                        <wps:spPr>
                          <a:xfrm>
                            <a:off x="348361" y="85978"/>
                            <a:ext cx="1332230" cy="7620"/>
                          </a:xfrm>
                          <a:custGeom>
                            <a:avLst/>
                            <a:gdLst/>
                            <a:ahLst/>
                            <a:cxnLst/>
                            <a:rect l="l" t="t" r="r" b="b"/>
                            <a:pathLst>
                              <a:path w="1332230" h="7620">
                                <a:moveTo>
                                  <a:pt x="1332230" y="0"/>
                                </a:moveTo>
                                <a:lnTo>
                                  <a:pt x="0" y="0"/>
                                </a:lnTo>
                                <a:lnTo>
                                  <a:pt x="0" y="7620"/>
                                </a:lnTo>
                                <a:lnTo>
                                  <a:pt x="1332230" y="7620"/>
                                </a:lnTo>
                                <a:lnTo>
                                  <a:pt x="1332230"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0" y="0"/>
                            <a:ext cx="342900" cy="76200"/>
                          </a:xfrm>
                          <a:custGeom>
                            <a:avLst/>
                            <a:gdLst/>
                            <a:ahLst/>
                            <a:cxnLst/>
                            <a:rect l="l" t="t" r="r" b="b"/>
                            <a:pathLst>
                              <a:path w="342900" h="76200">
                                <a:moveTo>
                                  <a:pt x="266700" y="0"/>
                                </a:moveTo>
                                <a:lnTo>
                                  <a:pt x="266700" y="76200"/>
                                </a:lnTo>
                                <a:lnTo>
                                  <a:pt x="330200" y="44450"/>
                                </a:lnTo>
                                <a:lnTo>
                                  <a:pt x="279400" y="44450"/>
                                </a:lnTo>
                                <a:lnTo>
                                  <a:pt x="279400" y="31750"/>
                                </a:lnTo>
                                <a:lnTo>
                                  <a:pt x="330200" y="31750"/>
                                </a:lnTo>
                                <a:lnTo>
                                  <a:pt x="266700" y="0"/>
                                </a:lnTo>
                                <a:close/>
                              </a:path>
                              <a:path w="342900" h="76200">
                                <a:moveTo>
                                  <a:pt x="266700" y="31750"/>
                                </a:moveTo>
                                <a:lnTo>
                                  <a:pt x="0" y="31750"/>
                                </a:lnTo>
                                <a:lnTo>
                                  <a:pt x="0" y="44450"/>
                                </a:lnTo>
                                <a:lnTo>
                                  <a:pt x="266700" y="44450"/>
                                </a:lnTo>
                                <a:lnTo>
                                  <a:pt x="266700" y="31750"/>
                                </a:lnTo>
                                <a:close/>
                              </a:path>
                              <a:path w="342900" h="76200">
                                <a:moveTo>
                                  <a:pt x="330200" y="31750"/>
                                </a:moveTo>
                                <a:lnTo>
                                  <a:pt x="279400" y="31750"/>
                                </a:lnTo>
                                <a:lnTo>
                                  <a:pt x="279400" y="44450"/>
                                </a:lnTo>
                                <a:lnTo>
                                  <a:pt x="330200" y="44450"/>
                                </a:lnTo>
                                <a:lnTo>
                                  <a:pt x="342900" y="38100"/>
                                </a:lnTo>
                                <a:lnTo>
                                  <a:pt x="330200" y="317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6.5pt;margin-top:5.787578pt;width:132.35pt;height:7.4pt;mso-position-horizontal-relative:page;mso-position-vertical-relative:paragraph;z-index:-18576384" id="docshapegroup24" coordorigin="5330,116" coordsize="2647,148">
                <v:rect style="position:absolute;left:5878;top:251;width:2098;height:12" id="docshape25" filled="true" fillcolor="#000000" stroked="false">
                  <v:fill type="solid"/>
                </v:rect>
                <v:shape style="position:absolute;left:5330;top:115;width:540;height:120" id="docshape26" coordorigin="5330,116" coordsize="540,120" path="m5750,116l5750,236,5850,186,5770,186,5770,166,5850,166,5750,116xm5750,166l5330,166,5330,186,5750,186,5750,166xm5850,166l5770,166,5770,186,5850,186,5870,176,5850,166xe" filled="true" fillcolor="#000000" stroked="false">
                  <v:path arrowok="t"/>
                  <v:fill type="solid"/>
                </v:shape>
                <w10:wrap type="none"/>
              </v:group>
            </w:pict>
          </mc:Fallback>
        </mc:AlternateContent>
      </w:r>
      <w:r>
        <w:rPr/>
        <w:t>Ag</w:t>
      </w:r>
      <w:r>
        <w:rPr>
          <w:vertAlign w:val="subscript"/>
        </w:rPr>
        <w:t>(ferritin)</w:t>
      </w:r>
      <w:r>
        <w:rPr>
          <w:vertAlign w:val="baseline"/>
        </w:rPr>
        <w:t> –</w:t>
      </w:r>
      <w:r>
        <w:rPr>
          <w:vertAlign w:val="superscript"/>
        </w:rPr>
        <w:t>Btn</w:t>
      </w:r>
      <w:r>
        <w:rPr>
          <w:vertAlign w:val="baseline"/>
        </w:rPr>
        <w:t>Ab</w:t>
      </w:r>
      <w:r>
        <w:rPr>
          <w:vertAlign w:val="subscript"/>
        </w:rPr>
        <w:t>(m)</w:t>
      </w:r>
      <w:r>
        <w:rPr>
          <w:vertAlign w:val="baseline"/>
        </w:rPr>
        <w:t> + </w:t>
      </w:r>
      <w:r>
        <w:rPr>
          <w:u w:val="single"/>
          <w:vertAlign w:val="baseline"/>
        </w:rPr>
        <w:t>Streptavidin</w:t>
      </w:r>
      <w:r>
        <w:rPr>
          <w:vertAlign w:val="baseline"/>
        </w:rPr>
        <w:t> C.W.</w:t>
        <w:tab/>
        <w:t>immobilized</w:t>
      </w:r>
      <w:r>
        <w:rPr>
          <w:spacing w:val="-17"/>
          <w:vertAlign w:val="baseline"/>
        </w:rPr>
        <w:t> </w:t>
      </w:r>
      <w:r>
        <w:rPr>
          <w:vertAlign w:val="baseline"/>
        </w:rPr>
        <w:t>complex</w:t>
      </w:r>
      <w:r>
        <w:rPr>
          <w:spacing w:val="-15"/>
          <w:vertAlign w:val="baseline"/>
        </w:rPr>
        <w:t> </w:t>
      </w:r>
      <w:r>
        <w:rPr>
          <w:vertAlign w:val="baseline"/>
        </w:rPr>
        <w:t>(IC), </w:t>
      </w:r>
      <w:r>
        <w:rPr>
          <w:spacing w:val="-2"/>
          <w:vertAlign w:val="baseline"/>
        </w:rPr>
        <w:t>Where,</w:t>
      </w:r>
    </w:p>
    <w:p>
      <w:pPr>
        <w:pStyle w:val="BodyText"/>
        <w:spacing w:line="480" w:lineRule="auto"/>
        <w:ind w:left="560" w:right="4023"/>
      </w:pPr>
      <w:r>
        <w:rPr>
          <w:u w:val="single"/>
        </w:rPr>
        <w:t>Streptavidin</w:t>
      </w:r>
      <w:r>
        <w:rPr>
          <w:spacing w:val="-4"/>
        </w:rPr>
        <w:t> </w:t>
      </w:r>
      <w:r>
        <w:rPr/>
        <w:t>C.W.</w:t>
      </w:r>
      <w:r>
        <w:rPr>
          <w:spacing w:val="-4"/>
        </w:rPr>
        <w:t> </w:t>
      </w:r>
      <w:r>
        <w:rPr/>
        <w:t>=</w:t>
      </w:r>
      <w:r>
        <w:rPr>
          <w:spacing w:val="-5"/>
        </w:rPr>
        <w:t> </w:t>
      </w:r>
      <w:r>
        <w:rPr/>
        <w:t>Streptavidin</w:t>
      </w:r>
      <w:r>
        <w:rPr>
          <w:spacing w:val="-4"/>
        </w:rPr>
        <w:t> </w:t>
      </w:r>
      <w:r>
        <w:rPr/>
        <w:t>immobilized</w:t>
      </w:r>
      <w:r>
        <w:rPr>
          <w:spacing w:val="-4"/>
        </w:rPr>
        <w:t> </w:t>
      </w:r>
      <w:r>
        <w:rPr/>
        <w:t>on</w:t>
      </w:r>
      <w:r>
        <w:rPr>
          <w:spacing w:val="-7"/>
        </w:rPr>
        <w:t> </w:t>
      </w:r>
      <w:r>
        <w:rPr/>
        <w:t>well </w:t>
      </w:r>
      <w:r>
        <w:rPr>
          <w:u w:val="single"/>
        </w:rPr>
        <w:t>Immobilized</w:t>
      </w:r>
      <w:r>
        <w:rPr>
          <w:spacing w:val="-1"/>
          <w:u w:val="single"/>
        </w:rPr>
        <w:t> </w:t>
      </w:r>
      <w:r>
        <w:rPr>
          <w:u w:val="single"/>
        </w:rPr>
        <w:t>complex</w:t>
      </w:r>
      <w:r>
        <w:rPr>
          <w:spacing w:val="-1"/>
          <w:u w:val="single"/>
        </w:rPr>
        <w:t> </w:t>
      </w:r>
      <w:r>
        <w:rPr>
          <w:u w:val="single"/>
        </w:rPr>
        <w:t>(IC)</w:t>
      </w:r>
      <w:r>
        <w:rPr/>
        <w:t> =</w:t>
      </w:r>
      <w:r>
        <w:rPr>
          <w:spacing w:val="-2"/>
        </w:rPr>
        <w:t> </w:t>
      </w:r>
      <w:r>
        <w:rPr/>
        <w:t>Ag-Ab</w:t>
      </w:r>
      <w:r>
        <w:rPr>
          <w:spacing w:val="-1"/>
        </w:rPr>
        <w:t> </w:t>
      </w:r>
      <w:r>
        <w:rPr/>
        <w:t>bound</w:t>
      </w:r>
      <w:r>
        <w:rPr>
          <w:spacing w:val="-1"/>
        </w:rPr>
        <w:t> </w:t>
      </w:r>
      <w:r>
        <w:rPr/>
        <w:t>to</w:t>
      </w:r>
      <w:r>
        <w:rPr>
          <w:spacing w:val="-1"/>
        </w:rPr>
        <w:t> </w:t>
      </w:r>
      <w:r>
        <w:rPr/>
        <w:t>the</w:t>
      </w:r>
      <w:r>
        <w:rPr>
          <w:spacing w:val="1"/>
        </w:rPr>
        <w:t> </w:t>
      </w:r>
      <w:r>
        <w:rPr>
          <w:spacing w:val="-4"/>
        </w:rPr>
        <w:t>well</w:t>
      </w:r>
    </w:p>
    <w:p>
      <w:pPr>
        <w:pStyle w:val="BodyText"/>
        <w:spacing w:line="480" w:lineRule="auto" w:before="1"/>
        <w:ind w:left="560" w:right="879"/>
      </w:pPr>
      <w:r>
        <w:rPr/>
        <w:t>After a suitable incubation period, the antibody-antigen bound fraction is separated from unbound antigen by</w:t>
      </w:r>
      <w:r>
        <w:rPr>
          <w:spacing w:val="-5"/>
        </w:rPr>
        <w:t> </w:t>
      </w:r>
      <w:r>
        <w:rPr/>
        <w:t>decanting the</w:t>
      </w:r>
      <w:r>
        <w:rPr>
          <w:spacing w:val="-1"/>
        </w:rPr>
        <w:t> </w:t>
      </w:r>
      <w:r>
        <w:rPr/>
        <w:t>mixture. Another antibody</w:t>
      </w:r>
      <w:r>
        <w:rPr>
          <w:spacing w:val="-5"/>
        </w:rPr>
        <w:t> </w:t>
      </w:r>
      <w:r>
        <w:rPr/>
        <w:t>(directed at a different epitope) labeled</w:t>
      </w:r>
      <w:r>
        <w:rPr>
          <w:spacing w:val="-3"/>
        </w:rPr>
        <w:t> </w:t>
      </w:r>
      <w:r>
        <w:rPr/>
        <w:t>with</w:t>
      </w:r>
      <w:r>
        <w:rPr>
          <w:spacing w:val="-3"/>
        </w:rPr>
        <w:t> </w:t>
      </w:r>
      <w:r>
        <w:rPr/>
        <w:t>an</w:t>
      </w:r>
      <w:r>
        <w:rPr>
          <w:spacing w:val="-3"/>
        </w:rPr>
        <w:t> </w:t>
      </w:r>
      <w:r>
        <w:rPr/>
        <w:t>enzyme</w:t>
      </w:r>
      <w:r>
        <w:rPr>
          <w:spacing w:val="-3"/>
        </w:rPr>
        <w:t> </w:t>
      </w:r>
      <w:r>
        <w:rPr/>
        <w:t>is</w:t>
      </w:r>
      <w:r>
        <w:rPr>
          <w:spacing w:val="-3"/>
        </w:rPr>
        <w:t> </w:t>
      </w:r>
      <w:r>
        <w:rPr/>
        <w:t>added.</w:t>
      </w:r>
      <w:r>
        <w:rPr>
          <w:spacing w:val="-3"/>
        </w:rPr>
        <w:t> </w:t>
      </w:r>
      <w:r>
        <w:rPr/>
        <w:t>An</w:t>
      </w:r>
      <w:r>
        <w:rPr>
          <w:spacing w:val="-3"/>
        </w:rPr>
        <w:t> </w:t>
      </w:r>
      <w:r>
        <w:rPr/>
        <w:t>interaction</w:t>
      </w:r>
      <w:r>
        <w:rPr>
          <w:spacing w:val="-3"/>
        </w:rPr>
        <w:t> </w:t>
      </w:r>
      <w:r>
        <w:rPr/>
        <w:t>occurs</w:t>
      </w:r>
      <w:r>
        <w:rPr>
          <w:spacing w:val="-3"/>
        </w:rPr>
        <w:t> </w:t>
      </w:r>
      <w:r>
        <w:rPr/>
        <w:t>to</w:t>
      </w:r>
      <w:r>
        <w:rPr>
          <w:spacing w:val="-3"/>
        </w:rPr>
        <w:t> </w:t>
      </w:r>
      <w:r>
        <w:rPr/>
        <w:t>form</w:t>
      </w:r>
      <w:r>
        <w:rPr>
          <w:spacing w:val="-1"/>
        </w:rPr>
        <w:t> </w:t>
      </w:r>
      <w:r>
        <w:rPr/>
        <w:t>an</w:t>
      </w:r>
      <w:r>
        <w:rPr>
          <w:spacing w:val="-3"/>
        </w:rPr>
        <w:t> </w:t>
      </w:r>
      <w:r>
        <w:rPr/>
        <w:t>enzyme</w:t>
      </w:r>
      <w:r>
        <w:rPr>
          <w:spacing w:val="-1"/>
        </w:rPr>
        <w:t> </w:t>
      </w:r>
      <w:r>
        <w:rPr/>
        <w:t>antibody-antigen- Biotinylated-antibody complex on the surface of the wells. Excess enzyme is washed. The substrate is added and a blue colour develops that is proportional to the native antigen concentration.</w:t>
      </w:r>
      <w:r>
        <w:rPr>
          <w:spacing w:val="40"/>
        </w:rPr>
        <w:t> </w:t>
      </w:r>
      <w:r>
        <w:rPr/>
        <w:t>The intensity</w:t>
      </w:r>
      <w:r>
        <w:rPr>
          <w:spacing w:val="-6"/>
        </w:rPr>
        <w:t> </w:t>
      </w:r>
      <w:r>
        <w:rPr/>
        <w:t>of the colour is measured at 450nm. Different serum references of known antigen concentration were used to determine the concentration of the antigen in</w:t>
      </w:r>
    </w:p>
    <w:p>
      <w:pPr>
        <w:spacing w:after="0" w:line="480" w:lineRule="auto"/>
        <w:sectPr>
          <w:type w:val="continuous"/>
          <w:pgSz w:w="11910" w:h="16840"/>
          <w:pgMar w:header="0" w:footer="1067" w:top="1060" w:bottom="1260" w:left="880" w:right="640"/>
        </w:sectPr>
      </w:pPr>
    </w:p>
    <w:p>
      <w:pPr>
        <w:pStyle w:val="BodyText"/>
        <w:spacing w:before="1"/>
        <w:ind w:left="560"/>
      </w:pPr>
      <w:r>
        <w:rPr/>
        <w:t>the </w:t>
      </w:r>
      <w:r>
        <w:rPr>
          <w:spacing w:val="-2"/>
        </w:rPr>
        <w:t>specimen.</w:t>
      </w:r>
    </w:p>
    <w:p>
      <w:pPr>
        <w:pStyle w:val="BodyText"/>
      </w:pPr>
    </w:p>
    <w:p>
      <w:pPr>
        <w:pStyle w:val="BodyText"/>
      </w:pPr>
    </w:p>
    <w:p>
      <w:pPr>
        <w:pStyle w:val="BodyText"/>
      </w:pPr>
    </w:p>
    <w:p>
      <w:pPr>
        <w:pStyle w:val="BodyText"/>
        <w:spacing w:before="93"/>
      </w:pPr>
    </w:p>
    <w:p>
      <w:pPr>
        <w:pStyle w:val="BodyText"/>
        <w:spacing w:before="1"/>
        <w:ind w:left="560"/>
      </w:pPr>
      <w:r>
        <w:rPr>
          <w:spacing w:val="-2"/>
        </w:rPr>
        <w:t>Where,</w:t>
      </w:r>
    </w:p>
    <w:p>
      <w:pPr>
        <w:spacing w:line="240" w:lineRule="auto" w:before="0"/>
        <w:rPr>
          <w:sz w:val="16"/>
        </w:rPr>
      </w:pPr>
      <w:r>
        <w:rPr/>
        <w:br w:type="column"/>
      </w:r>
      <w:r>
        <w:rPr>
          <w:sz w:val="16"/>
        </w:rPr>
      </w:r>
    </w:p>
    <w:p>
      <w:pPr>
        <w:pStyle w:val="BodyText"/>
        <w:spacing w:before="122"/>
        <w:rPr>
          <w:sz w:val="16"/>
        </w:rPr>
      </w:pPr>
    </w:p>
    <w:p>
      <w:pPr>
        <w:spacing w:before="0"/>
        <w:ind w:left="142" w:right="0" w:firstLine="0"/>
        <w:jc w:val="left"/>
        <w:rPr>
          <w:sz w:val="24"/>
        </w:rPr>
      </w:pPr>
      <w:r>
        <w:rPr>
          <w:spacing w:val="-8"/>
          <w:position w:val="3"/>
          <w:sz w:val="24"/>
        </w:rPr>
        <w:t>(IC)</w:t>
      </w:r>
      <w:r>
        <w:rPr>
          <w:spacing w:val="3"/>
          <w:position w:val="3"/>
          <w:sz w:val="24"/>
        </w:rPr>
        <w:t> </w:t>
      </w:r>
      <w:r>
        <w:rPr>
          <w:spacing w:val="-8"/>
          <w:position w:val="3"/>
          <w:sz w:val="24"/>
        </w:rPr>
        <w:t>+</w:t>
      </w:r>
      <w:r>
        <w:rPr>
          <w:spacing w:val="1"/>
          <w:position w:val="3"/>
          <w:sz w:val="24"/>
        </w:rPr>
        <w:t> </w:t>
      </w:r>
      <w:r>
        <w:rPr>
          <w:spacing w:val="1"/>
          <w:position w:val="14"/>
          <w:sz w:val="16"/>
        </w:rPr>
        <w:t>E</w:t>
      </w:r>
      <w:r>
        <w:rPr>
          <w:spacing w:val="2"/>
          <w:position w:val="14"/>
          <w:sz w:val="16"/>
        </w:rPr>
        <w:t>n</w:t>
      </w:r>
      <w:r>
        <w:rPr>
          <w:spacing w:val="-1"/>
          <w:position w:val="14"/>
          <w:sz w:val="16"/>
        </w:rPr>
        <w:t>z</w:t>
      </w:r>
      <w:r>
        <w:rPr>
          <w:position w:val="3"/>
          <w:sz w:val="24"/>
        </w:rPr>
        <w:t>A</w:t>
      </w:r>
      <w:r>
        <w:rPr>
          <w:spacing w:val="1"/>
          <w:position w:val="3"/>
          <w:sz w:val="24"/>
        </w:rPr>
        <w:t>b</w:t>
      </w:r>
      <w:r>
        <w:rPr>
          <w:sz w:val="16"/>
        </w:rPr>
        <w:t>(</w:t>
      </w:r>
      <w:r>
        <w:rPr>
          <w:spacing w:val="2"/>
          <w:sz w:val="16"/>
        </w:rPr>
        <w:t>f</w:t>
      </w:r>
      <w:r>
        <w:rPr>
          <w:spacing w:val="-1"/>
          <w:sz w:val="16"/>
        </w:rPr>
        <w:t>e</w:t>
      </w:r>
      <w:r>
        <w:rPr>
          <w:sz w:val="16"/>
        </w:rPr>
        <w:t>rr</w:t>
      </w:r>
      <w:r>
        <w:rPr>
          <w:spacing w:val="1"/>
          <w:sz w:val="16"/>
        </w:rPr>
        <w:t>itin)</w:t>
      </w:r>
      <w:r>
        <w:rPr>
          <w:spacing w:val="-2"/>
          <w:position w:val="14"/>
          <w:sz w:val="16"/>
        </w:rPr>
        <w:t>E</w:t>
      </w:r>
      <w:r>
        <w:rPr>
          <w:spacing w:val="1"/>
          <w:position w:val="14"/>
          <w:sz w:val="16"/>
        </w:rPr>
        <w:t>n</w:t>
      </w:r>
      <w:r>
        <w:rPr>
          <w:spacing w:val="-1"/>
          <w:position w:val="14"/>
          <w:sz w:val="16"/>
        </w:rPr>
        <w:t>z</w:t>
      </w:r>
      <w:r>
        <w:rPr>
          <w:position w:val="3"/>
          <w:sz w:val="24"/>
        </w:rPr>
        <w:t>Ab</w:t>
      </w:r>
      <w:r>
        <w:rPr>
          <w:sz w:val="16"/>
        </w:rPr>
        <w:t>(f</w:t>
      </w:r>
      <w:r>
        <w:rPr>
          <w:spacing w:val="-1"/>
          <w:sz w:val="16"/>
        </w:rPr>
        <w:t>e</w:t>
      </w:r>
      <w:r>
        <w:rPr>
          <w:spacing w:val="-48"/>
          <w:sz w:val="16"/>
        </w:rPr>
        <w:t>r</w:t>
      </w:r>
      <w:r>
        <w:rPr>
          <w:rFonts w:ascii="Microsoft Sans Serif" w:hAnsi="Microsoft Sans Serif"/>
          <w:spacing w:val="-139"/>
          <w:position w:val="6"/>
          <w:sz w:val="28"/>
        </w:rPr>
        <w:t>K</w:t>
      </w:r>
      <w:r>
        <w:rPr>
          <w:sz w:val="16"/>
        </w:rPr>
        <w:t>r</w:t>
      </w:r>
      <w:r>
        <w:rPr>
          <w:spacing w:val="1"/>
          <w:sz w:val="16"/>
        </w:rPr>
        <w:t>i</w:t>
      </w:r>
      <w:r>
        <w:rPr>
          <w:spacing w:val="-3"/>
          <w:sz w:val="16"/>
        </w:rPr>
        <w:t>t</w:t>
      </w:r>
      <w:r>
        <w:rPr>
          <w:rFonts w:ascii="Microsoft Sans Serif" w:hAnsi="Microsoft Sans Serif"/>
          <w:spacing w:val="-95"/>
          <w:position w:val="2"/>
          <w:sz w:val="18"/>
        </w:rPr>
        <w:t>b</w:t>
      </w:r>
      <w:r>
        <w:rPr>
          <w:spacing w:val="1"/>
          <w:sz w:val="16"/>
        </w:rPr>
        <w:t>in)</w:t>
      </w:r>
      <w:r>
        <w:rPr>
          <w:spacing w:val="23"/>
          <w:sz w:val="16"/>
        </w:rPr>
        <w:t> </w:t>
      </w:r>
      <w:r>
        <w:rPr>
          <w:spacing w:val="-8"/>
          <w:position w:val="3"/>
          <w:sz w:val="24"/>
        </w:rPr>
        <w:t>–</w:t>
      </w:r>
      <w:r>
        <w:rPr>
          <w:spacing w:val="6"/>
          <w:position w:val="3"/>
          <w:sz w:val="24"/>
        </w:rPr>
        <w:t> </w:t>
      </w:r>
      <w:r>
        <w:rPr>
          <w:spacing w:val="-8"/>
          <w:position w:val="3"/>
          <w:sz w:val="24"/>
        </w:rPr>
        <w:t>IC</w:t>
      </w:r>
    </w:p>
    <w:p>
      <w:pPr>
        <w:pStyle w:val="Heading1"/>
        <w:spacing w:before="123"/>
        <w:ind w:left="2636"/>
      </w:pPr>
      <w:r>
        <w:rPr/>
        <mc:AlternateContent>
          <mc:Choice Requires="wps">
            <w:drawing>
              <wp:anchor distT="0" distB="0" distL="0" distR="0" allowOverlap="1" layoutInCell="1" locked="0" behindDoc="1" simplePos="0" relativeHeight="484741120">
                <wp:simplePos x="0" y="0"/>
                <wp:positionH relativeFrom="page">
                  <wp:posOffset>3289934</wp:posOffset>
                </wp:positionH>
                <wp:positionV relativeFrom="paragraph">
                  <wp:posOffset>-82191</wp:posOffset>
                </wp:positionV>
                <wp:extent cx="481965" cy="27114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481965" cy="271145"/>
                        </a:xfrm>
                        <a:custGeom>
                          <a:avLst/>
                          <a:gdLst/>
                          <a:ahLst/>
                          <a:cxnLst/>
                          <a:rect l="l" t="t" r="r" b="b"/>
                          <a:pathLst>
                            <a:path w="481965" h="271145">
                              <a:moveTo>
                                <a:pt x="0" y="114300"/>
                              </a:moveTo>
                              <a:lnTo>
                                <a:pt x="457200" y="114300"/>
                              </a:lnTo>
                            </a:path>
                            <a:path w="481965" h="271145">
                              <a:moveTo>
                                <a:pt x="457200" y="114300"/>
                              </a:moveTo>
                              <a:lnTo>
                                <a:pt x="342900" y="0"/>
                              </a:lnTo>
                            </a:path>
                            <a:path w="481965" h="271145">
                              <a:moveTo>
                                <a:pt x="481964" y="156844"/>
                              </a:moveTo>
                              <a:lnTo>
                                <a:pt x="24764" y="156844"/>
                              </a:lnTo>
                            </a:path>
                            <a:path w="481965" h="271145">
                              <a:moveTo>
                                <a:pt x="24764" y="156844"/>
                              </a:moveTo>
                              <a:lnTo>
                                <a:pt x="139064" y="271144"/>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9.049988pt;margin-top:-6.471797pt;width:37.950pt;height:21.35pt;mso-position-horizontal-relative:page;mso-position-vertical-relative:paragraph;z-index:-18575360" id="docshape27" coordorigin="5181,-129" coordsize="759,427" path="m5181,51l5901,51m5901,51l5721,-129m5940,118l5220,118m5220,118l5400,298e" filled="false" stroked="true" strokeweight="1pt" strokecolor="#000000">
                <v:path arrowok="t"/>
                <v:stroke dashstyle="solid"/>
                <w10:wrap type="none"/>
              </v:shape>
            </w:pict>
          </mc:Fallback>
        </mc:AlternateContent>
      </w:r>
      <w:r>
        <w:rPr>
          <w:w w:val="115"/>
        </w:rPr>
        <w:t>K</w:t>
      </w:r>
      <w:r>
        <w:rPr>
          <w:w w:val="115"/>
          <w:vertAlign w:val="subscript"/>
        </w:rPr>
        <w:t>–b</w:t>
      </w:r>
      <w:r>
        <w:rPr>
          <w:spacing w:val="-12"/>
          <w:w w:val="115"/>
          <w:vertAlign w:val="baseline"/>
        </w:rPr>
        <w:t> </w:t>
      </w:r>
      <w:r>
        <w:rPr>
          <w:spacing w:val="-10"/>
          <w:w w:val="120"/>
          <w:vertAlign w:val="baseline"/>
        </w:rPr>
        <w:t>-</w:t>
      </w:r>
    </w:p>
    <w:p>
      <w:pPr>
        <w:spacing w:after="0"/>
        <w:sectPr>
          <w:type w:val="continuous"/>
          <w:pgSz w:w="11910" w:h="16840"/>
          <w:pgMar w:header="0" w:footer="1067" w:top="1060" w:bottom="1260" w:left="880" w:right="640"/>
          <w:cols w:num="2" w:equalWidth="0">
            <w:col w:w="1878" w:space="40"/>
            <w:col w:w="8472"/>
          </w:cols>
        </w:sectPr>
      </w:pPr>
    </w:p>
    <w:p>
      <w:pPr>
        <w:pStyle w:val="BodyText"/>
        <w:spacing w:before="136"/>
        <w:ind w:left="560"/>
      </w:pPr>
      <w:r>
        <w:rPr>
          <w:vertAlign w:val="superscript"/>
        </w:rPr>
        <w:t>Enz</w:t>
      </w:r>
      <w:r>
        <w:rPr>
          <w:vertAlign w:val="baseline"/>
        </w:rPr>
        <w:t>Ab</w:t>
      </w:r>
      <w:r>
        <w:rPr>
          <w:vertAlign w:val="subscript"/>
        </w:rPr>
        <w:t>(ferritin)</w:t>
      </w:r>
      <w:r>
        <w:rPr>
          <w:spacing w:val="10"/>
          <w:vertAlign w:val="baseline"/>
        </w:rPr>
        <w:t> </w:t>
      </w:r>
      <w:r>
        <w:rPr>
          <w:vertAlign w:val="baseline"/>
        </w:rPr>
        <w:t>=</w:t>
      </w:r>
      <w:r>
        <w:rPr>
          <w:spacing w:val="12"/>
          <w:vertAlign w:val="baseline"/>
        </w:rPr>
        <w:t> </w:t>
      </w:r>
      <w:r>
        <w:rPr>
          <w:vertAlign w:val="baseline"/>
        </w:rPr>
        <w:t>Enzyme</w:t>
      </w:r>
      <w:r>
        <w:rPr>
          <w:spacing w:val="12"/>
          <w:vertAlign w:val="baseline"/>
        </w:rPr>
        <w:t> </w:t>
      </w:r>
      <w:r>
        <w:rPr>
          <w:vertAlign w:val="baseline"/>
        </w:rPr>
        <w:t>labeled</w:t>
      </w:r>
      <w:r>
        <w:rPr>
          <w:spacing w:val="11"/>
          <w:vertAlign w:val="baseline"/>
        </w:rPr>
        <w:t> </w:t>
      </w:r>
      <w:r>
        <w:rPr>
          <w:vertAlign w:val="baseline"/>
        </w:rPr>
        <w:t>Antibody</w:t>
      </w:r>
      <w:r>
        <w:rPr>
          <w:spacing w:val="8"/>
          <w:vertAlign w:val="baseline"/>
        </w:rPr>
        <w:t> </w:t>
      </w:r>
      <w:r>
        <w:rPr>
          <w:vertAlign w:val="baseline"/>
        </w:rPr>
        <w:t>(Excess</w:t>
      </w:r>
      <w:r>
        <w:rPr>
          <w:spacing w:val="13"/>
          <w:vertAlign w:val="baseline"/>
        </w:rPr>
        <w:t> </w:t>
      </w:r>
      <w:r>
        <w:rPr>
          <w:vertAlign w:val="baseline"/>
        </w:rPr>
        <w:t>Quantity)</w:t>
      </w:r>
      <w:r>
        <w:rPr>
          <w:spacing w:val="12"/>
          <w:vertAlign w:val="baseline"/>
        </w:rPr>
        <w:t> </w:t>
      </w:r>
      <w:r>
        <w:rPr>
          <w:vertAlign w:val="baseline"/>
        </w:rPr>
        <w:t>EflZAb(ferritin)</w:t>
      </w:r>
      <w:r>
        <w:rPr>
          <w:spacing w:val="17"/>
          <w:vertAlign w:val="baseline"/>
        </w:rPr>
        <w:t> </w:t>
      </w:r>
      <w:r>
        <w:rPr>
          <w:vertAlign w:val="superscript"/>
        </w:rPr>
        <w:t>Enz</w:t>
      </w:r>
      <w:r>
        <w:rPr>
          <w:vertAlign w:val="baseline"/>
        </w:rPr>
        <w:t>Ab</w:t>
      </w:r>
      <w:r>
        <w:rPr>
          <w:vertAlign w:val="subscript"/>
        </w:rPr>
        <w:t>(ferritin)</w:t>
      </w:r>
      <w:r>
        <w:rPr>
          <w:spacing w:val="13"/>
          <w:vertAlign w:val="baseline"/>
        </w:rPr>
        <w:t> </w:t>
      </w:r>
      <w:r>
        <w:rPr>
          <w:vertAlign w:val="baseline"/>
        </w:rPr>
        <w:t>–</w:t>
      </w:r>
      <w:r>
        <w:rPr>
          <w:spacing w:val="13"/>
          <w:vertAlign w:val="baseline"/>
        </w:rPr>
        <w:t> </w:t>
      </w:r>
      <w:r>
        <w:rPr>
          <w:spacing w:val="-5"/>
          <w:vertAlign w:val="baseline"/>
        </w:rPr>
        <w:t>IC</w:t>
      </w:r>
    </w:p>
    <w:p>
      <w:pPr>
        <w:pStyle w:val="BodyText"/>
        <w:spacing w:line="360" w:lineRule="auto" w:before="140"/>
        <w:ind w:left="560" w:right="6515"/>
      </w:pPr>
      <w:r>
        <w:rPr/>
        <w:t>= Antigen-Antibodies Complex</w:t>
      </w:r>
      <w:r>
        <w:rPr>
          <w:spacing w:val="40"/>
        </w:rPr>
        <w:t> </w:t>
      </w:r>
      <w:r>
        <w:rPr/>
        <w:t>K</w:t>
      </w:r>
      <w:r>
        <w:rPr>
          <w:vertAlign w:val="subscript"/>
        </w:rPr>
        <w:t>b</w:t>
      </w:r>
      <w:r>
        <w:rPr>
          <w:spacing w:val="-7"/>
          <w:vertAlign w:val="baseline"/>
        </w:rPr>
        <w:t> </w:t>
      </w:r>
      <w:r>
        <w:rPr>
          <w:vertAlign w:val="baseline"/>
        </w:rPr>
        <w:t>=</w:t>
      </w:r>
      <w:r>
        <w:rPr>
          <w:spacing w:val="-9"/>
          <w:vertAlign w:val="baseline"/>
        </w:rPr>
        <w:t> </w:t>
      </w:r>
      <w:r>
        <w:rPr>
          <w:vertAlign w:val="baseline"/>
        </w:rPr>
        <w:t>Rate</w:t>
      </w:r>
      <w:r>
        <w:rPr>
          <w:spacing w:val="-8"/>
          <w:vertAlign w:val="baseline"/>
        </w:rPr>
        <w:t> </w:t>
      </w:r>
      <w:r>
        <w:rPr>
          <w:vertAlign w:val="baseline"/>
        </w:rPr>
        <w:t>Constant</w:t>
      </w:r>
      <w:r>
        <w:rPr>
          <w:spacing w:val="-8"/>
          <w:vertAlign w:val="baseline"/>
        </w:rPr>
        <w:t> </w:t>
      </w:r>
      <w:r>
        <w:rPr>
          <w:vertAlign w:val="baseline"/>
        </w:rPr>
        <w:t>of</w:t>
      </w:r>
      <w:r>
        <w:rPr>
          <w:spacing w:val="-8"/>
          <w:vertAlign w:val="baseline"/>
        </w:rPr>
        <w:t> </w:t>
      </w:r>
      <w:r>
        <w:rPr>
          <w:vertAlign w:val="baseline"/>
        </w:rPr>
        <w:t>Association</w:t>
      </w:r>
    </w:p>
    <w:p>
      <w:pPr>
        <w:pStyle w:val="BodyText"/>
        <w:ind w:left="560"/>
      </w:pPr>
      <w:r>
        <w:rPr/>
        <w:t>K</w:t>
      </w:r>
      <w:r>
        <w:rPr>
          <w:spacing w:val="-1"/>
        </w:rPr>
        <w:t> </w:t>
      </w:r>
      <w:r>
        <w:rPr>
          <w:vertAlign w:val="subscript"/>
        </w:rPr>
        <w:t>–b</w:t>
      </w:r>
      <w:r>
        <w:rPr>
          <w:spacing w:val="1"/>
          <w:vertAlign w:val="baseline"/>
        </w:rPr>
        <w:t> </w:t>
      </w:r>
      <w:r>
        <w:rPr>
          <w:vertAlign w:val="baseline"/>
        </w:rPr>
        <w:t>=</w:t>
      </w:r>
      <w:r>
        <w:rPr>
          <w:spacing w:val="-1"/>
          <w:vertAlign w:val="baseline"/>
        </w:rPr>
        <w:t> </w:t>
      </w:r>
      <w:r>
        <w:rPr>
          <w:vertAlign w:val="baseline"/>
        </w:rPr>
        <w:t>Rate Constant of</w:t>
      </w:r>
      <w:r>
        <w:rPr>
          <w:spacing w:val="-3"/>
          <w:vertAlign w:val="baseline"/>
        </w:rPr>
        <w:t> </w:t>
      </w:r>
      <w:r>
        <w:rPr>
          <w:spacing w:val="-2"/>
          <w:vertAlign w:val="baseline"/>
        </w:rPr>
        <w:t>Dissociation</w:t>
      </w:r>
    </w:p>
    <w:p>
      <w:pPr>
        <w:spacing w:after="0"/>
        <w:sectPr>
          <w:type w:val="continuous"/>
          <w:pgSz w:w="11910" w:h="16840"/>
          <w:pgMar w:header="0" w:footer="1067" w:top="1060" w:bottom="1260" w:left="880" w:right="640"/>
        </w:sectPr>
      </w:pPr>
    </w:p>
    <w:p>
      <w:pPr>
        <w:pStyle w:val="BodyText"/>
        <w:spacing w:line="480" w:lineRule="auto" w:before="70"/>
        <w:ind w:left="560" w:right="794"/>
        <w:jc w:val="both"/>
      </w:pPr>
      <w:r>
        <w:rPr>
          <w:b/>
        </w:rPr>
        <w:t>Preparation of reagent: </w:t>
      </w:r>
      <w:r>
        <w:rPr/>
        <w:t>The reagents were prepared as directed by the manufacture. The reagents prepared were the wash buffer and the working substrate solution. For the wash buffer, a 1 in 50 dilution was made on addition 20mls of the wash buffer to 980mls of</w:t>
      </w:r>
      <w:r>
        <w:rPr>
          <w:spacing w:val="40"/>
        </w:rPr>
        <w:t> </w:t>
      </w:r>
      <w:r>
        <w:rPr/>
        <w:t>distilled water.</w:t>
      </w:r>
      <w:r>
        <w:rPr>
          <w:spacing w:val="40"/>
        </w:rPr>
        <w:t> </w:t>
      </w:r>
      <w:r>
        <w:rPr/>
        <w:t>As for the working substrate, equal volumes of substrate solution A was mixed with equal volumes of substrate solution B.</w:t>
      </w:r>
    </w:p>
    <w:p>
      <w:pPr>
        <w:pStyle w:val="BodyText"/>
        <w:spacing w:line="480" w:lineRule="auto" w:before="1"/>
        <w:ind w:left="560" w:right="795"/>
        <w:jc w:val="both"/>
      </w:pPr>
      <w:r>
        <w:rPr>
          <w:b/>
        </w:rPr>
        <w:t>Test procedure: </w:t>
      </w:r>
      <w:r>
        <w:rPr/>
        <w:t>All reagents, serum references, controls and test specimen were brought to room temperature (20 – 27</w:t>
      </w:r>
      <w:r>
        <w:rPr>
          <w:vertAlign w:val="superscript"/>
        </w:rPr>
        <w:t>o</w:t>
      </w:r>
      <w:r>
        <w:rPr>
          <w:vertAlign w:val="baseline"/>
        </w:rPr>
        <w:t>C) and the assay carried out in duplicate.Twenty-five microlitre (25</w:t>
      </w:r>
      <w:r>
        <w:rPr>
          <w:rFonts w:ascii="Symbol" w:hAnsi="Symbol"/>
          <w:vertAlign w:val="baseline"/>
        </w:rPr>
        <w:t></w:t>
      </w:r>
      <w:r>
        <w:rPr>
          <w:vertAlign w:val="baseline"/>
        </w:rPr>
        <w:t>l) of the appropriate serum reference, control or specimen was pipetted into the respective</w:t>
      </w:r>
      <w:r>
        <w:rPr>
          <w:spacing w:val="-2"/>
          <w:vertAlign w:val="baseline"/>
        </w:rPr>
        <w:t> </w:t>
      </w:r>
      <w:r>
        <w:rPr>
          <w:vertAlign w:val="baseline"/>
        </w:rPr>
        <w:t>wells.</w:t>
      </w:r>
      <w:r>
        <w:rPr>
          <w:spacing w:val="-3"/>
          <w:vertAlign w:val="baseline"/>
        </w:rPr>
        <w:t> </w:t>
      </w:r>
      <w:r>
        <w:rPr>
          <w:vertAlign w:val="baseline"/>
        </w:rPr>
        <w:t>A</w:t>
      </w:r>
      <w:r>
        <w:rPr>
          <w:spacing w:val="-3"/>
          <w:vertAlign w:val="baseline"/>
        </w:rPr>
        <w:t> </w:t>
      </w:r>
      <w:r>
        <w:rPr>
          <w:vertAlign w:val="baseline"/>
        </w:rPr>
        <w:t>0.100ml</w:t>
      </w:r>
      <w:r>
        <w:rPr>
          <w:spacing w:val="-3"/>
          <w:vertAlign w:val="baseline"/>
        </w:rPr>
        <w:t> </w:t>
      </w:r>
      <w:r>
        <w:rPr>
          <w:vertAlign w:val="baseline"/>
        </w:rPr>
        <w:t>(100</w:t>
      </w:r>
      <w:r>
        <w:rPr>
          <w:rFonts w:ascii="Symbol" w:hAnsi="Symbol"/>
          <w:vertAlign w:val="baseline"/>
        </w:rPr>
        <w:t></w:t>
      </w:r>
      <w:r>
        <w:rPr>
          <w:vertAlign w:val="baseline"/>
        </w:rPr>
        <w:t>l)</w:t>
      </w:r>
      <w:r>
        <w:rPr>
          <w:spacing w:val="-3"/>
          <w:vertAlign w:val="baseline"/>
        </w:rPr>
        <w:t> </w:t>
      </w:r>
      <w:r>
        <w:rPr>
          <w:vertAlign w:val="baseline"/>
        </w:rPr>
        <w:t>of</w:t>
      </w:r>
      <w:r>
        <w:rPr>
          <w:spacing w:val="-4"/>
          <w:vertAlign w:val="baseline"/>
        </w:rPr>
        <w:t> </w:t>
      </w:r>
      <w:r>
        <w:rPr>
          <w:vertAlign w:val="baseline"/>
        </w:rPr>
        <w:t>the</w:t>
      </w:r>
      <w:r>
        <w:rPr>
          <w:spacing w:val="-4"/>
          <w:vertAlign w:val="baseline"/>
        </w:rPr>
        <w:t> </w:t>
      </w:r>
      <w:r>
        <w:rPr>
          <w:vertAlign w:val="baseline"/>
        </w:rPr>
        <w:t>Ferritin</w:t>
      </w:r>
      <w:r>
        <w:rPr>
          <w:spacing w:val="-1"/>
          <w:vertAlign w:val="baseline"/>
        </w:rPr>
        <w:t> </w:t>
      </w:r>
      <w:r>
        <w:rPr>
          <w:vertAlign w:val="baseline"/>
        </w:rPr>
        <w:t>Biotin</w:t>
      </w:r>
      <w:r>
        <w:rPr>
          <w:spacing w:val="-3"/>
          <w:vertAlign w:val="baseline"/>
        </w:rPr>
        <w:t> </w:t>
      </w:r>
      <w:r>
        <w:rPr>
          <w:vertAlign w:val="baseline"/>
        </w:rPr>
        <w:t>Reagent</w:t>
      </w:r>
      <w:r>
        <w:rPr>
          <w:spacing w:val="-3"/>
          <w:vertAlign w:val="baseline"/>
        </w:rPr>
        <w:t> </w:t>
      </w:r>
      <w:r>
        <w:rPr>
          <w:vertAlign w:val="baseline"/>
        </w:rPr>
        <w:t>was</w:t>
      </w:r>
      <w:r>
        <w:rPr>
          <w:spacing w:val="-3"/>
          <w:vertAlign w:val="baseline"/>
        </w:rPr>
        <w:t> </w:t>
      </w:r>
      <w:r>
        <w:rPr>
          <w:vertAlign w:val="baseline"/>
        </w:rPr>
        <w:t>dispensed,</w:t>
      </w:r>
      <w:r>
        <w:rPr>
          <w:spacing w:val="-3"/>
          <w:vertAlign w:val="baseline"/>
        </w:rPr>
        <w:t> </w:t>
      </w:r>
      <w:r>
        <w:rPr>
          <w:vertAlign w:val="baseline"/>
        </w:rPr>
        <w:t>close</w:t>
      </w:r>
      <w:r>
        <w:rPr>
          <w:spacing w:val="-1"/>
          <w:vertAlign w:val="baseline"/>
        </w:rPr>
        <w:t> </w:t>
      </w:r>
      <w:r>
        <w:rPr>
          <w:vertAlign w:val="baseline"/>
        </w:rPr>
        <w:t>to</w:t>
      </w:r>
      <w:r>
        <w:rPr>
          <w:spacing w:val="-3"/>
          <w:vertAlign w:val="baseline"/>
        </w:rPr>
        <w:t> </w:t>
      </w:r>
      <w:r>
        <w:rPr>
          <w:vertAlign w:val="baseline"/>
        </w:rPr>
        <w:t>the bottom of the coated well and the microplate gently mixed for 20-30 seconds, covered and incubated for 30 minutes at room temperature. The contents of the microplate were discarded and blotted with absorbent paper. 300</w:t>
      </w:r>
      <w:r>
        <w:rPr>
          <w:rFonts w:ascii="Symbol" w:hAnsi="Symbol"/>
          <w:vertAlign w:val="baseline"/>
        </w:rPr>
        <w:t></w:t>
      </w:r>
      <w:r>
        <w:rPr>
          <w:vertAlign w:val="baseline"/>
        </w:rPr>
        <w:t>l of the washed buffer were added and the wells washed 3 times. This was followed by the blotting of the plate on an absorbent paper. A</w:t>
      </w:r>
      <w:r>
        <w:rPr>
          <w:spacing w:val="40"/>
          <w:vertAlign w:val="baseline"/>
        </w:rPr>
        <w:t> </w:t>
      </w:r>
      <w:r>
        <w:rPr>
          <w:vertAlign w:val="baseline"/>
        </w:rPr>
        <w:t>100</w:t>
      </w:r>
      <w:r>
        <w:rPr>
          <w:rFonts w:ascii="Symbol" w:hAnsi="Symbol"/>
          <w:vertAlign w:val="baseline"/>
        </w:rPr>
        <w:t></w:t>
      </w:r>
      <w:r>
        <w:rPr>
          <w:vertAlign w:val="baseline"/>
        </w:rPr>
        <w:t>l of the Ferritin Enzyme Conjugate was added to each of the wells. Care was taken to avoid the well being shaken while incubation was done for 30 minutes at room temperature. The contents of the microplate were again discarded and blot dried with an absorbent paper. Also 300</w:t>
      </w:r>
      <w:r>
        <w:rPr>
          <w:rFonts w:ascii="Symbol" w:hAnsi="Symbol"/>
          <w:vertAlign w:val="baseline"/>
        </w:rPr>
        <w:t></w:t>
      </w:r>
      <w:r>
        <w:rPr>
          <w:vertAlign w:val="baseline"/>
        </w:rPr>
        <w:t>l of wash buffer was added and the washing process duly repeated for 3 times. A 100</w:t>
      </w:r>
      <w:r>
        <w:rPr>
          <w:rFonts w:ascii="Symbol" w:hAnsi="Symbol"/>
          <w:vertAlign w:val="baseline"/>
        </w:rPr>
        <w:t></w:t>
      </w:r>
      <w:r>
        <w:rPr>
          <w:vertAlign w:val="baseline"/>
        </w:rPr>
        <w:t>l</w:t>
      </w:r>
      <w:r>
        <w:rPr>
          <w:spacing w:val="-1"/>
          <w:vertAlign w:val="baseline"/>
        </w:rPr>
        <w:t> </w:t>
      </w:r>
      <w:r>
        <w:rPr>
          <w:vertAlign w:val="baseline"/>
        </w:rPr>
        <w:t>of</w:t>
      </w:r>
      <w:r>
        <w:rPr>
          <w:spacing w:val="-2"/>
          <w:vertAlign w:val="baseline"/>
        </w:rPr>
        <w:t> </w:t>
      </w:r>
      <w:r>
        <w:rPr>
          <w:vertAlign w:val="baseline"/>
        </w:rPr>
        <w:t>working</w:t>
      </w:r>
      <w:r>
        <w:rPr>
          <w:spacing w:val="-1"/>
          <w:vertAlign w:val="baseline"/>
        </w:rPr>
        <w:t> </w:t>
      </w:r>
      <w:r>
        <w:rPr>
          <w:vertAlign w:val="baseline"/>
        </w:rPr>
        <w:t>substrate</w:t>
      </w:r>
      <w:r>
        <w:rPr>
          <w:spacing w:val="-2"/>
          <w:vertAlign w:val="baseline"/>
        </w:rPr>
        <w:t> </w:t>
      </w:r>
      <w:r>
        <w:rPr>
          <w:vertAlign w:val="baseline"/>
        </w:rPr>
        <w:t>solution</w:t>
      </w:r>
      <w:r>
        <w:rPr>
          <w:spacing w:val="-1"/>
          <w:vertAlign w:val="baseline"/>
        </w:rPr>
        <w:t> </w:t>
      </w:r>
      <w:r>
        <w:rPr>
          <w:vertAlign w:val="baseline"/>
        </w:rPr>
        <w:t>was</w:t>
      </w:r>
      <w:r>
        <w:rPr>
          <w:spacing w:val="-1"/>
          <w:vertAlign w:val="baseline"/>
        </w:rPr>
        <w:t> </w:t>
      </w:r>
      <w:r>
        <w:rPr>
          <w:vertAlign w:val="baseline"/>
        </w:rPr>
        <w:t>added</w:t>
      </w:r>
      <w:r>
        <w:rPr>
          <w:spacing w:val="-1"/>
          <w:vertAlign w:val="baseline"/>
        </w:rPr>
        <w:t> </w:t>
      </w:r>
      <w:r>
        <w:rPr>
          <w:vertAlign w:val="baseline"/>
        </w:rPr>
        <w:t>to</w:t>
      </w:r>
      <w:r>
        <w:rPr>
          <w:spacing w:val="-3"/>
          <w:vertAlign w:val="baseline"/>
        </w:rPr>
        <w:t> </w:t>
      </w:r>
      <w:r>
        <w:rPr>
          <w:vertAlign w:val="baseline"/>
        </w:rPr>
        <w:t>all</w:t>
      </w:r>
      <w:r>
        <w:rPr>
          <w:spacing w:val="-1"/>
          <w:vertAlign w:val="baseline"/>
        </w:rPr>
        <w:t> </w:t>
      </w:r>
      <w:r>
        <w:rPr>
          <w:vertAlign w:val="baseline"/>
        </w:rPr>
        <w:t>wells.</w:t>
      </w:r>
      <w:r>
        <w:rPr>
          <w:spacing w:val="-1"/>
          <w:vertAlign w:val="baseline"/>
        </w:rPr>
        <w:t> </w:t>
      </w:r>
      <w:r>
        <w:rPr>
          <w:vertAlign w:val="baseline"/>
        </w:rPr>
        <w:t>Again</w:t>
      </w:r>
      <w:r>
        <w:rPr>
          <w:spacing w:val="-1"/>
          <w:vertAlign w:val="baseline"/>
        </w:rPr>
        <w:t> </w:t>
      </w:r>
      <w:r>
        <w:rPr>
          <w:vertAlign w:val="baseline"/>
        </w:rPr>
        <w:t>uttermost</w:t>
      </w:r>
      <w:r>
        <w:rPr>
          <w:spacing w:val="-1"/>
          <w:vertAlign w:val="baseline"/>
        </w:rPr>
        <w:t> </w:t>
      </w:r>
      <w:r>
        <w:rPr>
          <w:vertAlign w:val="baseline"/>
        </w:rPr>
        <w:t>care</w:t>
      </w:r>
      <w:r>
        <w:rPr>
          <w:spacing w:val="-3"/>
          <w:vertAlign w:val="baseline"/>
        </w:rPr>
        <w:t> </w:t>
      </w:r>
      <w:r>
        <w:rPr>
          <w:vertAlign w:val="baseline"/>
        </w:rPr>
        <w:t>was</w:t>
      </w:r>
      <w:r>
        <w:rPr>
          <w:spacing w:val="-1"/>
          <w:vertAlign w:val="baseline"/>
        </w:rPr>
        <w:t> </w:t>
      </w:r>
      <w:r>
        <w:rPr>
          <w:vertAlign w:val="baseline"/>
        </w:rPr>
        <w:t>taken</w:t>
      </w:r>
      <w:r>
        <w:rPr>
          <w:spacing w:val="-1"/>
          <w:vertAlign w:val="baseline"/>
        </w:rPr>
        <w:t> </w:t>
      </w:r>
      <w:r>
        <w:rPr>
          <w:vertAlign w:val="baseline"/>
        </w:rPr>
        <w:t>to avoid the wells being shaken after the addition of the working substrate. The plate was incubated at room temperature for fifteen (15) minutes. A 0.050ml (50</w:t>
      </w:r>
      <w:r>
        <w:rPr>
          <w:rFonts w:ascii="Symbol" w:hAnsi="Symbol"/>
          <w:vertAlign w:val="baseline"/>
        </w:rPr>
        <w:t></w:t>
      </w:r>
      <w:r>
        <w:rPr>
          <w:vertAlign w:val="baseline"/>
        </w:rPr>
        <w:t>l) of stop solution</w:t>
      </w:r>
      <w:r>
        <w:rPr>
          <w:spacing w:val="40"/>
          <w:vertAlign w:val="baseline"/>
        </w:rPr>
        <w:t> </w:t>
      </w:r>
      <w:r>
        <w:rPr>
          <w:vertAlign w:val="baseline"/>
        </w:rPr>
        <w:t>was added and the wells mixed gently for 16-20 seconds. The absorbance of each well was read at 450nm.</w:t>
      </w:r>
    </w:p>
    <w:p>
      <w:pPr>
        <w:pStyle w:val="Heading2"/>
        <w:spacing w:before="6"/>
        <w:jc w:val="both"/>
      </w:pPr>
      <w:r>
        <w:rPr/>
        <w:t>CALCULATION</w:t>
      </w:r>
      <w:r>
        <w:rPr>
          <w:spacing w:val="-1"/>
        </w:rPr>
        <w:t> </w:t>
      </w:r>
      <w:r>
        <w:rPr/>
        <w:t>OF</w:t>
      </w:r>
      <w:r>
        <w:rPr>
          <w:spacing w:val="-1"/>
        </w:rPr>
        <w:t> </w:t>
      </w:r>
      <w:r>
        <w:rPr>
          <w:spacing w:val="-2"/>
        </w:rPr>
        <w:t>RESULTS</w:t>
      </w:r>
    </w:p>
    <w:p>
      <w:pPr>
        <w:pStyle w:val="BodyText"/>
        <w:spacing w:line="480" w:lineRule="auto" w:before="272"/>
        <w:ind w:left="560" w:right="803"/>
        <w:jc w:val="both"/>
      </w:pPr>
      <w:r>
        <w:rPr/>
        <w:t>The absorbance for each duplicate serum reference versus the corresponding ferritin concentration in ng/ml was interpolated.</w:t>
      </w:r>
    </w:p>
    <w:p>
      <w:pPr>
        <w:spacing w:after="0" w:line="480" w:lineRule="auto"/>
        <w:jc w:val="both"/>
        <w:sectPr>
          <w:pgSz w:w="11910" w:h="16840"/>
          <w:pgMar w:header="0" w:footer="1067" w:top="1060" w:bottom="1260" w:left="880" w:right="640"/>
        </w:sectPr>
      </w:pPr>
    </w:p>
    <w:p>
      <w:pPr>
        <w:pStyle w:val="Heading2"/>
        <w:spacing w:before="75"/>
      </w:pPr>
      <w:r>
        <w:rPr/>
        <w:t>EXPECTED</w:t>
      </w:r>
      <w:r>
        <w:rPr>
          <w:spacing w:val="-1"/>
        </w:rPr>
        <w:t> </w:t>
      </w:r>
      <w:r>
        <w:rPr/>
        <w:t>RANGE</w:t>
      </w:r>
      <w:r>
        <w:rPr>
          <w:spacing w:val="-1"/>
        </w:rPr>
        <w:t> </w:t>
      </w:r>
      <w:r>
        <w:rPr/>
        <w:t>OF </w:t>
      </w:r>
      <w:r>
        <w:rPr>
          <w:spacing w:val="-2"/>
        </w:rPr>
        <w:t>VALUES</w:t>
      </w:r>
    </w:p>
    <w:p>
      <w:pPr>
        <w:pStyle w:val="BodyText"/>
        <w:rPr>
          <w:b/>
        </w:rPr>
      </w:pPr>
    </w:p>
    <w:p>
      <w:pPr>
        <w:pStyle w:val="Heading3"/>
        <w:tabs>
          <w:tab w:pos="2000" w:val="left" w:leader="none"/>
        </w:tabs>
        <w:spacing w:line="480" w:lineRule="auto"/>
        <w:ind w:right="6961"/>
      </w:pPr>
      <w:r>
        <w:rPr>
          <w:spacing w:val="-2"/>
        </w:rPr>
        <w:t>Female</w:t>
      </w:r>
      <w:r>
        <w:rPr/>
        <w:tab/>
        <w:t>10</w:t>
      </w:r>
      <w:r>
        <w:rPr>
          <w:spacing w:val="-15"/>
        </w:rPr>
        <w:t> </w:t>
      </w:r>
      <w:r>
        <w:rPr/>
        <w:t>–</w:t>
      </w:r>
      <w:r>
        <w:rPr>
          <w:spacing w:val="-15"/>
        </w:rPr>
        <w:t> </w:t>
      </w:r>
      <w:r>
        <w:rPr/>
        <w:t>124ng/ml </w:t>
      </w:r>
      <w:r>
        <w:rPr>
          <w:spacing w:val="-2"/>
        </w:rPr>
        <w:t>SENSITIVITY</w:t>
      </w:r>
    </w:p>
    <w:p>
      <w:pPr>
        <w:pStyle w:val="BodyText"/>
        <w:spacing w:line="271" w:lineRule="exact"/>
        <w:ind w:left="560"/>
        <w:jc w:val="both"/>
      </w:pPr>
      <w:r>
        <w:rPr/>
        <w:t>The</w:t>
      </w:r>
      <w:r>
        <w:rPr>
          <w:spacing w:val="-3"/>
        </w:rPr>
        <w:t> </w:t>
      </w:r>
      <w:r>
        <w:rPr/>
        <w:t>minimum detectable dose</w:t>
      </w:r>
      <w:r>
        <w:rPr>
          <w:spacing w:val="-1"/>
        </w:rPr>
        <w:t> </w:t>
      </w:r>
      <w:r>
        <w:rPr/>
        <w:t>is </w:t>
      </w:r>
      <w:r>
        <w:rPr>
          <w:spacing w:val="-2"/>
        </w:rPr>
        <w:t>0.17ng/ml.</w:t>
      </w:r>
    </w:p>
    <w:p>
      <w:pPr>
        <w:pStyle w:val="BodyText"/>
      </w:pPr>
    </w:p>
    <w:p>
      <w:pPr>
        <w:pStyle w:val="BodyText"/>
        <w:spacing w:before="5"/>
      </w:pPr>
    </w:p>
    <w:p>
      <w:pPr>
        <w:pStyle w:val="Heading2"/>
        <w:numPr>
          <w:ilvl w:val="2"/>
          <w:numId w:val="9"/>
        </w:numPr>
        <w:tabs>
          <w:tab w:pos="1279" w:val="left" w:leader="none"/>
        </w:tabs>
        <w:spacing w:line="480" w:lineRule="auto" w:before="0" w:after="0"/>
        <w:ind w:left="560" w:right="798" w:firstLine="0"/>
        <w:jc w:val="both"/>
      </w:pPr>
      <w:r>
        <w:rPr/>
        <w:t>ESTIMATION OF FULL BLOOD COUNTS AND RED CELL INDICES USING SYSMEX AUTOMATED 3 PARTS HAEMATOLOGY ANALYZER MODEL KX-21N MANUFACTURED BY SYSMEX, KOBE, JAPAN.</w:t>
      </w:r>
    </w:p>
    <w:p>
      <w:pPr>
        <w:pStyle w:val="BodyText"/>
        <w:spacing w:line="480" w:lineRule="auto"/>
        <w:ind w:left="560" w:right="797"/>
        <w:jc w:val="both"/>
      </w:pPr>
      <w:r>
        <w:rPr>
          <w:b/>
        </w:rPr>
        <w:t>Principle: </w:t>
      </w:r>
      <w:r>
        <w:rPr/>
        <w:t>Four basic principles of determination are integrated in the system. These are the electric impedance hydrodynamic focusing, light scattering, fluorescence/flow cytometry</w:t>
      </w:r>
      <w:r>
        <w:rPr>
          <w:spacing w:val="-2"/>
        </w:rPr>
        <w:t> </w:t>
      </w:r>
      <w:r>
        <w:rPr/>
        <w:t>and non-cyanide haemoglobin methods. Impedance is generated when non-conducting particles passes through the sensing zone. Scattering of light occurs when light reaches a surface of</w:t>
      </w:r>
      <w:r>
        <w:rPr>
          <w:spacing w:val="40"/>
        </w:rPr>
        <w:t> </w:t>
      </w:r>
      <w:r>
        <w:rPr/>
        <w:t>any material and changes its orientation. Fluorescent dyes absorb light at a narrow</w:t>
      </w:r>
      <w:r>
        <w:rPr>
          <w:spacing w:val="40"/>
        </w:rPr>
        <w:t> </w:t>
      </w:r>
      <w:r>
        <w:rPr/>
        <w:t>wavelength and re-emits light at a long wavelength.</w:t>
      </w:r>
    </w:p>
    <w:p>
      <w:pPr>
        <w:pStyle w:val="BodyText"/>
        <w:spacing w:before="1"/>
      </w:pPr>
    </w:p>
    <w:p>
      <w:pPr>
        <w:pStyle w:val="Heading2"/>
        <w:numPr>
          <w:ilvl w:val="2"/>
          <w:numId w:val="9"/>
        </w:numPr>
        <w:tabs>
          <w:tab w:pos="1040" w:val="left" w:leader="none"/>
        </w:tabs>
        <w:spacing w:line="240" w:lineRule="auto" w:before="1" w:after="0"/>
        <w:ind w:left="1040" w:right="0" w:hanging="480"/>
        <w:jc w:val="both"/>
      </w:pPr>
      <w:r>
        <w:rPr/>
        <w:t>HAEMOGLOBIN</w:t>
      </w:r>
      <w:r>
        <w:rPr>
          <w:spacing w:val="-4"/>
        </w:rPr>
        <w:t> </w:t>
      </w:r>
      <w:r>
        <w:rPr>
          <w:spacing w:val="-2"/>
        </w:rPr>
        <w:t>ESTIMATION</w:t>
      </w:r>
    </w:p>
    <w:p>
      <w:pPr>
        <w:pStyle w:val="BodyText"/>
        <w:spacing w:line="480" w:lineRule="auto" w:before="271"/>
        <w:ind w:left="560" w:right="793"/>
        <w:jc w:val="both"/>
      </w:pPr>
      <w:r>
        <w:rPr/>
        <w:t>Haemoglobin is determined by spectrophotometric method. The red blood cells are haemolyzed and the haemoglobin converted to a single stable form such as oxyhaemoglobin or sodium-lauryl sulphate (SLS) haemoglobin. A beam of light that passes through the</w:t>
      </w:r>
      <w:r>
        <w:rPr>
          <w:spacing w:val="40"/>
        </w:rPr>
        <w:t> </w:t>
      </w:r>
      <w:r>
        <w:rPr/>
        <w:t>sample and a 525nm filter is measured by a photo-sensor.</w:t>
      </w:r>
      <w:r>
        <w:rPr>
          <w:spacing w:val="80"/>
        </w:rPr>
        <w:t> </w:t>
      </w:r>
      <w:r>
        <w:rPr/>
        <w:t>The signal is then amplified and the amount</w:t>
      </w:r>
      <w:r>
        <w:rPr>
          <w:spacing w:val="80"/>
        </w:rPr>
        <w:t> </w:t>
      </w:r>
      <w:r>
        <w:rPr/>
        <w:t>of haemoglobin is measured and compared to the blank reference reading.</w:t>
      </w:r>
      <w:r>
        <w:rPr>
          <w:spacing w:val="40"/>
        </w:rPr>
        <w:t> </w:t>
      </w:r>
      <w:r>
        <w:rPr/>
        <w:t>The HB was calculated per the following equation and expressed in g/l.</w:t>
      </w:r>
    </w:p>
    <w:p>
      <w:pPr>
        <w:pStyle w:val="BodyText"/>
        <w:spacing w:before="1"/>
        <w:ind w:left="560"/>
        <w:jc w:val="both"/>
      </w:pPr>
      <w:r>
        <w:rPr/>
        <w:t>HB(g/L)</w:t>
      </w:r>
      <w:r>
        <w:rPr>
          <w:spacing w:val="-1"/>
        </w:rPr>
        <w:t> </w:t>
      </w:r>
      <w:r>
        <w:rPr/>
        <w:t>=</w:t>
      </w:r>
      <w:r>
        <w:rPr>
          <w:spacing w:val="-2"/>
        </w:rPr>
        <w:t> </w:t>
      </w:r>
      <w:r>
        <w:rPr/>
        <w:t>constant</w:t>
      </w:r>
      <w:r>
        <w:rPr>
          <w:spacing w:val="-2"/>
        </w:rPr>
        <w:t> </w:t>
      </w:r>
      <w:r>
        <w:rPr/>
        <w:t>x</w:t>
      </w:r>
      <w:r>
        <w:rPr>
          <w:spacing w:val="1"/>
        </w:rPr>
        <w:t> </w:t>
      </w:r>
      <w:r>
        <w:rPr/>
        <w:t>Log</w:t>
      </w:r>
      <w:r>
        <w:rPr>
          <w:vertAlign w:val="subscript"/>
        </w:rPr>
        <w:t>10</w:t>
      </w:r>
      <w:r>
        <w:rPr>
          <w:spacing w:val="-1"/>
          <w:vertAlign w:val="baseline"/>
        </w:rPr>
        <w:t> </w:t>
      </w:r>
      <w:r>
        <w:rPr>
          <w:vertAlign w:val="baseline"/>
        </w:rPr>
        <w:t>(Blank</w:t>
      </w:r>
      <w:r>
        <w:rPr>
          <w:spacing w:val="-1"/>
          <w:vertAlign w:val="baseline"/>
        </w:rPr>
        <w:t> </w:t>
      </w:r>
      <w:r>
        <w:rPr>
          <w:vertAlign w:val="baseline"/>
        </w:rPr>
        <w:t>photocurrent/sample</w:t>
      </w:r>
      <w:r>
        <w:rPr>
          <w:spacing w:val="-3"/>
          <w:vertAlign w:val="baseline"/>
        </w:rPr>
        <w:t> </w:t>
      </w:r>
      <w:r>
        <w:rPr>
          <w:spacing w:val="-2"/>
          <w:vertAlign w:val="baseline"/>
        </w:rPr>
        <w:t>photocurrent).</w:t>
      </w:r>
    </w:p>
    <w:p>
      <w:pPr>
        <w:pStyle w:val="BodyText"/>
      </w:pPr>
    </w:p>
    <w:p>
      <w:pPr>
        <w:pStyle w:val="BodyText"/>
        <w:spacing w:before="4"/>
      </w:pPr>
    </w:p>
    <w:p>
      <w:pPr>
        <w:pStyle w:val="Heading2"/>
        <w:numPr>
          <w:ilvl w:val="2"/>
          <w:numId w:val="10"/>
        </w:numPr>
        <w:tabs>
          <w:tab w:pos="1100" w:val="left" w:leader="none"/>
        </w:tabs>
        <w:spacing w:line="240" w:lineRule="auto" w:before="1" w:after="0"/>
        <w:ind w:left="1100" w:right="0" w:hanging="540"/>
        <w:jc w:val="both"/>
      </w:pPr>
      <w:r>
        <w:rPr/>
        <w:t>ESTIMATION</w:t>
      </w:r>
      <w:r>
        <w:rPr>
          <w:spacing w:val="-2"/>
        </w:rPr>
        <w:t> </w:t>
      </w:r>
      <w:r>
        <w:rPr/>
        <w:t>OF</w:t>
      </w:r>
      <w:r>
        <w:rPr>
          <w:spacing w:val="-1"/>
        </w:rPr>
        <w:t> </w:t>
      </w:r>
      <w:r>
        <w:rPr/>
        <w:t>RED</w:t>
      </w:r>
      <w:r>
        <w:rPr>
          <w:spacing w:val="-2"/>
        </w:rPr>
        <w:t> </w:t>
      </w:r>
      <w:r>
        <w:rPr/>
        <w:t>BLOOD</w:t>
      </w:r>
      <w:r>
        <w:rPr>
          <w:spacing w:val="-1"/>
        </w:rPr>
        <w:t> </w:t>
      </w:r>
      <w:r>
        <w:rPr/>
        <w:t>CELLS</w:t>
      </w:r>
      <w:r>
        <w:rPr>
          <w:spacing w:val="1"/>
        </w:rPr>
        <w:t> </w:t>
      </w:r>
      <w:r>
        <w:rPr>
          <w:spacing w:val="-2"/>
        </w:rPr>
        <w:t>(RBC)</w:t>
      </w:r>
    </w:p>
    <w:p>
      <w:pPr>
        <w:pStyle w:val="BodyText"/>
        <w:spacing w:line="480" w:lineRule="auto" w:before="271"/>
        <w:ind w:left="560" w:right="802"/>
        <w:jc w:val="both"/>
      </w:pPr>
      <w:r>
        <w:rPr/>
        <w:t>Red blood cells and platelets are counted by direct current (electric) impedance method. The method</w:t>
      </w:r>
      <w:r>
        <w:rPr>
          <w:spacing w:val="6"/>
        </w:rPr>
        <w:t> </w:t>
      </w:r>
      <w:r>
        <w:rPr/>
        <w:t>is</w:t>
      </w:r>
      <w:r>
        <w:rPr>
          <w:spacing w:val="10"/>
        </w:rPr>
        <w:t> </w:t>
      </w:r>
      <w:r>
        <w:rPr/>
        <w:t>based</w:t>
      </w:r>
      <w:r>
        <w:rPr>
          <w:spacing w:val="8"/>
        </w:rPr>
        <w:t> </w:t>
      </w:r>
      <w:r>
        <w:rPr/>
        <w:t>on</w:t>
      </w:r>
      <w:r>
        <w:rPr>
          <w:spacing w:val="9"/>
        </w:rPr>
        <w:t> </w:t>
      </w:r>
      <w:r>
        <w:rPr/>
        <w:t>the</w:t>
      </w:r>
      <w:r>
        <w:rPr>
          <w:spacing w:val="10"/>
        </w:rPr>
        <w:t> </w:t>
      </w:r>
      <w:r>
        <w:rPr/>
        <w:t>measurement</w:t>
      </w:r>
      <w:r>
        <w:rPr>
          <w:spacing w:val="9"/>
        </w:rPr>
        <w:t> </w:t>
      </w:r>
      <w:r>
        <w:rPr/>
        <w:t>of</w:t>
      </w:r>
      <w:r>
        <w:rPr>
          <w:spacing w:val="8"/>
        </w:rPr>
        <w:t> </w:t>
      </w:r>
      <w:r>
        <w:rPr/>
        <w:t>transitory</w:t>
      </w:r>
      <w:r>
        <w:rPr>
          <w:spacing w:val="5"/>
        </w:rPr>
        <w:t> </w:t>
      </w:r>
      <w:r>
        <w:rPr/>
        <w:t>electrical</w:t>
      </w:r>
      <w:r>
        <w:rPr>
          <w:spacing w:val="9"/>
        </w:rPr>
        <w:t> </w:t>
      </w:r>
      <w:r>
        <w:rPr/>
        <w:t>resistance</w:t>
      </w:r>
      <w:r>
        <w:rPr>
          <w:spacing w:val="7"/>
        </w:rPr>
        <w:t> </w:t>
      </w:r>
      <w:r>
        <w:rPr/>
        <w:t>produced</w:t>
      </w:r>
      <w:r>
        <w:rPr>
          <w:spacing w:val="9"/>
        </w:rPr>
        <w:t> </w:t>
      </w:r>
      <w:r>
        <w:rPr/>
        <w:t>by</w:t>
      </w:r>
      <w:r>
        <w:rPr>
          <w:spacing w:val="4"/>
        </w:rPr>
        <w:t> </w:t>
      </w:r>
      <w:r>
        <w:rPr>
          <w:spacing w:val="-2"/>
        </w:rPr>
        <w:t>particles.</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An electrode is submerged in the liquid on both sides of an aperture to create an electrical pathway. In impedence method, cells such as red blood cells, platelets and white blood cells are regarded as completely non conducting particles. Blood cells suspended in electrolyte solution, passes through an aperture (sensing zone), and a change of impedance (electrical resistance) is produced which in turn generates an electrical pulse. The amount of pulse generated</w:t>
      </w:r>
      <w:r>
        <w:rPr>
          <w:spacing w:val="-1"/>
        </w:rPr>
        <w:t> </w:t>
      </w:r>
      <w:r>
        <w:rPr/>
        <w:t>indicates</w:t>
      </w:r>
      <w:r>
        <w:rPr>
          <w:spacing w:val="-2"/>
        </w:rPr>
        <w:t> </w:t>
      </w:r>
      <w:r>
        <w:rPr/>
        <w:t>the number</w:t>
      </w:r>
      <w:r>
        <w:rPr>
          <w:spacing w:val="-3"/>
        </w:rPr>
        <w:t> </w:t>
      </w:r>
      <w:r>
        <w:rPr/>
        <w:t>of</w:t>
      </w:r>
      <w:r>
        <w:rPr>
          <w:spacing w:val="-2"/>
        </w:rPr>
        <w:t> </w:t>
      </w:r>
      <w:r>
        <w:rPr/>
        <w:t>particles</w:t>
      </w:r>
      <w:r>
        <w:rPr>
          <w:spacing w:val="-1"/>
        </w:rPr>
        <w:t> </w:t>
      </w:r>
      <w:r>
        <w:rPr/>
        <w:t>that</w:t>
      </w:r>
      <w:r>
        <w:rPr>
          <w:spacing w:val="-1"/>
        </w:rPr>
        <w:t> </w:t>
      </w:r>
      <w:r>
        <w:rPr/>
        <w:t>passes through</w:t>
      </w:r>
      <w:r>
        <w:rPr>
          <w:spacing w:val="-2"/>
        </w:rPr>
        <w:t> </w:t>
      </w:r>
      <w:r>
        <w:rPr/>
        <w:t>the</w:t>
      </w:r>
      <w:r>
        <w:rPr>
          <w:spacing w:val="-2"/>
        </w:rPr>
        <w:t> </w:t>
      </w:r>
      <w:r>
        <w:rPr/>
        <w:t>aperture</w:t>
      </w:r>
      <w:r>
        <w:rPr>
          <w:spacing w:val="-2"/>
        </w:rPr>
        <w:t> </w:t>
      </w:r>
      <w:r>
        <w:rPr/>
        <w:t>and</w:t>
      </w:r>
      <w:r>
        <w:rPr>
          <w:spacing w:val="-1"/>
        </w:rPr>
        <w:t> </w:t>
      </w:r>
      <w:r>
        <w:rPr/>
        <w:t>the</w:t>
      </w:r>
      <w:r>
        <w:rPr>
          <w:spacing w:val="-2"/>
        </w:rPr>
        <w:t> </w:t>
      </w:r>
      <w:r>
        <w:rPr/>
        <w:t>amplitude of each pulse is proportional to the volume of each cell.</w:t>
      </w:r>
      <w:r>
        <w:rPr>
          <w:spacing w:val="80"/>
        </w:rPr>
        <w:t> </w:t>
      </w:r>
      <w:r>
        <w:rPr/>
        <w:t>Each pulse is amplified and compared to the internal reference channel which only accepts the pulse of certain</w:t>
      </w:r>
      <w:r>
        <w:rPr>
          <w:spacing w:val="40"/>
        </w:rPr>
        <w:t> </w:t>
      </w:r>
      <w:r>
        <w:rPr/>
        <w:t>amplitudes.</w:t>
      </w:r>
      <w:r>
        <w:rPr>
          <w:spacing w:val="80"/>
        </w:rPr>
        <w:t> </w:t>
      </w:r>
      <w:r>
        <w:rPr/>
        <w:t>If the pulse generated was above the RBC/PLT lower threshold, it will be counted as an RBC/PLT.</w:t>
      </w:r>
    </w:p>
    <w:p>
      <w:pPr>
        <w:pStyle w:val="BodyText"/>
        <w:spacing w:before="6"/>
      </w:pPr>
    </w:p>
    <w:p>
      <w:pPr>
        <w:pStyle w:val="Heading2"/>
        <w:numPr>
          <w:ilvl w:val="2"/>
          <w:numId w:val="10"/>
        </w:numPr>
        <w:tabs>
          <w:tab w:pos="1100" w:val="left" w:leader="none"/>
        </w:tabs>
        <w:spacing w:line="240" w:lineRule="auto" w:before="0" w:after="0"/>
        <w:ind w:left="1100" w:right="0" w:hanging="540"/>
        <w:jc w:val="left"/>
      </w:pPr>
      <w:r>
        <w:rPr/>
        <w:t>ESTIMATION</w:t>
      </w:r>
      <w:r>
        <w:rPr>
          <w:spacing w:val="-2"/>
        </w:rPr>
        <w:t> </w:t>
      </w:r>
      <w:r>
        <w:rPr/>
        <w:t>OF</w:t>
      </w:r>
      <w:r>
        <w:rPr>
          <w:spacing w:val="-2"/>
        </w:rPr>
        <w:t> </w:t>
      </w:r>
      <w:r>
        <w:rPr/>
        <w:t>TOTAL</w:t>
      </w:r>
      <w:r>
        <w:rPr>
          <w:spacing w:val="-2"/>
        </w:rPr>
        <w:t> </w:t>
      </w:r>
      <w:r>
        <w:rPr/>
        <w:t>LEUKOCYTE</w:t>
      </w:r>
      <w:r>
        <w:rPr>
          <w:spacing w:val="-1"/>
        </w:rPr>
        <w:t> </w:t>
      </w:r>
      <w:r>
        <w:rPr>
          <w:spacing w:val="-2"/>
        </w:rPr>
        <w:t>COUNT</w:t>
      </w:r>
    </w:p>
    <w:p>
      <w:pPr>
        <w:pStyle w:val="BodyText"/>
        <w:spacing w:line="480" w:lineRule="auto" w:before="272"/>
        <w:ind w:left="560" w:right="799"/>
        <w:jc w:val="both"/>
      </w:pPr>
      <w:r>
        <w:rPr/>
        <w:t>The</w:t>
      </w:r>
      <w:r>
        <w:rPr>
          <w:spacing w:val="-2"/>
        </w:rPr>
        <w:t> </w:t>
      </w:r>
      <w:r>
        <w:rPr/>
        <w:t>impedance</w:t>
      </w:r>
      <w:r>
        <w:rPr>
          <w:spacing w:val="80"/>
        </w:rPr>
        <w:t> </w:t>
      </w:r>
      <w:r>
        <w:rPr/>
        <w:t>or/and</w:t>
      </w:r>
      <w:r>
        <w:rPr>
          <w:spacing w:val="-1"/>
        </w:rPr>
        <w:t> </w:t>
      </w:r>
      <w:r>
        <w:rPr/>
        <w:t>light scattering</w:t>
      </w:r>
      <w:r>
        <w:rPr>
          <w:spacing w:val="-1"/>
        </w:rPr>
        <w:t> </w:t>
      </w:r>
      <w:r>
        <w:rPr/>
        <w:t>methods are</w:t>
      </w:r>
      <w:r>
        <w:rPr>
          <w:spacing w:val="-2"/>
        </w:rPr>
        <w:t> </w:t>
      </w:r>
      <w:r>
        <w:rPr/>
        <w:t>adopted</w:t>
      </w:r>
      <w:r>
        <w:rPr>
          <w:spacing w:val="-1"/>
        </w:rPr>
        <w:t> </w:t>
      </w:r>
      <w:r>
        <w:rPr/>
        <w:t>in counting</w:t>
      </w:r>
      <w:r>
        <w:rPr>
          <w:spacing w:val="80"/>
        </w:rPr>
        <w:t> </w:t>
      </w:r>
      <w:r>
        <w:rPr/>
        <w:t>white</w:t>
      </w:r>
      <w:r>
        <w:rPr>
          <w:spacing w:val="-1"/>
        </w:rPr>
        <w:t> </w:t>
      </w:r>
      <w:r>
        <w:rPr/>
        <w:t>blood cell. In the impedance method, the red blood cells are haemolyzed and the same process in counting red blood cells/platelets is applied. With the light scattering method, it is observed that when light reaches the surface of any material, the light changes its orientation and scattering occurs. The light scattering occurs at all angles between 0</w:t>
      </w:r>
      <w:r>
        <w:rPr>
          <w:vertAlign w:val="superscript"/>
        </w:rPr>
        <w:t>o</w:t>
      </w:r>
      <w:r>
        <w:rPr>
          <w:vertAlign w:val="baseline"/>
        </w:rPr>
        <w:t> and 360</w:t>
      </w:r>
      <w:r>
        <w:rPr>
          <w:vertAlign w:val="superscript"/>
        </w:rPr>
        <w:t>o</w:t>
      </w:r>
      <w:r>
        <w:rPr>
          <w:vertAlign w:val="baseline"/>
        </w:rPr>
        <w:t>. Light scattering from</w:t>
      </w:r>
      <w:r>
        <w:rPr>
          <w:spacing w:val="40"/>
          <w:vertAlign w:val="baseline"/>
        </w:rPr>
        <w:t> </w:t>
      </w:r>
      <w:r>
        <w:rPr>
          <w:vertAlign w:val="baseline"/>
        </w:rPr>
        <w:t>the side (side scattered light) or angle scattered light provides information on the internal quality</w:t>
      </w:r>
      <w:r>
        <w:rPr>
          <w:spacing w:val="-3"/>
          <w:vertAlign w:val="baseline"/>
        </w:rPr>
        <w:t> </w:t>
      </w:r>
      <w:r>
        <w:rPr>
          <w:vertAlign w:val="baseline"/>
        </w:rPr>
        <w:t>of a cell while the forward scattered light determines the size of the cell. On this note, white blood cells can be analyzed with regard to their size and structural complexity (form, cytoplasmic granularity and density of the nucleus). The scattered light is detected by a photomultiplier and the rate at which it is generated is proportional to the number of cell counted and the surface area of the cells.</w:t>
      </w:r>
    </w:p>
    <w:p>
      <w:pPr>
        <w:pStyle w:val="BodyText"/>
        <w:spacing w:before="6"/>
      </w:pPr>
    </w:p>
    <w:p>
      <w:pPr>
        <w:pStyle w:val="Heading2"/>
        <w:numPr>
          <w:ilvl w:val="2"/>
          <w:numId w:val="10"/>
        </w:numPr>
        <w:tabs>
          <w:tab w:pos="1279" w:val="left" w:leader="none"/>
        </w:tabs>
        <w:spacing w:line="240" w:lineRule="auto" w:before="0" w:after="0"/>
        <w:ind w:left="1279" w:right="0" w:hanging="719"/>
        <w:jc w:val="left"/>
      </w:pPr>
      <w:r>
        <w:rPr/>
        <w:t>ASSESSMENT</w:t>
      </w:r>
      <w:r>
        <w:rPr>
          <w:spacing w:val="-7"/>
        </w:rPr>
        <w:t> </w:t>
      </w:r>
      <w:r>
        <w:rPr/>
        <w:t>OF DIFFERENTIAL</w:t>
      </w:r>
      <w:r>
        <w:rPr>
          <w:spacing w:val="-1"/>
        </w:rPr>
        <w:t> </w:t>
      </w:r>
      <w:r>
        <w:rPr/>
        <w:t>LEUKOCYTE</w:t>
      </w:r>
      <w:r>
        <w:rPr>
          <w:spacing w:val="-1"/>
        </w:rPr>
        <w:t> </w:t>
      </w:r>
      <w:r>
        <w:rPr>
          <w:spacing w:val="-2"/>
        </w:rPr>
        <w:t>COUNT</w:t>
      </w:r>
    </w:p>
    <w:p>
      <w:pPr>
        <w:pStyle w:val="BodyText"/>
        <w:spacing w:line="480" w:lineRule="auto" w:before="272"/>
        <w:ind w:left="560" w:right="803"/>
        <w:jc w:val="both"/>
      </w:pPr>
      <w:r>
        <w:rPr/>
        <w:t>The fluroscence flow cytometry technology is applied in the differentiation of WBCs and immature</w:t>
      </w:r>
      <w:r>
        <w:rPr>
          <w:spacing w:val="27"/>
        </w:rPr>
        <w:t> </w:t>
      </w:r>
      <w:r>
        <w:rPr/>
        <w:t>WBCs,.</w:t>
      </w:r>
      <w:r>
        <w:rPr>
          <w:spacing w:val="30"/>
        </w:rPr>
        <w:t> </w:t>
      </w:r>
      <w:r>
        <w:rPr/>
        <w:t>A</w:t>
      </w:r>
      <w:r>
        <w:rPr>
          <w:spacing w:val="29"/>
        </w:rPr>
        <w:t> </w:t>
      </w:r>
      <w:r>
        <w:rPr/>
        <w:t>fluroscence</w:t>
      </w:r>
      <w:r>
        <w:rPr>
          <w:spacing w:val="29"/>
        </w:rPr>
        <w:t> </w:t>
      </w:r>
      <w:r>
        <w:rPr/>
        <w:t>dye</w:t>
      </w:r>
      <w:r>
        <w:rPr>
          <w:spacing w:val="29"/>
        </w:rPr>
        <w:t> </w:t>
      </w:r>
      <w:r>
        <w:rPr/>
        <w:t>is</w:t>
      </w:r>
      <w:r>
        <w:rPr>
          <w:spacing w:val="30"/>
        </w:rPr>
        <w:t> </w:t>
      </w:r>
      <w:r>
        <w:rPr/>
        <w:t>applied</w:t>
      </w:r>
      <w:r>
        <w:rPr>
          <w:spacing w:val="32"/>
        </w:rPr>
        <w:t> </w:t>
      </w:r>
      <w:r>
        <w:rPr/>
        <w:t>to</w:t>
      </w:r>
      <w:r>
        <w:rPr>
          <w:spacing w:val="30"/>
        </w:rPr>
        <w:t> </w:t>
      </w:r>
      <w:r>
        <w:rPr/>
        <w:t>stain</w:t>
      </w:r>
      <w:r>
        <w:rPr>
          <w:spacing w:val="30"/>
        </w:rPr>
        <w:t> </w:t>
      </w:r>
      <w:r>
        <w:rPr/>
        <w:t>the</w:t>
      </w:r>
      <w:r>
        <w:rPr>
          <w:spacing w:val="29"/>
        </w:rPr>
        <w:t> </w:t>
      </w:r>
      <w:r>
        <w:rPr/>
        <w:t>cells.</w:t>
      </w:r>
      <w:r>
        <w:rPr>
          <w:spacing w:val="30"/>
        </w:rPr>
        <w:t> </w:t>
      </w:r>
      <w:r>
        <w:rPr/>
        <w:t>Fluroscence</w:t>
      </w:r>
      <w:r>
        <w:rPr>
          <w:spacing w:val="29"/>
        </w:rPr>
        <w:t> </w:t>
      </w:r>
      <w:r>
        <w:rPr/>
        <w:t>dye</w:t>
      </w:r>
      <w:r>
        <w:rPr>
          <w:spacing w:val="30"/>
        </w:rPr>
        <w:t> </w:t>
      </w:r>
      <w:r>
        <w:rPr>
          <w:spacing w:val="-2"/>
        </w:rPr>
        <w:t>absorbs</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light at a narrow wavelength and re-emittes light of a long wavelength. The amount of light absorbed is proportionate to the concentration of the substance analyzed. After sample aspiration, a part of the whole blood sample was diluted to 1:50 with lysing reagent stromatolyser-4DL and then stromatolyser-4DS dye was added. After a predefined response time the stained sample was introduced into the detector where forward light scatter and side fluorescent emission were measured.</w:t>
      </w:r>
      <w:r>
        <w:rPr>
          <w:spacing w:val="40"/>
        </w:rPr>
        <w:t> </w:t>
      </w:r>
      <w:r>
        <w:rPr/>
        <w:t>With Sysmex KX-2IN The cells are stained and computed into 3 leukocyte population namely neutrophol count, lymphocyte count, and</w:t>
      </w:r>
      <w:r>
        <w:rPr>
          <w:spacing w:val="40"/>
        </w:rPr>
        <w:t> </w:t>
      </w:r>
      <w:r>
        <w:rPr/>
        <w:t>mixed leucocyte count as well as percentage neutrophil, percentage, lymphocyte and percentage mixed leucocyte.</w:t>
      </w:r>
    </w:p>
    <w:p>
      <w:pPr>
        <w:pStyle w:val="Heading2"/>
        <w:spacing w:before="6"/>
      </w:pPr>
      <w:r>
        <w:rPr>
          <w:spacing w:val="-2"/>
        </w:rPr>
        <w:t>PROCEDURE</w:t>
      </w:r>
    </w:p>
    <w:p>
      <w:pPr>
        <w:pStyle w:val="BodyText"/>
        <w:spacing w:line="480" w:lineRule="auto" w:before="271"/>
        <w:ind w:left="560" w:right="798"/>
        <w:jc w:val="both"/>
      </w:pPr>
      <w:r>
        <w:rPr/>
        <w:t>Sysmex machine was inspected (for instrument, reagent, waste bin and printer paper). The machine was switched on and machine calibrated before use. The control sample was analysed along with each batch of sample. The analysis commenced once the instrument displayed “Ready” status on the LCD screen. The mode was selected and samples moved to the aspiration unit.</w:t>
      </w:r>
    </w:p>
    <w:p>
      <w:pPr>
        <w:pStyle w:val="BodyText"/>
        <w:spacing w:before="1"/>
      </w:pPr>
    </w:p>
    <w:p>
      <w:pPr>
        <w:pStyle w:val="BodyText"/>
        <w:spacing w:line="480" w:lineRule="auto"/>
        <w:ind w:left="560" w:right="795"/>
      </w:pPr>
      <w:r>
        <w:rPr/>
        <w:t>The sample was thoroughly mixed and the tube</w:t>
      </w:r>
      <w:r>
        <w:rPr>
          <w:spacing w:val="21"/>
        </w:rPr>
        <w:t> </w:t>
      </w:r>
      <w:r>
        <w:rPr/>
        <w:t>carefully set to the sample probe. The start</w:t>
      </w:r>
      <w:r>
        <w:rPr>
          <w:spacing w:val="80"/>
        </w:rPr>
        <w:t> </w:t>
      </w:r>
      <w:r>
        <w:rPr/>
        <w:t>button was switched on</w:t>
      </w:r>
      <w:r>
        <w:rPr>
          <w:spacing w:val="21"/>
        </w:rPr>
        <w:t> </w:t>
      </w:r>
      <w:r>
        <w:rPr/>
        <w:t>and a little delay observed till</w:t>
      </w:r>
      <w:r>
        <w:rPr>
          <w:spacing w:val="20"/>
        </w:rPr>
        <w:t> </w:t>
      </w:r>
      <w:r>
        <w:rPr/>
        <w:t>the buzzer sounds two times- “beep,</w:t>
      </w:r>
      <w:r>
        <w:rPr>
          <w:spacing w:val="80"/>
        </w:rPr>
        <w:t> </w:t>
      </w:r>
      <w:r>
        <w:rPr/>
        <w:t>beep”</w:t>
      </w:r>
      <w:r>
        <w:rPr>
          <w:spacing w:val="34"/>
        </w:rPr>
        <w:t> </w:t>
      </w:r>
      <w:r>
        <w:rPr/>
        <w:t>–</w:t>
      </w:r>
      <w:r>
        <w:rPr>
          <w:spacing w:val="37"/>
        </w:rPr>
        <w:t> </w:t>
      </w:r>
      <w:r>
        <w:rPr/>
        <w:t>and</w:t>
      </w:r>
      <w:r>
        <w:rPr>
          <w:spacing w:val="35"/>
        </w:rPr>
        <w:t> </w:t>
      </w:r>
      <w:r>
        <w:rPr/>
        <w:t>the</w:t>
      </w:r>
      <w:r>
        <w:rPr>
          <w:spacing w:val="39"/>
        </w:rPr>
        <w:t> </w:t>
      </w:r>
      <w:r>
        <w:rPr/>
        <w:t>LCD</w:t>
      </w:r>
      <w:r>
        <w:rPr>
          <w:spacing w:val="34"/>
        </w:rPr>
        <w:t> </w:t>
      </w:r>
      <w:r>
        <w:rPr/>
        <w:t>screen</w:t>
      </w:r>
      <w:r>
        <w:rPr>
          <w:spacing w:val="37"/>
        </w:rPr>
        <w:t> </w:t>
      </w:r>
      <w:r>
        <w:rPr/>
        <w:t>displays</w:t>
      </w:r>
      <w:r>
        <w:rPr>
          <w:spacing w:val="35"/>
        </w:rPr>
        <w:t> </w:t>
      </w:r>
      <w:r>
        <w:rPr/>
        <w:t>“Analyzing”.</w:t>
      </w:r>
      <w:r>
        <w:rPr>
          <w:spacing w:val="35"/>
        </w:rPr>
        <w:t> </w:t>
      </w:r>
      <w:r>
        <w:rPr/>
        <w:t>The</w:t>
      </w:r>
      <w:r>
        <w:rPr>
          <w:spacing w:val="34"/>
        </w:rPr>
        <w:t> </w:t>
      </w:r>
      <w:r>
        <w:rPr/>
        <w:t>tube</w:t>
      </w:r>
      <w:r>
        <w:rPr>
          <w:spacing w:val="34"/>
        </w:rPr>
        <w:t> </w:t>
      </w:r>
      <w:r>
        <w:rPr/>
        <w:t>was</w:t>
      </w:r>
      <w:r>
        <w:rPr>
          <w:spacing w:val="37"/>
        </w:rPr>
        <w:t> </w:t>
      </w:r>
      <w:r>
        <w:rPr/>
        <w:t>opened</w:t>
      </w:r>
      <w:r>
        <w:rPr>
          <w:spacing w:val="35"/>
        </w:rPr>
        <w:t> </w:t>
      </w:r>
      <w:r>
        <w:rPr/>
        <w:t>and</w:t>
      </w:r>
      <w:r>
        <w:rPr>
          <w:spacing w:val="35"/>
        </w:rPr>
        <w:t> </w:t>
      </w:r>
      <w:r>
        <w:rPr/>
        <w:t>the</w:t>
      </w:r>
      <w:r>
        <w:rPr>
          <w:spacing w:val="36"/>
        </w:rPr>
        <w:t> </w:t>
      </w:r>
      <w:r>
        <w:rPr/>
        <w:t>sample aspirated</w:t>
      </w:r>
      <w:r>
        <w:rPr>
          <w:spacing w:val="29"/>
        </w:rPr>
        <w:t> </w:t>
      </w:r>
      <w:r>
        <w:rPr/>
        <w:t>through</w:t>
      </w:r>
      <w:r>
        <w:rPr>
          <w:spacing w:val="30"/>
        </w:rPr>
        <w:t> </w:t>
      </w:r>
      <w:r>
        <w:rPr/>
        <w:t>the</w:t>
      </w:r>
      <w:r>
        <w:rPr>
          <w:spacing w:val="29"/>
        </w:rPr>
        <w:t> </w:t>
      </w:r>
      <w:r>
        <w:rPr/>
        <w:t>sample</w:t>
      </w:r>
      <w:r>
        <w:rPr>
          <w:spacing w:val="29"/>
        </w:rPr>
        <w:t> </w:t>
      </w:r>
      <w:r>
        <w:rPr/>
        <w:t>probe.</w:t>
      </w:r>
      <w:r>
        <w:rPr>
          <w:spacing w:val="80"/>
        </w:rPr>
        <w:t> </w:t>
      </w:r>
      <w:r>
        <w:rPr/>
        <w:t>The</w:t>
      </w:r>
      <w:r>
        <w:rPr>
          <w:spacing w:val="29"/>
        </w:rPr>
        <w:t> </w:t>
      </w:r>
      <w:r>
        <w:rPr/>
        <w:t>tube</w:t>
      </w:r>
      <w:r>
        <w:rPr>
          <w:spacing w:val="32"/>
        </w:rPr>
        <w:t> </w:t>
      </w:r>
      <w:r>
        <w:rPr/>
        <w:t>was</w:t>
      </w:r>
      <w:r>
        <w:rPr>
          <w:spacing w:val="30"/>
        </w:rPr>
        <w:t> </w:t>
      </w:r>
      <w:r>
        <w:rPr/>
        <w:t>removed</w:t>
      </w:r>
      <w:r>
        <w:rPr>
          <w:spacing w:val="29"/>
        </w:rPr>
        <w:t> </w:t>
      </w:r>
      <w:r>
        <w:rPr/>
        <w:t>after</w:t>
      </w:r>
      <w:r>
        <w:rPr>
          <w:spacing w:val="32"/>
        </w:rPr>
        <w:t> </w:t>
      </w:r>
      <w:r>
        <w:rPr/>
        <w:t>a</w:t>
      </w:r>
      <w:r>
        <w:rPr>
          <w:spacing w:val="29"/>
        </w:rPr>
        <w:t> </w:t>
      </w:r>
      <w:r>
        <w:rPr/>
        <w:t>beep</w:t>
      </w:r>
      <w:r>
        <w:rPr>
          <w:spacing w:val="30"/>
        </w:rPr>
        <w:t> </w:t>
      </w:r>
      <w:r>
        <w:rPr/>
        <w:t>sound</w:t>
      </w:r>
      <w:r>
        <w:rPr>
          <w:spacing w:val="30"/>
        </w:rPr>
        <w:t> </w:t>
      </w:r>
      <w:r>
        <w:rPr/>
        <w:t>indicating completion of aspiration and the aspiration cap returns to clean the aspiration probe while the analysis is going on.</w:t>
      </w:r>
      <w:r>
        <w:rPr>
          <w:spacing w:val="40"/>
        </w:rPr>
        <w:t> </w:t>
      </w:r>
      <w:r>
        <w:rPr/>
        <w:t>On completion of analysis, the result was displayed on the LCD screen. The unit returns to the Ready status, being ready for analysis of the next sample(s).</w:t>
      </w:r>
      <w:r>
        <w:rPr>
          <w:spacing w:val="80"/>
        </w:rPr>
        <w:t> </w:t>
      </w:r>
      <w:r>
        <w:rPr/>
        <w:t>Results were</w:t>
      </w:r>
      <w:r>
        <w:rPr>
          <w:spacing w:val="-2"/>
        </w:rPr>
        <w:t> </w:t>
      </w:r>
      <w:r>
        <w:rPr/>
        <w:t>printed out on the</w:t>
      </w:r>
      <w:r>
        <w:rPr>
          <w:spacing w:val="-1"/>
        </w:rPr>
        <w:t> </w:t>
      </w:r>
      <w:r>
        <w:rPr/>
        <w:t>in-built printer.</w:t>
      </w:r>
      <w:r>
        <w:rPr>
          <w:spacing w:val="40"/>
        </w:rPr>
        <w:t> </w:t>
      </w:r>
      <w:r>
        <w:rPr/>
        <w:t>The</w:t>
      </w:r>
      <w:r>
        <w:rPr>
          <w:spacing w:val="-2"/>
        </w:rPr>
        <w:t> </w:t>
      </w:r>
      <w:r>
        <w:rPr/>
        <w:t>shut down</w:t>
      </w:r>
      <w:r>
        <w:rPr>
          <w:spacing w:val="-1"/>
        </w:rPr>
        <w:t> </w:t>
      </w:r>
      <w:r>
        <w:rPr/>
        <w:t>was initiated</w:t>
      </w:r>
      <w:r>
        <w:rPr>
          <w:spacing w:val="-1"/>
        </w:rPr>
        <w:t> </w:t>
      </w:r>
      <w:r>
        <w:rPr/>
        <w:t>to clean the</w:t>
      </w:r>
      <w:r>
        <w:rPr>
          <w:spacing w:val="-1"/>
        </w:rPr>
        <w:t> </w:t>
      </w:r>
      <w:r>
        <w:rPr/>
        <w:t>detector</w:t>
      </w:r>
      <w:r>
        <w:rPr>
          <w:spacing w:val="-1"/>
        </w:rPr>
        <w:t> </w:t>
      </w:r>
      <w:r>
        <w:rPr/>
        <w:t>and dilution lines. Finally the power soure was switched off.</w:t>
      </w:r>
    </w:p>
    <w:p>
      <w:pPr>
        <w:spacing w:after="0" w:line="480" w:lineRule="auto"/>
        <w:sectPr>
          <w:pgSz w:w="11910" w:h="16840"/>
          <w:pgMar w:header="0" w:footer="1067" w:top="1060" w:bottom="1260" w:left="880" w:right="640"/>
        </w:sectPr>
      </w:pPr>
    </w:p>
    <w:p>
      <w:pPr>
        <w:pStyle w:val="Heading3"/>
        <w:numPr>
          <w:ilvl w:val="2"/>
          <w:numId w:val="10"/>
        </w:numPr>
        <w:tabs>
          <w:tab w:pos="1279" w:val="left" w:leader="none"/>
        </w:tabs>
        <w:spacing w:line="240" w:lineRule="auto" w:before="75" w:after="0"/>
        <w:ind w:left="1279" w:right="0" w:hanging="719"/>
        <w:jc w:val="left"/>
      </w:pPr>
      <w:r>
        <w:rPr/>
        <w:t>ESTIMATION</w:t>
      </w:r>
      <w:r>
        <w:rPr>
          <w:spacing w:val="20"/>
        </w:rPr>
        <w:t> </w:t>
      </w:r>
      <w:r>
        <w:rPr/>
        <w:t>OF</w:t>
      </w:r>
      <w:r>
        <w:rPr>
          <w:spacing w:val="21"/>
        </w:rPr>
        <w:t> </w:t>
      </w:r>
      <w:r>
        <w:rPr/>
        <w:t>GLUCOSE</w:t>
      </w:r>
      <w:r>
        <w:rPr>
          <w:spacing w:val="21"/>
        </w:rPr>
        <w:t> </w:t>
      </w:r>
      <w:r>
        <w:rPr/>
        <w:t>AS</w:t>
      </w:r>
      <w:r>
        <w:rPr>
          <w:spacing w:val="20"/>
        </w:rPr>
        <w:t> </w:t>
      </w:r>
      <w:r>
        <w:rPr/>
        <w:t>DESCRIBED</w:t>
      </w:r>
      <w:r>
        <w:rPr>
          <w:spacing w:val="19"/>
        </w:rPr>
        <w:t> </w:t>
      </w:r>
      <w:r>
        <w:rPr/>
        <w:t>BY</w:t>
      </w:r>
      <w:r>
        <w:rPr>
          <w:spacing w:val="19"/>
        </w:rPr>
        <w:t> </w:t>
      </w:r>
      <w:r>
        <w:rPr/>
        <w:t>(RANDOX</w:t>
      </w:r>
      <w:r>
        <w:rPr>
          <w:spacing w:val="21"/>
        </w:rPr>
        <w:t> </w:t>
      </w:r>
      <w:r>
        <w:rPr/>
        <w:t>2007)</w:t>
      </w:r>
      <w:r>
        <w:rPr>
          <w:spacing w:val="19"/>
        </w:rPr>
        <w:t> </w:t>
      </w:r>
      <w:r>
        <w:rPr/>
        <w:t>Ref.</w:t>
      </w:r>
      <w:r>
        <w:rPr>
          <w:spacing w:val="21"/>
        </w:rPr>
        <w:t> </w:t>
      </w:r>
      <w:r>
        <w:rPr>
          <w:spacing w:val="-5"/>
        </w:rPr>
        <w:t>No.</w:t>
      </w:r>
    </w:p>
    <w:p>
      <w:pPr>
        <w:pStyle w:val="BodyText"/>
        <w:rPr>
          <w:b/>
        </w:rPr>
      </w:pPr>
    </w:p>
    <w:p>
      <w:pPr>
        <w:spacing w:before="0"/>
        <w:ind w:left="560" w:right="0" w:firstLine="0"/>
        <w:jc w:val="both"/>
        <w:rPr>
          <w:b/>
          <w:sz w:val="24"/>
        </w:rPr>
      </w:pPr>
      <w:r>
        <w:rPr>
          <w:b/>
          <w:sz w:val="24"/>
        </w:rPr>
        <w:t>GL364;</w:t>
      </w:r>
      <w:r>
        <w:rPr>
          <w:b/>
          <w:spacing w:val="-1"/>
          <w:sz w:val="24"/>
        </w:rPr>
        <w:t> </w:t>
      </w:r>
      <w:r>
        <w:rPr>
          <w:b/>
          <w:sz w:val="24"/>
        </w:rPr>
        <w:t>Lot</w:t>
      </w:r>
      <w:r>
        <w:rPr>
          <w:b/>
          <w:spacing w:val="-1"/>
          <w:sz w:val="24"/>
        </w:rPr>
        <w:t> </w:t>
      </w:r>
      <w:r>
        <w:rPr>
          <w:b/>
          <w:sz w:val="24"/>
        </w:rPr>
        <w:t>No. </w:t>
      </w:r>
      <w:r>
        <w:rPr>
          <w:b/>
          <w:spacing w:val="-2"/>
          <w:sz w:val="24"/>
        </w:rPr>
        <w:t>122957</w:t>
      </w:r>
    </w:p>
    <w:p>
      <w:pPr>
        <w:pStyle w:val="BodyText"/>
        <w:spacing w:line="480" w:lineRule="auto" w:before="272"/>
        <w:ind w:left="560" w:right="797"/>
        <w:jc w:val="both"/>
      </w:pPr>
      <w:r>
        <w:rPr/>
        <w:t>The</w:t>
      </w:r>
      <w:r>
        <w:rPr>
          <w:spacing w:val="-3"/>
        </w:rPr>
        <w:t> </w:t>
      </w:r>
      <w:r>
        <w:rPr/>
        <w:t>random</w:t>
      </w:r>
      <w:r>
        <w:rPr>
          <w:spacing w:val="-1"/>
        </w:rPr>
        <w:t> </w:t>
      </w:r>
      <w:r>
        <w:rPr/>
        <w:t>blood</w:t>
      </w:r>
      <w:r>
        <w:rPr>
          <w:spacing w:val="-1"/>
        </w:rPr>
        <w:t> </w:t>
      </w:r>
      <w:r>
        <w:rPr/>
        <w:t>glucose</w:t>
      </w:r>
      <w:r>
        <w:rPr>
          <w:spacing w:val="-2"/>
        </w:rPr>
        <w:t> </w:t>
      </w:r>
      <w:r>
        <w:rPr/>
        <w:t>level was evaluated</w:t>
      </w:r>
      <w:r>
        <w:rPr>
          <w:spacing w:val="-1"/>
        </w:rPr>
        <w:t> </w:t>
      </w:r>
      <w:r>
        <w:rPr/>
        <w:t>using</w:t>
      </w:r>
      <w:r>
        <w:rPr>
          <w:spacing w:val="-1"/>
        </w:rPr>
        <w:t> </w:t>
      </w:r>
      <w:r>
        <w:rPr/>
        <w:t>the</w:t>
      </w:r>
      <w:r>
        <w:rPr>
          <w:spacing w:val="-2"/>
        </w:rPr>
        <w:t> </w:t>
      </w:r>
      <w:r>
        <w:rPr/>
        <w:t>glucose oxidase-perioxidase</w:t>
      </w:r>
      <w:r>
        <w:rPr>
          <w:spacing w:val="-2"/>
        </w:rPr>
        <w:t> </w:t>
      </w:r>
      <w:r>
        <w:rPr/>
        <w:t>method as described by (Cheesbrough, 2010).</w:t>
      </w:r>
    </w:p>
    <w:p>
      <w:pPr>
        <w:pStyle w:val="Heading2"/>
        <w:spacing w:before="4"/>
        <w:jc w:val="both"/>
      </w:pPr>
      <w:r>
        <w:rPr/>
        <w:t>ASSAY </w:t>
      </w:r>
      <w:r>
        <w:rPr>
          <w:spacing w:val="-2"/>
        </w:rPr>
        <w:t>PRINCIPLE</w:t>
      </w:r>
    </w:p>
    <w:p>
      <w:pPr>
        <w:pStyle w:val="BodyText"/>
        <w:spacing w:line="360" w:lineRule="auto" w:before="274"/>
        <w:ind w:left="560" w:right="796"/>
        <w:jc w:val="both"/>
      </w:pPr>
      <w:r>
        <w:rPr/>
        <w:t>The enzyme glucose oxidase catalyses the oxidation of glucose with the production of gluconic acid and hydrogen peroxide. Addition of the enzyme peroxidase and a chromogenic oxygen</w:t>
      </w:r>
      <w:r>
        <w:rPr>
          <w:spacing w:val="13"/>
        </w:rPr>
        <w:t> </w:t>
      </w:r>
      <w:r>
        <w:rPr/>
        <w:t>acceptor,</w:t>
      </w:r>
      <w:r>
        <w:rPr>
          <w:spacing w:val="15"/>
        </w:rPr>
        <w:t> </w:t>
      </w:r>
      <w:r>
        <w:rPr/>
        <w:t>such</w:t>
      </w:r>
      <w:r>
        <w:rPr>
          <w:spacing w:val="15"/>
        </w:rPr>
        <w:t> </w:t>
      </w:r>
      <w:r>
        <w:rPr/>
        <w:t>as</w:t>
      </w:r>
      <w:r>
        <w:rPr>
          <w:spacing w:val="15"/>
        </w:rPr>
        <w:t> </w:t>
      </w:r>
      <w:r>
        <w:rPr/>
        <w:t>0-dianisidine,</w:t>
      </w:r>
      <w:r>
        <w:rPr>
          <w:spacing w:val="15"/>
        </w:rPr>
        <w:t> </w:t>
      </w:r>
      <w:r>
        <w:rPr/>
        <w:t>results</w:t>
      </w:r>
      <w:r>
        <w:rPr>
          <w:spacing w:val="16"/>
        </w:rPr>
        <w:t> </w:t>
      </w:r>
      <w:r>
        <w:rPr/>
        <w:t>in</w:t>
      </w:r>
      <w:r>
        <w:rPr>
          <w:spacing w:val="11"/>
        </w:rPr>
        <w:t> </w:t>
      </w:r>
      <w:r>
        <w:rPr/>
        <w:t>the</w:t>
      </w:r>
      <w:r>
        <w:rPr>
          <w:spacing w:val="16"/>
        </w:rPr>
        <w:t> </w:t>
      </w:r>
      <w:r>
        <w:rPr/>
        <w:t>formation</w:t>
      </w:r>
      <w:r>
        <w:rPr>
          <w:spacing w:val="16"/>
        </w:rPr>
        <w:t> </w:t>
      </w:r>
      <w:r>
        <w:rPr/>
        <w:t>of</w:t>
      </w:r>
      <w:r>
        <w:rPr>
          <w:spacing w:val="14"/>
        </w:rPr>
        <w:t> </w:t>
      </w:r>
      <w:r>
        <w:rPr/>
        <w:t>a</w:t>
      </w:r>
      <w:r>
        <w:rPr>
          <w:spacing w:val="15"/>
        </w:rPr>
        <w:t> </w:t>
      </w:r>
      <w:r>
        <w:rPr/>
        <w:t>coloured</w:t>
      </w:r>
      <w:r>
        <w:rPr>
          <w:spacing w:val="15"/>
        </w:rPr>
        <w:t> </w:t>
      </w:r>
      <w:r>
        <w:rPr/>
        <w:t>compound.</w:t>
      </w:r>
      <w:r>
        <w:rPr>
          <w:spacing w:val="19"/>
        </w:rPr>
        <w:t> </w:t>
      </w:r>
      <w:r>
        <w:rPr>
          <w:spacing w:val="-5"/>
        </w:rPr>
        <w:t>Its</w:t>
      </w:r>
    </w:p>
    <w:p>
      <w:pPr>
        <w:pStyle w:val="BodyText"/>
        <w:spacing w:line="275" w:lineRule="exact"/>
        <w:ind w:left="560"/>
        <w:jc w:val="both"/>
      </w:pPr>
      <w:r>
        <w:rPr/>
        <w:t>intensity</w:t>
      </w:r>
      <w:r>
        <w:rPr>
          <w:spacing w:val="-9"/>
        </w:rPr>
        <w:t> </w:t>
      </w:r>
      <w:r>
        <w:rPr/>
        <w:t>is proportional</w:t>
      </w:r>
      <w:r>
        <w:rPr>
          <w:spacing w:val="-1"/>
        </w:rPr>
        <w:t> </w:t>
      </w:r>
      <w:r>
        <w:rPr/>
        <w:t>to the</w:t>
      </w:r>
      <w:r>
        <w:rPr>
          <w:spacing w:val="-1"/>
        </w:rPr>
        <w:t> </w:t>
      </w:r>
      <w:r>
        <w:rPr/>
        <w:t>glucose concentration</w:t>
      </w:r>
      <w:r>
        <w:rPr>
          <w:spacing w:val="2"/>
        </w:rPr>
        <w:t> </w:t>
      </w:r>
      <w:r>
        <w:rPr/>
        <w:t>and is</w:t>
      </w:r>
      <w:r>
        <w:rPr>
          <w:spacing w:val="-1"/>
        </w:rPr>
        <w:t> </w:t>
      </w:r>
      <w:r>
        <w:rPr/>
        <w:t>measured</w:t>
      </w:r>
      <w:r>
        <w:rPr>
          <w:spacing w:val="2"/>
        </w:rPr>
        <w:t> </w:t>
      </w:r>
      <w:r>
        <w:rPr/>
        <w:t>at </w:t>
      </w:r>
      <w:r>
        <w:rPr>
          <w:spacing w:val="-2"/>
        </w:rPr>
        <w:t>500nm.</w:t>
      </w:r>
    </w:p>
    <w:p>
      <w:pPr>
        <w:tabs>
          <w:tab w:pos="3995" w:val="left" w:leader="none"/>
          <w:tab w:pos="5226" w:val="left" w:leader="none"/>
        </w:tabs>
        <w:spacing w:before="29"/>
        <w:ind w:left="1280" w:right="0" w:firstLine="0"/>
        <w:jc w:val="left"/>
        <w:rPr>
          <w:sz w:val="24"/>
        </w:rPr>
      </w:pPr>
      <w:r>
        <w:rPr/>
        <mc:AlternateContent>
          <mc:Choice Requires="wps">
            <w:drawing>
              <wp:anchor distT="0" distB="0" distL="0" distR="0" allowOverlap="1" layoutInCell="1" locked="0" behindDoc="1" simplePos="0" relativeHeight="484742144">
                <wp:simplePos x="0" y="0"/>
                <wp:positionH relativeFrom="page">
                  <wp:posOffset>2961743</wp:posOffset>
                </wp:positionH>
                <wp:positionV relativeFrom="paragraph">
                  <wp:posOffset>95087</wp:posOffset>
                </wp:positionV>
                <wp:extent cx="1076960" cy="1778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076960" cy="177800"/>
                        </a:xfrm>
                        <a:prstGeom prst="rect">
                          <a:avLst/>
                        </a:prstGeom>
                      </wps:spPr>
                      <wps:txbx>
                        <w:txbxContent>
                          <w:p>
                            <w:pPr>
                              <w:pStyle w:val="BodyText"/>
                              <w:spacing w:line="266" w:lineRule="exact"/>
                            </w:pPr>
                            <w:r>
                              <w:rPr/>
                              <w:t>onic</w:t>
                            </w:r>
                            <w:r>
                              <w:rPr>
                                <w:spacing w:val="-1"/>
                              </w:rPr>
                              <w:t> </w:t>
                            </w:r>
                            <w:r>
                              <w:rPr/>
                              <w:t>acid</w:t>
                            </w:r>
                            <w:r>
                              <w:rPr>
                                <w:spacing w:val="1"/>
                              </w:rPr>
                              <w:t> </w:t>
                            </w:r>
                            <w:r>
                              <w:rPr/>
                              <w:t>+2H</w:t>
                            </w:r>
                            <w:r>
                              <w:rPr>
                                <w:vertAlign w:val="subscript"/>
                              </w:rPr>
                              <w:t>2</w:t>
                            </w:r>
                            <w:r>
                              <w:rPr>
                                <w:spacing w:val="25"/>
                                <w:vertAlign w:val="baseline"/>
                              </w:rPr>
                              <w:t>  </w:t>
                            </w:r>
                            <w:r>
                              <w:rPr>
                                <w:spacing w:val="-10"/>
                                <w:vertAlign w:val="subscript"/>
                              </w:rPr>
                              <w:t>2</w:t>
                            </w:r>
                          </w:p>
                        </w:txbxContent>
                      </wps:txbx>
                      <wps:bodyPr wrap="square" lIns="0" tIns="0" rIns="0" bIns="0" rtlCol="0">
                        <a:noAutofit/>
                      </wps:bodyPr>
                    </wps:wsp>
                  </a:graphicData>
                </a:graphic>
              </wp:anchor>
            </w:drawing>
          </mc:Choice>
          <mc:Fallback>
            <w:pict>
              <v:shape style="position:absolute;margin-left:233.208176pt;margin-top:7.48718pt;width:84.8pt;height:14pt;mso-position-horizontal-relative:page;mso-position-vertical-relative:paragraph;z-index:-18574336" type="#_x0000_t202" id="docshape28" filled="false" stroked="false">
                <v:textbox inset="0,0,0,0">
                  <w:txbxContent>
                    <w:p>
                      <w:pPr>
                        <w:pStyle w:val="BodyText"/>
                        <w:spacing w:line="266" w:lineRule="exact"/>
                      </w:pPr>
                      <w:r>
                        <w:rPr/>
                        <w:t>onic</w:t>
                      </w:r>
                      <w:r>
                        <w:rPr>
                          <w:spacing w:val="-1"/>
                        </w:rPr>
                        <w:t> </w:t>
                      </w:r>
                      <w:r>
                        <w:rPr/>
                        <w:t>acid</w:t>
                      </w:r>
                      <w:r>
                        <w:rPr>
                          <w:spacing w:val="1"/>
                        </w:rPr>
                        <w:t> </w:t>
                      </w:r>
                      <w:r>
                        <w:rPr/>
                        <w:t>+2H</w:t>
                      </w:r>
                      <w:r>
                        <w:rPr>
                          <w:vertAlign w:val="subscript"/>
                        </w:rPr>
                        <w:t>2</w:t>
                      </w:r>
                      <w:r>
                        <w:rPr>
                          <w:spacing w:val="25"/>
                          <w:vertAlign w:val="baseline"/>
                        </w:rPr>
                        <w:t>  </w:t>
                      </w:r>
                      <w:r>
                        <w:rPr>
                          <w:spacing w:val="-10"/>
                          <w:vertAlign w:val="subscript"/>
                        </w:rPr>
                        <w:t>2</w:t>
                      </w:r>
                    </w:p>
                  </w:txbxContent>
                </v:textbox>
                <w10:wrap type="none"/>
              </v:shape>
            </w:pict>
          </mc:Fallback>
        </mc:AlternateContent>
      </w:r>
      <w:r>
        <w:rPr>
          <w:rFonts w:ascii="Microsoft Sans Serif"/>
          <w:spacing w:val="-1"/>
          <w:w w:val="99"/>
          <w:position w:val="15"/>
          <w:sz w:val="20"/>
        </w:rPr>
        <w:t>P</w:t>
      </w:r>
      <w:r>
        <w:rPr>
          <w:rFonts w:ascii="Microsoft Sans Serif"/>
          <w:w w:val="99"/>
          <w:position w:val="15"/>
          <w:sz w:val="20"/>
        </w:rPr>
        <w:t>ero</w:t>
      </w:r>
      <w:r>
        <w:rPr>
          <w:rFonts w:ascii="Microsoft Sans Serif"/>
          <w:spacing w:val="1"/>
          <w:w w:val="99"/>
          <w:position w:val="15"/>
          <w:sz w:val="20"/>
        </w:rPr>
        <w:t>x</w:t>
      </w:r>
      <w:r>
        <w:rPr>
          <w:rFonts w:ascii="Microsoft Sans Serif"/>
          <w:spacing w:val="1"/>
          <w:w w:val="97"/>
          <w:position w:val="15"/>
          <w:sz w:val="20"/>
        </w:rPr>
        <w:t>i</w:t>
      </w:r>
      <w:r>
        <w:rPr>
          <w:rFonts w:ascii="Microsoft Sans Serif"/>
          <w:spacing w:val="-1"/>
          <w:w w:val="99"/>
          <w:position w:val="15"/>
          <w:sz w:val="20"/>
        </w:rPr>
        <w:t>da</w:t>
      </w:r>
      <w:r>
        <w:rPr>
          <w:rFonts w:ascii="Microsoft Sans Serif"/>
          <w:spacing w:val="1"/>
          <w:w w:val="99"/>
          <w:position w:val="15"/>
          <w:sz w:val="20"/>
        </w:rPr>
        <w:t>s</w:t>
      </w:r>
      <w:r>
        <w:rPr>
          <w:rFonts w:ascii="Microsoft Sans Serif"/>
          <w:spacing w:val="-3654"/>
          <w:w w:val="99"/>
          <w:position w:val="15"/>
          <w:sz w:val="20"/>
        </w:rPr>
        <w:t>e</w:t>
      </w:r>
      <w:r>
        <w:rPr>
          <w:sz w:val="24"/>
        </w:rPr>
        <w:t>Glu</w:t>
      </w:r>
      <w:r>
        <w:rPr>
          <w:spacing w:val="-1"/>
          <w:sz w:val="24"/>
        </w:rPr>
        <w:t>c</w:t>
      </w:r>
      <w:r>
        <w:rPr>
          <w:sz w:val="24"/>
        </w:rPr>
        <w:t>ose </w:t>
      </w:r>
      <w:r>
        <w:rPr>
          <w:spacing w:val="-2"/>
          <w:sz w:val="24"/>
        </w:rPr>
        <w:t>+</w:t>
      </w:r>
      <w:r>
        <w:rPr>
          <w:sz w:val="24"/>
        </w:rPr>
        <w:t>2</w:t>
      </w:r>
      <w:r>
        <w:rPr>
          <w:spacing w:val="-1"/>
          <w:sz w:val="24"/>
        </w:rPr>
        <w:t>H</w:t>
      </w:r>
      <w:r>
        <w:rPr>
          <w:spacing w:val="1"/>
          <w:w w:val="101"/>
          <w:sz w:val="24"/>
          <w:vertAlign w:val="subscript"/>
        </w:rPr>
        <w:t>2</w:t>
      </w:r>
      <w:r>
        <w:rPr>
          <w:sz w:val="24"/>
          <w:vertAlign w:val="baseline"/>
        </w:rPr>
        <w:t>O + O</w:t>
      </w:r>
      <w:r>
        <w:rPr>
          <w:spacing w:val="1"/>
          <w:w w:val="101"/>
          <w:sz w:val="24"/>
          <w:vertAlign w:val="subscript"/>
        </w:rPr>
        <w:t>2</w:t>
      </w:r>
      <w:r>
        <w:rPr>
          <w:sz w:val="24"/>
          <w:vertAlign w:val="baseline"/>
        </w:rPr>
        <w:t>Gluc</w:t>
        <w:tab/>
      </w:r>
      <w:r>
        <w:rPr>
          <w:position w:val="-4"/>
          <w:sz w:val="24"/>
          <w:vertAlign w:val="baseline"/>
        </w:rPr>
        <w:drawing>
          <wp:inline distT="0" distB="0" distL="0" distR="0">
            <wp:extent cx="560704" cy="76200"/>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1" cstate="print"/>
                    <a:stretch>
                      <a:fillRect/>
                    </a:stretch>
                  </pic:blipFill>
                  <pic:spPr>
                    <a:xfrm>
                      <a:off x="0" y="0"/>
                      <a:ext cx="560704" cy="76200"/>
                    </a:xfrm>
                    <a:prstGeom prst="rect">
                      <a:avLst/>
                    </a:prstGeom>
                  </pic:spPr>
                </pic:pic>
              </a:graphicData>
            </a:graphic>
          </wp:inline>
        </w:drawing>
      </w:r>
      <w:r>
        <w:rPr>
          <w:position w:val="-4"/>
          <w:sz w:val="24"/>
          <w:vertAlign w:val="baseline"/>
        </w:rPr>
      </w:r>
      <w:r>
        <w:rPr>
          <w:sz w:val="24"/>
          <w:vertAlign w:val="baseline"/>
        </w:rPr>
        <w:tab/>
        <w:t>O</w:t>
      </w:r>
    </w:p>
    <w:p>
      <w:pPr>
        <w:spacing w:before="29"/>
        <w:ind w:left="0" w:right="1039" w:firstLine="0"/>
        <w:jc w:val="center"/>
        <w:rPr>
          <w:rFonts w:ascii="Microsoft Sans Serif"/>
          <w:sz w:val="20"/>
        </w:rPr>
      </w:pPr>
      <w:r>
        <w:rPr>
          <w:rFonts w:ascii="Microsoft Sans Serif"/>
          <w:sz w:val="20"/>
        </w:rPr>
        <w:t>Glucose</w:t>
      </w:r>
      <w:r>
        <w:rPr>
          <w:rFonts w:ascii="Microsoft Sans Serif"/>
          <w:spacing w:val="-9"/>
          <w:sz w:val="20"/>
        </w:rPr>
        <w:t> </w:t>
      </w:r>
      <w:r>
        <w:rPr>
          <w:rFonts w:ascii="Microsoft Sans Serif"/>
          <w:spacing w:val="-2"/>
          <w:sz w:val="20"/>
        </w:rPr>
        <w:t>oxidase</w:t>
      </w:r>
    </w:p>
    <w:p>
      <w:pPr>
        <w:pStyle w:val="BodyText"/>
        <w:spacing w:before="24"/>
        <w:rPr>
          <w:rFonts w:ascii="Microsoft Sans Serif"/>
        </w:rPr>
      </w:pPr>
    </w:p>
    <w:p>
      <w:pPr>
        <w:pStyle w:val="BodyText"/>
        <w:tabs>
          <w:tab w:pos="5368" w:val="left" w:leader="none"/>
        </w:tabs>
        <w:spacing w:line="360" w:lineRule="auto"/>
        <w:ind w:left="560" w:right="800"/>
        <w:jc w:val="both"/>
      </w:pPr>
      <w:r>
        <w:rPr/>
        <w:t>O-Dianisidine</w:t>
      </w:r>
      <w:r>
        <w:rPr>
          <w:spacing w:val="40"/>
        </w:rPr>
        <w:t> </w:t>
      </w:r>
      <w:r>
        <w:rPr/>
        <w:t>(colourless)</w:t>
      </w:r>
      <w:r>
        <w:rPr>
          <w:spacing w:val="40"/>
        </w:rPr>
        <w:t> </w:t>
      </w:r>
      <w:r>
        <w:rPr/>
        <w:t>+</w:t>
      </w:r>
      <w:r>
        <w:rPr>
          <w:spacing w:val="40"/>
        </w:rPr>
        <w:t> </w:t>
      </w:r>
      <w:r>
        <w:rPr/>
        <w:t>H</w:t>
      </w:r>
      <w:r>
        <w:rPr>
          <w:vertAlign w:val="subscript"/>
        </w:rPr>
        <w:t>2</w:t>
      </w:r>
      <w:r>
        <w:rPr>
          <w:vertAlign w:val="baseline"/>
        </w:rPr>
        <w:t>O</w:t>
      </w:r>
      <w:r>
        <w:rPr>
          <w:vertAlign w:val="subscript"/>
        </w:rPr>
        <w:t>2</w:t>
      </w:r>
      <w:r>
        <w:rPr>
          <w:spacing w:val="80"/>
          <w:vertAlign w:val="baseline"/>
        </w:rPr>
        <w:t>  </w:t>
      </w:r>
      <w:r>
        <w:rPr>
          <w:spacing w:val="-30"/>
          <w:position w:val="3"/>
          <w:vertAlign w:val="baseline"/>
        </w:rPr>
        <w:drawing>
          <wp:inline distT="0" distB="0" distL="0" distR="0">
            <wp:extent cx="316864" cy="76200"/>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2" cstate="print"/>
                    <a:stretch>
                      <a:fillRect/>
                    </a:stretch>
                  </pic:blipFill>
                  <pic:spPr>
                    <a:xfrm>
                      <a:off x="0" y="0"/>
                      <a:ext cx="316864" cy="76200"/>
                    </a:xfrm>
                    <a:prstGeom prst="rect">
                      <a:avLst/>
                    </a:prstGeom>
                  </pic:spPr>
                </pic:pic>
              </a:graphicData>
            </a:graphic>
          </wp:inline>
        </w:drawing>
      </w:r>
      <w:r>
        <w:rPr>
          <w:spacing w:val="-30"/>
          <w:position w:val="3"/>
          <w:vertAlign w:val="baseline"/>
        </w:rPr>
      </w:r>
      <w:r>
        <w:rPr>
          <w:vertAlign w:val="baseline"/>
        </w:rPr>
        <w:tab/>
        <w:t>Oxidized O-Dianisidine </w:t>
      </w:r>
      <w:r>
        <w:rPr>
          <w:vertAlign w:val="baseline"/>
        </w:rPr>
        <w:t>(coloured)(oxyge</w:t>
      </w:r>
      <w:r>
        <w:rPr>
          <w:vertAlign w:val="baseline"/>
        </w:rPr>
        <w:t>n acceptor) + H</w:t>
      </w:r>
      <w:r>
        <w:rPr>
          <w:vertAlign w:val="subscript"/>
        </w:rPr>
        <w:t>2</w:t>
      </w:r>
      <w:r>
        <w:rPr>
          <w:vertAlign w:val="baseline"/>
        </w:rPr>
        <w:t>O.</w:t>
      </w:r>
    </w:p>
    <w:p>
      <w:pPr>
        <w:pStyle w:val="Heading2"/>
        <w:spacing w:before="3"/>
      </w:pPr>
      <w:r>
        <w:rPr>
          <w:spacing w:val="-2"/>
        </w:rPr>
        <w:t>PROCEDURE</w:t>
      </w:r>
    </w:p>
    <w:p>
      <w:pPr>
        <w:pStyle w:val="BodyText"/>
        <w:spacing w:line="480" w:lineRule="auto" w:before="271"/>
        <w:ind w:left="560" w:right="793"/>
        <w:jc w:val="both"/>
      </w:pPr>
      <w:r>
        <w:rPr/>
        <w:t>Clean test tubes were labeled accordingly as samples, standard and blank. About 0.05ml of samples, standard and distilled water</w:t>
      </w:r>
      <w:r>
        <w:rPr>
          <w:spacing w:val="-2"/>
        </w:rPr>
        <w:t> </w:t>
      </w:r>
      <w:r>
        <w:rPr/>
        <w:t>were pipetted into their</w:t>
      </w:r>
      <w:r>
        <w:rPr>
          <w:spacing w:val="-1"/>
        </w:rPr>
        <w:t> </w:t>
      </w:r>
      <w:r>
        <w:rPr/>
        <w:t>corresponding tubes. Also, 2mls of the commercially prepared reagents were added to each of the tubes, mixed and incubated at 37</w:t>
      </w:r>
      <w:r>
        <w:rPr>
          <w:vertAlign w:val="superscript"/>
        </w:rPr>
        <w:t>o</w:t>
      </w:r>
      <w:r>
        <w:rPr>
          <w:vertAlign w:val="baseline"/>
        </w:rPr>
        <w:t>C for 10 minutes. Absorbance was measured against reagent blank at 510nm. Glucose concentration was calculated as:</w:t>
      </w:r>
    </w:p>
    <w:p>
      <w:pPr>
        <w:spacing w:after="0" w:line="480" w:lineRule="auto"/>
        <w:jc w:val="both"/>
        <w:sectPr>
          <w:pgSz w:w="11910" w:h="16840"/>
          <w:pgMar w:header="0" w:footer="1067" w:top="1060" w:bottom="1260" w:left="880" w:right="640"/>
        </w:sectPr>
      </w:pPr>
    </w:p>
    <w:p>
      <w:pPr>
        <w:spacing w:line="264" w:lineRule="exact" w:before="0"/>
        <w:ind w:left="2269" w:right="0" w:firstLine="0"/>
        <w:jc w:val="left"/>
        <w:rPr>
          <w:rFonts w:ascii="Cambria Math" w:eastAsia="Cambria Math"/>
          <w:sz w:val="24"/>
        </w:rPr>
      </w:pPr>
      <w:r>
        <w:rPr>
          <w:rFonts w:ascii="Cambria Math" w:eastAsia="Cambria Math"/>
          <w:sz w:val="24"/>
        </w:rPr>
        <w:t>𝐴𝑏𝑠𝑜𝑟𝑏𝑎𝑛𝑐𝑒</w:t>
      </w:r>
      <w:r>
        <w:rPr>
          <w:rFonts w:ascii="Cambria Math" w:eastAsia="Cambria Math"/>
          <w:spacing w:val="4"/>
          <w:sz w:val="24"/>
        </w:rPr>
        <w:t> </w:t>
      </w:r>
      <w:r>
        <w:rPr>
          <w:rFonts w:ascii="Cambria Math" w:eastAsia="Cambria Math"/>
          <w:sz w:val="24"/>
        </w:rPr>
        <w:t>𝑜𝑓</w:t>
      </w:r>
      <w:r>
        <w:rPr>
          <w:rFonts w:ascii="Cambria Math" w:eastAsia="Cambria Math"/>
          <w:spacing w:val="5"/>
          <w:sz w:val="24"/>
        </w:rPr>
        <w:t> </w:t>
      </w:r>
      <w:r>
        <w:rPr>
          <w:rFonts w:ascii="Cambria Math" w:eastAsia="Cambria Math"/>
          <w:spacing w:val="-2"/>
          <w:sz w:val="24"/>
        </w:rPr>
        <w:t>𝑠𝑎𝑚𝑝𝑙𝑒</w:t>
      </w:r>
    </w:p>
    <w:p>
      <w:pPr>
        <w:pStyle w:val="BodyText"/>
        <w:spacing w:before="5"/>
        <w:rPr>
          <w:rFonts w:ascii="Cambria Math"/>
          <w:sz w:val="4"/>
        </w:rPr>
      </w:pPr>
    </w:p>
    <w:p>
      <w:pPr>
        <w:pStyle w:val="BodyText"/>
        <w:spacing w:line="20" w:lineRule="exact"/>
        <w:ind w:left="2154" w:right="-72"/>
        <w:rPr>
          <w:rFonts w:ascii="Cambria Math"/>
          <w:sz w:val="2"/>
        </w:rPr>
      </w:pPr>
      <w:r>
        <w:rPr>
          <w:rFonts w:ascii="Cambria Math"/>
          <w:sz w:val="2"/>
        </w:rPr>
        <mc:AlternateContent>
          <mc:Choice Requires="wps">
            <w:drawing>
              <wp:inline distT="0" distB="0" distL="0" distR="0">
                <wp:extent cx="1684655" cy="10795"/>
                <wp:effectExtent l="0" t="0" r="0" b="0"/>
                <wp:docPr id="39" name="Group 39"/>
                <wp:cNvGraphicFramePr>
                  <a:graphicFrameLocks/>
                </wp:cNvGraphicFramePr>
                <a:graphic>
                  <a:graphicData uri="http://schemas.microsoft.com/office/word/2010/wordprocessingGroup">
                    <wpg:wgp>
                      <wpg:cNvPr id="39" name="Group 39"/>
                      <wpg:cNvGrpSpPr/>
                      <wpg:grpSpPr>
                        <a:xfrm>
                          <a:off x="0" y="0"/>
                          <a:ext cx="1684655" cy="10795"/>
                          <a:chExt cx="1684655" cy="10795"/>
                        </a:xfrm>
                      </wpg:grpSpPr>
                      <wps:wsp>
                        <wps:cNvPr id="40" name="Graphic 40"/>
                        <wps:cNvSpPr/>
                        <wps:spPr>
                          <a:xfrm>
                            <a:off x="0" y="0"/>
                            <a:ext cx="1684655" cy="10795"/>
                          </a:xfrm>
                          <a:custGeom>
                            <a:avLst/>
                            <a:gdLst/>
                            <a:ahLst/>
                            <a:cxnLst/>
                            <a:rect l="l" t="t" r="r" b="b"/>
                            <a:pathLst>
                              <a:path w="1684655" h="10795">
                                <a:moveTo>
                                  <a:pt x="1684274" y="0"/>
                                </a:moveTo>
                                <a:lnTo>
                                  <a:pt x="0" y="0"/>
                                </a:lnTo>
                                <a:lnTo>
                                  <a:pt x="0" y="10668"/>
                                </a:lnTo>
                                <a:lnTo>
                                  <a:pt x="1684274" y="10668"/>
                                </a:lnTo>
                                <a:lnTo>
                                  <a:pt x="16842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32.65pt;height:.85pt;mso-position-horizontal-relative:char;mso-position-vertical-relative:line" id="docshapegroup29" coordorigin="0,0" coordsize="2653,17">
                <v:rect style="position:absolute;left:0;top:0;width:2653;height:17" id="docshape30" filled="true" fillcolor="#000000" stroked="false">
                  <v:fill type="solid"/>
                </v:rect>
              </v:group>
            </w:pict>
          </mc:Fallback>
        </mc:AlternateContent>
      </w:r>
      <w:r>
        <w:rPr>
          <w:rFonts w:ascii="Cambria Math"/>
          <w:sz w:val="2"/>
        </w:rPr>
      </w:r>
    </w:p>
    <w:p>
      <w:pPr>
        <w:spacing w:before="0"/>
        <w:ind w:left="2153" w:right="0" w:firstLine="0"/>
        <w:jc w:val="left"/>
        <w:rPr>
          <w:rFonts w:ascii="Cambria Math" w:eastAsia="Cambria Math"/>
          <w:sz w:val="24"/>
        </w:rPr>
      </w:pPr>
      <w:r>
        <w:rPr>
          <w:rFonts w:ascii="Cambria Math" w:eastAsia="Cambria Math"/>
          <w:sz w:val="24"/>
        </w:rPr>
        <w:t>𝐴𝑏𝑠𝑜𝑟𝑏𝑎𝑛𝑐𝑒 𝑜𝑓 </w:t>
      </w:r>
      <w:r>
        <w:rPr>
          <w:rFonts w:ascii="Cambria Math" w:eastAsia="Cambria Math"/>
          <w:spacing w:val="-2"/>
          <w:sz w:val="24"/>
        </w:rPr>
        <w:t>𝑠𝑡𝑎𝑛𝑑𝑎𝑟𝑑</w:t>
      </w:r>
    </w:p>
    <w:p>
      <w:pPr>
        <w:spacing w:before="165"/>
        <w:ind w:left="60" w:right="0" w:firstLine="0"/>
        <w:jc w:val="left"/>
        <w:rPr>
          <w:rFonts w:ascii="Cambria Math" w:eastAsia="Cambria Math"/>
          <w:sz w:val="24"/>
        </w:rPr>
      </w:pPr>
      <w:r>
        <w:rPr/>
        <w:br w:type="column"/>
      </w:r>
      <w:r>
        <w:rPr>
          <w:rFonts w:ascii="Cambria Math" w:eastAsia="Cambria Math"/>
          <w:sz w:val="24"/>
        </w:rPr>
        <w:t>𝑥</w:t>
      </w:r>
      <w:r>
        <w:rPr>
          <w:rFonts w:ascii="Cambria Math" w:eastAsia="Cambria Math"/>
          <w:spacing w:val="3"/>
          <w:sz w:val="24"/>
        </w:rPr>
        <w:t> </w:t>
      </w:r>
      <w:r>
        <w:rPr>
          <w:rFonts w:ascii="Cambria Math" w:eastAsia="Cambria Math"/>
          <w:sz w:val="24"/>
        </w:rPr>
        <w:t>𝑐𝑜𝑛𝑐𝑒𝑛𝑡𝑟𝑎𝑡𝑖𝑜𝑛</w:t>
      </w:r>
      <w:r>
        <w:rPr>
          <w:rFonts w:ascii="Cambria Math" w:eastAsia="Cambria Math"/>
          <w:spacing w:val="3"/>
          <w:sz w:val="24"/>
        </w:rPr>
        <w:t> </w:t>
      </w:r>
      <w:r>
        <w:rPr>
          <w:rFonts w:ascii="Cambria Math" w:eastAsia="Cambria Math"/>
          <w:sz w:val="24"/>
        </w:rPr>
        <w:t>𝑜𝑓</w:t>
      </w:r>
      <w:r>
        <w:rPr>
          <w:rFonts w:ascii="Cambria Math" w:eastAsia="Cambria Math"/>
          <w:spacing w:val="5"/>
          <w:sz w:val="24"/>
        </w:rPr>
        <w:t> </w:t>
      </w:r>
      <w:r>
        <w:rPr>
          <w:rFonts w:ascii="Cambria Math" w:eastAsia="Cambria Math"/>
          <w:spacing w:val="-2"/>
          <w:sz w:val="24"/>
        </w:rPr>
        <w:t>𝑠𝑡𝑎𝑛𝑑𝑎𝑟𝑑</w:t>
      </w:r>
    </w:p>
    <w:p>
      <w:pPr>
        <w:spacing w:after="0"/>
        <w:jc w:val="left"/>
        <w:rPr>
          <w:rFonts w:ascii="Cambria Math" w:eastAsia="Cambria Math"/>
          <w:sz w:val="24"/>
        </w:rPr>
        <w:sectPr>
          <w:type w:val="continuous"/>
          <w:pgSz w:w="11910" w:h="16840"/>
          <w:pgMar w:header="0" w:footer="1067" w:top="1060" w:bottom="1260" w:left="880" w:right="640"/>
          <w:cols w:num="2" w:equalWidth="0">
            <w:col w:w="4800" w:space="40"/>
            <w:col w:w="5550"/>
          </w:cols>
        </w:sectPr>
      </w:pPr>
    </w:p>
    <w:p>
      <w:pPr>
        <w:pStyle w:val="BodyText"/>
        <w:spacing w:before="194"/>
        <w:rPr>
          <w:rFonts w:ascii="Cambria Math"/>
        </w:rPr>
      </w:pPr>
    </w:p>
    <w:p>
      <w:pPr>
        <w:pStyle w:val="ListParagraph"/>
        <w:numPr>
          <w:ilvl w:val="3"/>
          <w:numId w:val="10"/>
        </w:numPr>
        <w:tabs>
          <w:tab w:pos="1279" w:val="left" w:leader="none"/>
        </w:tabs>
        <w:spacing w:line="360" w:lineRule="auto" w:before="1" w:after="0"/>
        <w:ind w:left="560" w:right="796" w:firstLine="0"/>
        <w:jc w:val="left"/>
        <w:rPr>
          <w:b/>
          <w:sz w:val="24"/>
        </w:rPr>
      </w:pPr>
      <w:r>
        <w:rPr>
          <w:b/>
          <w:sz w:val="24"/>
        </w:rPr>
        <w:t>ESTIMATIONOF</w:t>
      </w:r>
      <w:r>
        <w:rPr>
          <w:b/>
          <w:spacing w:val="31"/>
          <w:sz w:val="24"/>
        </w:rPr>
        <w:t> </w:t>
      </w:r>
      <w:r>
        <w:rPr>
          <w:b/>
          <w:sz w:val="24"/>
        </w:rPr>
        <w:t>CREATININE</w:t>
      </w:r>
      <w:r>
        <w:rPr>
          <w:b/>
          <w:spacing w:val="30"/>
          <w:sz w:val="24"/>
        </w:rPr>
        <w:t> </w:t>
      </w:r>
      <w:r>
        <w:rPr>
          <w:b/>
          <w:sz w:val="24"/>
        </w:rPr>
        <w:t>AS</w:t>
      </w:r>
      <w:r>
        <w:rPr>
          <w:b/>
          <w:spacing w:val="30"/>
          <w:sz w:val="24"/>
        </w:rPr>
        <w:t> </w:t>
      </w:r>
      <w:r>
        <w:rPr>
          <w:b/>
          <w:sz w:val="24"/>
        </w:rPr>
        <w:t>DESCRIBED</w:t>
      </w:r>
      <w:r>
        <w:rPr>
          <w:b/>
          <w:spacing w:val="29"/>
          <w:sz w:val="24"/>
        </w:rPr>
        <w:t> </w:t>
      </w:r>
      <w:r>
        <w:rPr>
          <w:b/>
          <w:sz w:val="24"/>
        </w:rPr>
        <w:t>BY</w:t>
      </w:r>
      <w:r>
        <w:rPr>
          <w:b/>
          <w:spacing w:val="29"/>
          <w:sz w:val="24"/>
        </w:rPr>
        <w:t> </w:t>
      </w:r>
      <w:r>
        <w:rPr>
          <w:b/>
          <w:sz w:val="24"/>
        </w:rPr>
        <w:t>(RANDOX,</w:t>
      </w:r>
      <w:r>
        <w:rPr>
          <w:b/>
          <w:spacing w:val="31"/>
          <w:sz w:val="24"/>
        </w:rPr>
        <w:t> </w:t>
      </w:r>
      <w:r>
        <w:rPr>
          <w:b/>
          <w:sz w:val="24"/>
        </w:rPr>
        <w:t>2013)</w:t>
      </w:r>
      <w:r>
        <w:rPr>
          <w:b/>
          <w:spacing w:val="29"/>
          <w:sz w:val="24"/>
        </w:rPr>
        <w:t> </w:t>
      </w:r>
      <w:r>
        <w:rPr>
          <w:b/>
          <w:sz w:val="24"/>
        </w:rPr>
        <w:t>Ref. No. CR510; Lot No. 276534</w:t>
      </w:r>
    </w:p>
    <w:p>
      <w:pPr>
        <w:pStyle w:val="Heading2"/>
        <w:spacing w:line="274" w:lineRule="exact"/>
      </w:pPr>
      <w:r>
        <w:rPr>
          <w:spacing w:val="-2"/>
        </w:rPr>
        <w:t>PRINCIPLE:</w:t>
      </w:r>
    </w:p>
    <w:p>
      <w:pPr>
        <w:pStyle w:val="BodyText"/>
        <w:spacing w:line="480" w:lineRule="auto" w:before="271"/>
        <w:ind w:left="560" w:right="793"/>
        <w:jc w:val="both"/>
      </w:pPr>
      <w:r>
        <w:rPr/>
        <w:t>Creatinine reacts with picric acid to produce a coloured compound known as alkaline creatinine picrate. The intensity of the colour produced or change in absorbance is proportional to the creatinine concentration.</w:t>
      </w:r>
    </w:p>
    <w:p>
      <w:pPr>
        <w:pStyle w:val="Heading2"/>
        <w:spacing w:before="5"/>
      </w:pPr>
      <w:r>
        <w:rPr>
          <w:spacing w:val="-2"/>
        </w:rPr>
        <w:t>PROCEDURE</w:t>
      </w:r>
    </w:p>
    <w:p>
      <w:pPr>
        <w:spacing w:after="0"/>
        <w:sectPr>
          <w:type w:val="continuous"/>
          <w:pgSz w:w="11910" w:h="16840"/>
          <w:pgMar w:header="0" w:footer="1067" w:top="1060" w:bottom="1260" w:left="880" w:right="640"/>
        </w:sectPr>
      </w:pPr>
    </w:p>
    <w:p>
      <w:pPr>
        <w:pStyle w:val="BodyText"/>
        <w:spacing w:line="480" w:lineRule="auto" w:before="70"/>
        <w:ind w:left="560" w:right="793"/>
        <w:jc w:val="both"/>
      </w:pPr>
      <w:r>
        <w:rPr/>
        <w:t>Clean test tubes were properly labeled as sample, standard and blank. About 1000ml of working reagent was added to each tube, followed by</w:t>
      </w:r>
      <w:r>
        <w:rPr>
          <w:spacing w:val="-5"/>
        </w:rPr>
        <w:t> </w:t>
      </w:r>
      <w:r>
        <w:rPr/>
        <w:t>100ml of sample, standard and distilled water into their corresponding tubes.</w:t>
      </w:r>
      <w:r>
        <w:rPr>
          <w:spacing w:val="40"/>
        </w:rPr>
        <w:t> </w:t>
      </w:r>
      <w:r>
        <w:rPr/>
        <w:t>They were mixed and the absorbance taken 60 seconds after adding the sample, standard and distilled water. This serves as the first reading (T1). Exactly</w:t>
      </w:r>
      <w:r>
        <w:rPr>
          <w:spacing w:val="-4"/>
        </w:rPr>
        <w:t> </w:t>
      </w:r>
      <w:r>
        <w:rPr/>
        <w:t>60</w:t>
      </w:r>
      <w:r>
        <w:rPr>
          <w:spacing w:val="-1"/>
        </w:rPr>
        <w:t> </w:t>
      </w:r>
      <w:r>
        <w:rPr/>
        <w:t>seconds after the</w:t>
      </w:r>
      <w:r>
        <w:rPr>
          <w:spacing w:val="-2"/>
        </w:rPr>
        <w:t> </w:t>
      </w:r>
      <w:r>
        <w:rPr/>
        <w:t>first</w:t>
      </w:r>
      <w:r>
        <w:rPr>
          <w:spacing w:val="-1"/>
        </w:rPr>
        <w:t> </w:t>
      </w:r>
      <w:r>
        <w:rPr/>
        <w:t>reading,</w:t>
      </w:r>
      <w:r>
        <w:rPr>
          <w:spacing w:val="-1"/>
        </w:rPr>
        <w:t> </w:t>
      </w:r>
      <w:r>
        <w:rPr/>
        <w:t>the second</w:t>
      </w:r>
      <w:r>
        <w:rPr>
          <w:spacing w:val="-1"/>
        </w:rPr>
        <w:t> </w:t>
      </w:r>
      <w:r>
        <w:rPr/>
        <w:t>reading (T2) was taken.</w:t>
      </w:r>
      <w:r>
        <w:rPr>
          <w:spacing w:val="-1"/>
        </w:rPr>
        <w:t> </w:t>
      </w:r>
      <w:r>
        <w:rPr/>
        <w:t>The absorbance was read at 505nm. The serum creatinine was calculated as:</w:t>
      </w:r>
    </w:p>
    <w:p>
      <w:pPr>
        <w:spacing w:line="182" w:lineRule="auto" w:before="58"/>
        <w:ind w:left="560" w:right="0" w:firstLine="0"/>
        <w:jc w:val="both"/>
        <w:rPr>
          <w:rFonts w:ascii="Cambria Math"/>
          <w:sz w:val="18"/>
        </w:rPr>
      </w:pPr>
      <w:r>
        <w:rPr/>
        <mc:AlternateContent>
          <mc:Choice Requires="wps">
            <w:drawing>
              <wp:anchor distT="0" distB="0" distL="0" distR="0" allowOverlap="1" layoutInCell="1" locked="0" behindDoc="1" simplePos="0" relativeHeight="484742656">
                <wp:simplePos x="0" y="0"/>
                <wp:positionH relativeFrom="page">
                  <wp:posOffset>3150742</wp:posOffset>
                </wp:positionH>
                <wp:positionV relativeFrom="paragraph">
                  <wp:posOffset>182931</wp:posOffset>
                </wp:positionV>
                <wp:extent cx="2120265" cy="1079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2120265" cy="10795"/>
                        </a:xfrm>
                        <a:custGeom>
                          <a:avLst/>
                          <a:gdLst/>
                          <a:ahLst/>
                          <a:cxnLst/>
                          <a:rect l="l" t="t" r="r" b="b"/>
                          <a:pathLst>
                            <a:path w="2120265" h="10795">
                              <a:moveTo>
                                <a:pt x="2120137" y="0"/>
                              </a:moveTo>
                              <a:lnTo>
                                <a:pt x="0" y="0"/>
                              </a:lnTo>
                              <a:lnTo>
                                <a:pt x="0" y="10668"/>
                              </a:lnTo>
                              <a:lnTo>
                                <a:pt x="2120137" y="10668"/>
                              </a:lnTo>
                              <a:lnTo>
                                <a:pt x="21201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48.089996pt;margin-top:14.404062pt;width:166.94pt;height:.84pt;mso-position-horizontal-relative:page;mso-position-vertical-relative:paragraph;z-index:-18573824" id="docshape31" filled="true" fillcolor="#000000" stroked="false">
                <v:fill type="solid"/>
                <w10:wrap type="none"/>
              </v:rect>
            </w:pict>
          </mc:Fallback>
        </mc:AlternateContent>
      </w:r>
      <w:r>
        <w:rPr>
          <w:position w:val="-15"/>
          <w:sz w:val="24"/>
        </w:rPr>
        <w:t>Creatinine</w:t>
      </w:r>
      <w:r>
        <w:rPr>
          <w:spacing w:val="-1"/>
          <w:position w:val="-15"/>
          <w:sz w:val="24"/>
        </w:rPr>
        <w:t> </w:t>
      </w:r>
      <w:r>
        <w:rPr>
          <w:position w:val="-15"/>
          <w:sz w:val="24"/>
        </w:rPr>
        <w:t>concentration</w:t>
      </w:r>
      <w:r>
        <w:rPr>
          <w:spacing w:val="2"/>
          <w:position w:val="-15"/>
          <w:sz w:val="24"/>
        </w:rPr>
        <w:t> </w:t>
      </w:r>
      <w:r>
        <w:rPr>
          <w:position w:val="-15"/>
          <w:sz w:val="24"/>
        </w:rPr>
        <w:t>(mg/dl) =</w:t>
      </w:r>
      <w:r>
        <w:rPr>
          <w:spacing w:val="30"/>
          <w:position w:val="-15"/>
          <w:sz w:val="24"/>
        </w:rPr>
        <w:t>  </w:t>
      </w:r>
      <w:r>
        <w:rPr>
          <w:rFonts w:ascii="Cambria Math"/>
          <w:sz w:val="18"/>
        </w:rPr>
        <w:t>(T2-T1)of</w:t>
      </w:r>
      <w:r>
        <w:rPr>
          <w:rFonts w:ascii="Cambria Math"/>
          <w:spacing w:val="1"/>
          <w:sz w:val="18"/>
        </w:rPr>
        <w:t> </w:t>
      </w:r>
      <w:r>
        <w:rPr>
          <w:rFonts w:ascii="Cambria Math"/>
          <w:sz w:val="18"/>
        </w:rPr>
        <w:t>sample</w:t>
      </w:r>
      <w:r>
        <w:rPr>
          <w:rFonts w:ascii="Cambria Math"/>
          <w:spacing w:val="1"/>
          <w:sz w:val="18"/>
        </w:rPr>
        <w:t> </w:t>
      </w:r>
      <w:r>
        <w:rPr>
          <w:rFonts w:ascii="Cambria Math"/>
          <w:sz w:val="18"/>
        </w:rPr>
        <w:t>x standard </w:t>
      </w:r>
      <w:r>
        <w:rPr>
          <w:rFonts w:ascii="Cambria Math"/>
          <w:spacing w:val="-2"/>
          <w:sz w:val="18"/>
        </w:rPr>
        <w:t>concentration</w:t>
      </w:r>
    </w:p>
    <w:p>
      <w:pPr>
        <w:spacing w:line="169" w:lineRule="exact" w:before="0"/>
        <w:ind w:left="1121" w:right="0" w:firstLine="0"/>
        <w:jc w:val="center"/>
        <w:rPr>
          <w:rFonts w:ascii="Cambria Math"/>
          <w:sz w:val="18"/>
        </w:rPr>
      </w:pPr>
      <w:r>
        <w:rPr>
          <w:rFonts w:ascii="Cambria Math"/>
          <w:sz w:val="18"/>
        </w:rPr>
        <w:t>(T2-T1)of</w:t>
      </w:r>
      <w:r>
        <w:rPr>
          <w:rFonts w:ascii="Cambria Math"/>
          <w:spacing w:val="11"/>
          <w:sz w:val="18"/>
        </w:rPr>
        <w:t> </w:t>
      </w:r>
      <w:r>
        <w:rPr>
          <w:rFonts w:ascii="Cambria Math"/>
          <w:spacing w:val="-2"/>
          <w:sz w:val="18"/>
        </w:rPr>
        <w:t>standard</w:t>
      </w:r>
    </w:p>
    <w:p>
      <w:pPr>
        <w:pStyle w:val="BodyText"/>
        <w:rPr>
          <w:rFonts w:ascii="Cambria Math"/>
        </w:rPr>
      </w:pPr>
    </w:p>
    <w:p>
      <w:pPr>
        <w:pStyle w:val="BodyText"/>
        <w:spacing w:before="34"/>
        <w:rPr>
          <w:rFonts w:ascii="Cambria Math"/>
        </w:rPr>
      </w:pPr>
    </w:p>
    <w:p>
      <w:pPr>
        <w:pStyle w:val="Heading2"/>
        <w:numPr>
          <w:ilvl w:val="3"/>
          <w:numId w:val="11"/>
        </w:numPr>
        <w:tabs>
          <w:tab w:pos="2000" w:val="left" w:leader="none"/>
        </w:tabs>
        <w:spacing w:line="240" w:lineRule="auto" w:before="1" w:after="0"/>
        <w:ind w:left="2000" w:right="0" w:hanging="1440"/>
        <w:jc w:val="left"/>
      </w:pPr>
      <w:r>
        <w:rPr/>
        <w:t>QUANTITATIVE</w:t>
      </w:r>
      <w:r>
        <w:rPr>
          <w:spacing w:val="-2"/>
        </w:rPr>
        <w:t> </w:t>
      </w:r>
      <w:r>
        <w:rPr/>
        <w:t>DETERMINATION</w:t>
      </w:r>
      <w:r>
        <w:rPr>
          <w:spacing w:val="-1"/>
        </w:rPr>
        <w:t> </w:t>
      </w:r>
      <w:r>
        <w:rPr/>
        <w:t>OF</w:t>
      </w:r>
      <w:r>
        <w:rPr>
          <w:spacing w:val="-1"/>
        </w:rPr>
        <w:t> </w:t>
      </w:r>
      <w:r>
        <w:rPr/>
        <w:t>C-</w:t>
      </w:r>
      <w:r>
        <w:rPr>
          <w:spacing w:val="-2"/>
        </w:rPr>
        <w:t>REACTIVEPROTEIN</w:t>
      </w:r>
    </w:p>
    <w:p>
      <w:pPr>
        <w:pStyle w:val="BodyText"/>
        <w:spacing w:line="480" w:lineRule="auto" w:before="271"/>
        <w:ind w:left="560" w:right="794"/>
        <w:jc w:val="both"/>
      </w:pPr>
      <w:r>
        <w:rPr/>
        <w:t>C-RP was determined using immunoturbidimetric method as described by (Otsuji </w:t>
      </w:r>
      <w:r>
        <w:rPr>
          <w:i/>
        </w:rPr>
        <w:t>et</w:t>
      </w:r>
      <w:r>
        <w:rPr>
          <w:i/>
          <w:spacing w:val="40"/>
        </w:rPr>
        <w:t> </w:t>
      </w:r>
      <w:r>
        <w:rPr>
          <w:i/>
          <w:spacing w:val="-2"/>
        </w:rPr>
        <w:t>al.,</w:t>
      </w:r>
      <w:r>
        <w:rPr>
          <w:spacing w:val="-2"/>
        </w:rPr>
        <w:t>1982).</w:t>
      </w:r>
    </w:p>
    <w:p>
      <w:pPr>
        <w:pStyle w:val="Heading2"/>
        <w:spacing w:before="5"/>
      </w:pPr>
      <w:r>
        <w:rPr>
          <w:spacing w:val="-2"/>
        </w:rPr>
        <w:t>PRINCIPLE:</w:t>
      </w:r>
    </w:p>
    <w:p>
      <w:pPr>
        <w:pStyle w:val="BodyText"/>
        <w:spacing w:line="480" w:lineRule="auto" w:before="271"/>
        <w:ind w:left="560" w:right="796"/>
        <w:jc w:val="both"/>
      </w:pPr>
      <w:r>
        <w:rPr/>
        <w:t>This is a latex enhanced turbidimetric immuno assay. C-RP binds to specific anti- C-RP antibodies, which have been adsorbed to latex particles to produce turbidity. The turbidity is proportional to the concentration of C-RP in the sample. The actual concentration is then determined by interpolation from a calibration curve prepared using calibrators.</w:t>
      </w:r>
    </w:p>
    <w:p>
      <w:pPr>
        <w:pStyle w:val="Heading2"/>
        <w:spacing w:before="5"/>
      </w:pPr>
      <w:r>
        <w:rPr>
          <w:spacing w:val="-2"/>
        </w:rPr>
        <w:t>PROCEDURE</w:t>
      </w:r>
    </w:p>
    <w:p>
      <w:pPr>
        <w:pStyle w:val="BodyText"/>
        <w:spacing w:line="480" w:lineRule="auto" w:before="272"/>
        <w:ind w:left="560" w:right="794"/>
        <w:jc w:val="both"/>
      </w:pPr>
      <w:r>
        <w:rPr/>
        <w:t>Six calibrators were prepared using NaCl (0.9mg/dl) as diluent, the corresponding dilution factor used to multiple the concentration of the calibrator to obtain the C-RP concentration</w:t>
      </w:r>
      <w:r>
        <w:rPr>
          <w:spacing w:val="40"/>
        </w:rPr>
        <w:t> </w:t>
      </w:r>
      <w:r>
        <w:rPr/>
        <w:t>for each tube dilution. About 450</w:t>
      </w:r>
      <w:r>
        <w:rPr>
          <w:rFonts w:ascii="Symbol" w:hAnsi="Symbol"/>
        </w:rPr>
        <w:t></w:t>
      </w:r>
      <w:r>
        <w:rPr/>
        <w:t>l of Reagent 1 was added to the assigned tubes for calibrators, samples and blank respectively. Also, l50</w:t>
      </w:r>
      <w:r>
        <w:rPr>
          <w:rFonts w:ascii="Symbol" w:hAnsi="Symbol"/>
        </w:rPr>
        <w:t></w:t>
      </w:r>
      <w:r>
        <w:rPr/>
        <w:t>l of Reagent 2 was added to the</w:t>
      </w:r>
      <w:r>
        <w:rPr>
          <w:spacing w:val="80"/>
        </w:rPr>
        <w:t> </w:t>
      </w:r>
      <w:r>
        <w:rPr/>
        <w:t>labeled tubes. Then, 5</w:t>
      </w:r>
      <w:r>
        <w:rPr>
          <w:rFonts w:ascii="Symbol" w:hAnsi="Symbol"/>
        </w:rPr>
        <w:t></w:t>
      </w:r>
      <w:r>
        <w:rPr/>
        <w:t>l of the diluted calibrators and the samples were respectiveely added</w:t>
      </w:r>
      <w:r>
        <w:rPr>
          <w:spacing w:val="40"/>
        </w:rPr>
        <w:t> </w:t>
      </w:r>
      <w:r>
        <w:rPr/>
        <w:t>to the designated tubes and 5</w:t>
      </w:r>
      <w:r>
        <w:rPr>
          <w:rFonts w:ascii="Symbol" w:hAnsi="Symbol"/>
        </w:rPr>
        <w:t></w:t>
      </w:r>
      <w:r>
        <w:rPr/>
        <w:t>l of distilled water was added into the blank. The tubes were mixed and absorbance of calibrators, samples and blank respectively were read immediately after 2 mins at 578nm.</w:t>
      </w:r>
    </w:p>
    <w:p>
      <w:pPr>
        <w:spacing w:after="0" w:line="480" w:lineRule="auto"/>
        <w:jc w:val="both"/>
        <w:sectPr>
          <w:pgSz w:w="11910" w:h="16840"/>
          <w:pgMar w:header="0" w:footer="1067" w:top="1060" w:bottom="1260" w:left="880" w:right="640"/>
        </w:sectPr>
      </w:pPr>
    </w:p>
    <w:p>
      <w:pPr>
        <w:pStyle w:val="Heading2"/>
        <w:spacing w:before="75"/>
      </w:pPr>
      <w:r>
        <w:rPr>
          <w:spacing w:val="-2"/>
        </w:rPr>
        <w:t>CALCULATION</w:t>
      </w:r>
    </w:p>
    <w:p>
      <w:pPr>
        <w:pStyle w:val="BodyText"/>
        <w:spacing w:line="480" w:lineRule="auto" w:before="271"/>
        <w:ind w:left="560" w:right="800"/>
        <w:jc w:val="both"/>
      </w:pPr>
      <w:r>
        <w:rPr/>
        <w:t>The exact value was obtained by subtracting the absorbance value of the sample from that of blank and extrapolated from the calibration curve.</w:t>
      </w:r>
    </w:p>
    <w:p>
      <w:pPr>
        <w:pStyle w:val="BodyText"/>
      </w:pPr>
    </w:p>
    <w:p>
      <w:pPr>
        <w:pStyle w:val="BodyText"/>
        <w:spacing w:before="5"/>
      </w:pPr>
    </w:p>
    <w:p>
      <w:pPr>
        <w:pStyle w:val="Heading2"/>
        <w:numPr>
          <w:ilvl w:val="3"/>
          <w:numId w:val="11"/>
        </w:numPr>
        <w:tabs>
          <w:tab w:pos="2000" w:val="left" w:leader="none"/>
        </w:tabs>
        <w:spacing w:line="240" w:lineRule="auto" w:before="0" w:after="0"/>
        <w:ind w:left="2000" w:right="0" w:hanging="1440"/>
        <w:jc w:val="left"/>
      </w:pPr>
      <w:r>
        <w:rPr/>
        <w:t>STATISTICAL</w:t>
      </w:r>
      <w:r>
        <w:rPr>
          <w:spacing w:val="-2"/>
        </w:rPr>
        <w:t> ANALYSIS</w:t>
      </w:r>
    </w:p>
    <w:p>
      <w:pPr>
        <w:pStyle w:val="BodyText"/>
        <w:spacing w:line="480" w:lineRule="auto" w:before="272"/>
        <w:ind w:left="560" w:right="793"/>
        <w:jc w:val="both"/>
      </w:pPr>
      <w:r>
        <w:rPr/>
        <w:t>The results were expressed as mean and standard deviation.</w:t>
      </w:r>
      <w:r>
        <w:rPr>
          <w:spacing w:val="40"/>
        </w:rPr>
        <w:t> </w:t>
      </w:r>
      <w:r>
        <w:rPr/>
        <w:t>Student‟s t-test and analysis of variance (ANOVA) were used for comparison of differences in various groups.Level of significance was set at p&lt;0.05. The tests ofassociation wereperformed using Pearsonian Correlation.A two sided P-value of less than 0.05 were considered statistically significant for tests of association. All statistical analysis were performed using Statistical Package for</w:t>
      </w:r>
      <w:r>
        <w:rPr>
          <w:spacing w:val="40"/>
        </w:rPr>
        <w:t> </w:t>
      </w:r>
      <w:r>
        <w:rPr/>
        <w:t>Social Sciences (SPSS) version 21.0</w:t>
      </w:r>
    </w:p>
    <w:p>
      <w:pPr>
        <w:spacing w:after="0" w:line="480" w:lineRule="auto"/>
        <w:jc w:val="both"/>
        <w:sectPr>
          <w:pgSz w:w="11910" w:h="16840"/>
          <w:pgMar w:header="0" w:footer="1067" w:top="1060" w:bottom="1260" w:left="880" w:right="640"/>
        </w:sectPr>
      </w:pPr>
    </w:p>
    <w:p>
      <w:pPr>
        <w:pStyle w:val="Heading2"/>
        <w:spacing w:before="75"/>
        <w:ind w:left="0" w:right="238"/>
        <w:jc w:val="center"/>
      </w:pPr>
      <w:r>
        <w:rPr/>
        <w:t>CHAPTER</w:t>
      </w:r>
      <w:r>
        <w:rPr>
          <w:spacing w:val="-3"/>
        </w:rPr>
        <w:t> </w:t>
      </w:r>
      <w:r>
        <w:rPr>
          <w:spacing w:val="-4"/>
        </w:rPr>
        <w:t>FOUR</w:t>
      </w:r>
    </w:p>
    <w:p>
      <w:pPr>
        <w:pStyle w:val="BodyText"/>
        <w:rPr>
          <w:b/>
        </w:rPr>
      </w:pPr>
    </w:p>
    <w:p>
      <w:pPr>
        <w:pStyle w:val="BodyText"/>
        <w:spacing w:before="91"/>
        <w:rPr>
          <w:b/>
        </w:rPr>
      </w:pPr>
    </w:p>
    <w:p>
      <w:pPr>
        <w:pStyle w:val="ListParagraph"/>
        <w:numPr>
          <w:ilvl w:val="1"/>
          <w:numId w:val="12"/>
        </w:numPr>
        <w:tabs>
          <w:tab w:pos="1160" w:val="left" w:leader="none"/>
        </w:tabs>
        <w:spacing w:line="240" w:lineRule="auto" w:before="1" w:after="0"/>
        <w:ind w:left="1160" w:right="0" w:hanging="600"/>
        <w:jc w:val="left"/>
        <w:rPr>
          <w:b/>
          <w:sz w:val="24"/>
        </w:rPr>
      </w:pPr>
      <w:r>
        <w:rPr>
          <w:b/>
          <w:spacing w:val="-2"/>
          <w:sz w:val="24"/>
        </w:rPr>
        <w:t>RESULTS</w:t>
      </w:r>
    </w:p>
    <w:p>
      <w:pPr>
        <w:pStyle w:val="BodyText"/>
        <w:spacing w:line="480" w:lineRule="auto" w:before="271"/>
        <w:ind w:left="560" w:right="793"/>
        <w:jc w:val="both"/>
      </w:pPr>
      <w:r>
        <w:rPr/>
        <w:t>Two hundred and six (88%) out of234 pregnant and 50 (96%) out of 52 immediate post partum women thattested negative to HIV infection were enrolled for this study. The two groups were further stratified into 4 groups. Group 1 comprised of 144 (69.9%) malaria parasitaemic pregnant women while group 2 were 62 (30.1%) aparasitaemic pregnant</w:t>
      </w:r>
      <w:r>
        <w:rPr>
          <w:spacing w:val="40"/>
        </w:rPr>
        <w:t> </w:t>
      </w:r>
      <w:r>
        <w:rPr/>
        <w:t>women. Group 3 were made of 30 (60%) post partum women with placental malaria while group 4 were 20 (40%) post partum women with placenta uninfected by malaria. The control samples, 40 uninfected non pregnant women and constituted the 5</w:t>
      </w:r>
      <w:r>
        <w:rPr>
          <w:vertAlign w:val="superscript"/>
        </w:rPr>
        <w:t>th</w:t>
      </w:r>
      <w:r>
        <w:rPr>
          <w:vertAlign w:val="baseline"/>
        </w:rPr>
        <w:t> group.</w:t>
      </w:r>
      <w:r>
        <w:rPr>
          <w:spacing w:val="40"/>
          <w:vertAlign w:val="baseline"/>
        </w:rPr>
        <w:t> </w:t>
      </w:r>
      <w:r>
        <w:rPr>
          <w:vertAlign w:val="baseline"/>
        </w:rPr>
        <w:t>All that participated as test-subjects and control groups were asymptomatic and apparently healthy pregnant</w:t>
      </w:r>
      <w:r>
        <w:rPr>
          <w:spacing w:val="-1"/>
          <w:vertAlign w:val="baseline"/>
        </w:rPr>
        <w:t> </w:t>
      </w:r>
      <w:r>
        <w:rPr>
          <w:vertAlign w:val="baseline"/>
        </w:rPr>
        <w:t>and</w:t>
      </w:r>
      <w:r>
        <w:rPr>
          <w:spacing w:val="-3"/>
          <w:vertAlign w:val="baseline"/>
        </w:rPr>
        <w:t> </w:t>
      </w:r>
      <w:r>
        <w:rPr>
          <w:vertAlign w:val="baseline"/>
        </w:rPr>
        <w:t>nonpregnant</w:t>
      </w:r>
      <w:r>
        <w:rPr>
          <w:spacing w:val="-3"/>
          <w:vertAlign w:val="baseline"/>
        </w:rPr>
        <w:t> </w:t>
      </w:r>
      <w:r>
        <w:rPr>
          <w:vertAlign w:val="baseline"/>
        </w:rPr>
        <w:t>womenrespectively.</w:t>
      </w:r>
      <w:r>
        <w:rPr>
          <w:spacing w:val="-3"/>
          <w:vertAlign w:val="baseline"/>
        </w:rPr>
        <w:t> </w:t>
      </w:r>
      <w:r>
        <w:rPr>
          <w:vertAlign w:val="baseline"/>
        </w:rPr>
        <w:t>They</w:t>
      </w:r>
      <w:r>
        <w:rPr>
          <w:spacing w:val="-6"/>
          <w:vertAlign w:val="baseline"/>
        </w:rPr>
        <w:t> </w:t>
      </w:r>
      <w:r>
        <w:rPr>
          <w:vertAlign w:val="baseline"/>
        </w:rPr>
        <w:t>were</w:t>
      </w:r>
      <w:r>
        <w:rPr>
          <w:spacing w:val="-4"/>
          <w:vertAlign w:val="baseline"/>
        </w:rPr>
        <w:t> </w:t>
      </w:r>
      <w:r>
        <w:rPr>
          <w:vertAlign w:val="baseline"/>
        </w:rPr>
        <w:t>between</w:t>
      </w:r>
      <w:r>
        <w:rPr>
          <w:spacing w:val="-3"/>
          <w:vertAlign w:val="baseline"/>
        </w:rPr>
        <w:t> </w:t>
      </w:r>
      <w:r>
        <w:rPr>
          <w:vertAlign w:val="baseline"/>
        </w:rPr>
        <w:t>17</w:t>
      </w:r>
      <w:r>
        <w:rPr>
          <w:spacing w:val="-3"/>
          <w:vertAlign w:val="baseline"/>
        </w:rPr>
        <w:t> </w:t>
      </w:r>
      <w:r>
        <w:rPr>
          <w:vertAlign w:val="baseline"/>
        </w:rPr>
        <w:t>–</w:t>
      </w:r>
      <w:r>
        <w:rPr>
          <w:spacing w:val="-1"/>
          <w:vertAlign w:val="baseline"/>
        </w:rPr>
        <w:t> </w:t>
      </w:r>
      <w:r>
        <w:rPr>
          <w:vertAlign w:val="baseline"/>
        </w:rPr>
        <w:t>44 years.</w:t>
      </w:r>
      <w:r>
        <w:rPr>
          <w:spacing w:val="80"/>
          <w:vertAlign w:val="baseline"/>
        </w:rPr>
        <w:t> </w:t>
      </w:r>
      <w:r>
        <w:rPr>
          <w:vertAlign w:val="baseline"/>
        </w:rPr>
        <w:t>Resultsare presented as tables, charts and graphs.</w:t>
      </w:r>
    </w:p>
    <w:p>
      <w:pPr>
        <w:pStyle w:val="BodyText"/>
        <w:spacing w:before="1"/>
      </w:pPr>
    </w:p>
    <w:p>
      <w:pPr>
        <w:pStyle w:val="BodyText"/>
        <w:spacing w:line="480" w:lineRule="auto"/>
        <w:ind w:left="560" w:right="796"/>
        <w:jc w:val="both"/>
      </w:pPr>
      <w:r>
        <w:rPr/>
        <w:t>Table 4.1 showed comparison ofsome cytokine levels of malaria infected pregnant women. The cytokines include Interferon Gamma(IFN</w:t>
      </w:r>
      <w:r>
        <w:rPr>
          <w:rFonts w:ascii="Symbol" w:hAnsi="Symbol"/>
        </w:rPr>
        <w:t></w:t>
      </w:r>
      <w:r>
        <w:rPr/>
        <w:t>), Tumour Necrosis Factor Alpha(TNF</w:t>
      </w:r>
      <w:r>
        <w:rPr>
          <w:rFonts w:ascii="Symbol" w:hAnsi="Symbol"/>
        </w:rPr>
        <w:t></w:t>
      </w:r>
      <w:r>
        <w:rPr/>
        <w:t>), Interleukin-4(IL-4), Interleukin-6(IL-6) and Interleukin-10(IL-10). The values of the cytokines were expressed as mean</w:t>
      </w:r>
      <w:r>
        <w:rPr>
          <w:rFonts w:ascii="Symbol" w:hAnsi="Symbol"/>
        </w:rPr>
        <w:t></w:t>
      </w:r>
      <w:r>
        <w:rPr/>
        <w:t>SD and in pg/ml.</w:t>
      </w:r>
    </w:p>
    <w:p>
      <w:pPr>
        <w:pStyle w:val="BodyText"/>
        <w:spacing w:before="3"/>
      </w:pPr>
    </w:p>
    <w:p>
      <w:pPr>
        <w:pStyle w:val="BodyText"/>
        <w:spacing w:line="480" w:lineRule="auto"/>
        <w:ind w:left="560" w:right="797"/>
        <w:jc w:val="both"/>
      </w:pPr>
      <w:r>
        <w:rPr/>
        <w:t>The value22.94 </w:t>
      </w:r>
      <w:r>
        <w:rPr>
          <w:rFonts w:ascii="Symbol" w:hAnsi="Symbol"/>
        </w:rPr>
        <w:t></w:t>
      </w:r>
      <w:r>
        <w:rPr/>
        <w:t> 12.71of IFN</w:t>
      </w:r>
      <w:r>
        <w:rPr>
          <w:rFonts w:ascii="Symbol" w:hAnsi="Symbol"/>
        </w:rPr>
        <w:t></w:t>
      </w:r>
      <w:r>
        <w:rPr/>
        <w:t>for malaria infected pregnant womenwas significantly higher (p&lt;0.005) compared with 5.98 </w:t>
      </w:r>
      <w:r>
        <w:rPr>
          <w:rFonts w:ascii="Symbol" w:hAnsi="Symbol"/>
        </w:rPr>
        <w:t></w:t>
      </w:r>
      <w:r>
        <w:rPr/>
        <w:t> 3.11 and 4.69 </w:t>
      </w:r>
      <w:r>
        <w:rPr>
          <w:rFonts w:ascii="Symbol" w:hAnsi="Symbol"/>
        </w:rPr>
        <w:t></w:t>
      </w:r>
      <w:r>
        <w:rPr/>
        <w:t> 2.64of the malaria uninfected pregnant and uninfected non-pregnant groups respectively.</w:t>
      </w:r>
    </w:p>
    <w:p>
      <w:pPr>
        <w:pStyle w:val="BodyText"/>
      </w:pPr>
    </w:p>
    <w:p>
      <w:pPr>
        <w:pStyle w:val="BodyText"/>
        <w:spacing w:line="480" w:lineRule="auto"/>
        <w:ind w:left="560" w:right="795"/>
        <w:jc w:val="both"/>
      </w:pPr>
      <w:r>
        <w:rPr/>
        <w:t>The mean</w:t>
      </w:r>
      <w:r>
        <w:rPr>
          <w:rFonts w:ascii="Symbol" w:hAnsi="Symbol"/>
        </w:rPr>
        <w:t></w:t>
      </w:r>
      <w:r>
        <w:rPr/>
        <w:t>SD(5.98</w:t>
      </w:r>
      <w:r>
        <w:rPr>
          <w:rFonts w:ascii="Symbol" w:hAnsi="Symbol"/>
        </w:rPr>
        <w:t></w:t>
      </w:r>
      <w:r>
        <w:rPr/>
        <w:t>3.11) of IFN</w:t>
      </w:r>
      <w:r>
        <w:rPr>
          <w:rFonts w:ascii="Symbol" w:hAnsi="Symbol"/>
        </w:rPr>
        <w:t></w:t>
      </w:r>
      <w:r>
        <w:rPr/>
        <w:t> for uninfected pregnant women showed no significant difference (P&gt;0.05) when compared with 4.69</w:t>
      </w:r>
      <w:r>
        <w:rPr>
          <w:rFonts w:ascii="Symbol" w:hAnsi="Symbol"/>
        </w:rPr>
        <w:t></w:t>
      </w:r>
      <w:r>
        <w:rPr/>
        <w:t>2.64 for uninfected non-pregnantwomen.The mean</w:t>
      </w:r>
      <w:r>
        <w:rPr>
          <w:rFonts w:ascii="Symbol" w:hAnsi="Symbol"/>
        </w:rPr>
        <w:t></w:t>
      </w:r>
      <w:r>
        <w:rPr/>
        <w:t>SD (21.12</w:t>
      </w:r>
      <w:r>
        <w:rPr>
          <w:rFonts w:ascii="Symbol" w:hAnsi="Symbol"/>
        </w:rPr>
        <w:t></w:t>
      </w:r>
      <w:r>
        <w:rPr/>
        <w:t>12.57) of TNF</w:t>
      </w:r>
      <w:r>
        <w:rPr>
          <w:rFonts w:ascii="Symbol" w:hAnsi="Symbol"/>
        </w:rPr>
        <w:t></w:t>
      </w:r>
      <w:r>
        <w:rPr/>
        <w:t>for the infected pregnant subjects was significantly higher (P&lt;0.05)</w:t>
      </w:r>
      <w:r>
        <w:rPr>
          <w:spacing w:val="48"/>
        </w:rPr>
        <w:t> </w:t>
      </w:r>
      <w:r>
        <w:rPr/>
        <w:t>when</w:t>
      </w:r>
      <w:r>
        <w:rPr>
          <w:spacing w:val="52"/>
        </w:rPr>
        <w:t> </w:t>
      </w:r>
      <w:r>
        <w:rPr/>
        <w:t>compared</w:t>
      </w:r>
      <w:r>
        <w:rPr>
          <w:spacing w:val="51"/>
        </w:rPr>
        <w:t> </w:t>
      </w:r>
      <w:r>
        <w:rPr/>
        <w:t>with</w:t>
      </w:r>
      <w:r>
        <w:rPr>
          <w:spacing w:val="54"/>
        </w:rPr>
        <w:t> </w:t>
      </w:r>
      <w:r>
        <w:rPr/>
        <w:t>10.03</w:t>
      </w:r>
      <w:r>
        <w:rPr>
          <w:rFonts w:ascii="Symbol" w:hAnsi="Symbol"/>
        </w:rPr>
        <w:t></w:t>
      </w:r>
      <w:r>
        <w:rPr/>
        <w:t>3.04</w:t>
      </w:r>
      <w:r>
        <w:rPr>
          <w:spacing w:val="51"/>
        </w:rPr>
        <w:t> </w:t>
      </w:r>
      <w:r>
        <w:rPr/>
        <w:t>and</w:t>
      </w:r>
      <w:r>
        <w:rPr>
          <w:spacing w:val="52"/>
        </w:rPr>
        <w:t> </w:t>
      </w:r>
      <w:r>
        <w:rPr/>
        <w:t>4.66</w:t>
      </w:r>
      <w:r>
        <w:rPr>
          <w:rFonts w:ascii="Symbol" w:hAnsi="Symbol"/>
        </w:rPr>
        <w:t></w:t>
      </w:r>
      <w:r>
        <w:rPr/>
        <w:t>0.78</w:t>
      </w:r>
      <w:r>
        <w:rPr>
          <w:spacing w:val="51"/>
        </w:rPr>
        <w:t> </w:t>
      </w:r>
      <w:r>
        <w:rPr/>
        <w:t>of</w:t>
      </w:r>
      <w:r>
        <w:rPr>
          <w:spacing w:val="51"/>
        </w:rPr>
        <w:t> </w:t>
      </w:r>
      <w:r>
        <w:rPr/>
        <w:t>the</w:t>
      </w:r>
      <w:r>
        <w:rPr>
          <w:spacing w:val="51"/>
        </w:rPr>
        <w:t> </w:t>
      </w:r>
      <w:r>
        <w:rPr/>
        <w:t>uninfected</w:t>
      </w:r>
      <w:r>
        <w:rPr>
          <w:spacing w:val="52"/>
        </w:rPr>
        <w:t> </w:t>
      </w:r>
      <w:r>
        <w:rPr>
          <w:spacing w:val="-2"/>
        </w:rPr>
        <w:t>pregnant,and</w:t>
      </w:r>
    </w:p>
    <w:p>
      <w:pPr>
        <w:spacing w:after="0" w:line="480" w:lineRule="auto"/>
        <w:jc w:val="both"/>
        <w:sectPr>
          <w:pgSz w:w="11910" w:h="16840"/>
          <w:pgMar w:header="0" w:footer="1067" w:top="1060" w:bottom="1260" w:left="880" w:right="640"/>
        </w:sectPr>
      </w:pPr>
    </w:p>
    <w:p>
      <w:pPr>
        <w:pStyle w:val="BodyText"/>
        <w:spacing w:line="480" w:lineRule="auto" w:before="72"/>
        <w:ind w:left="560" w:right="794"/>
        <w:jc w:val="both"/>
      </w:pPr>
      <w:r>
        <w:rPr/>
        <w:t>uninfected non-pregnant groups respectively.Again, the mean</w:t>
      </w:r>
      <w:r>
        <w:rPr>
          <w:rFonts w:ascii="Symbol" w:hAnsi="Symbol"/>
        </w:rPr>
        <w:t></w:t>
      </w:r>
      <w:r>
        <w:rPr/>
        <w:t>SD (10.03</w:t>
      </w:r>
      <w:r>
        <w:rPr>
          <w:rFonts w:ascii="Symbol" w:hAnsi="Symbol"/>
        </w:rPr>
        <w:t></w:t>
      </w:r>
      <w:r>
        <w:rPr/>
        <w:t>3.04) of TNF</w:t>
      </w:r>
      <w:r>
        <w:rPr>
          <w:rFonts w:ascii="Symbol" w:hAnsi="Symbol"/>
        </w:rPr>
        <w:t></w:t>
      </w:r>
      <w:r>
        <w:rPr/>
        <w:t>for uninfected pregnant groupwassignificantly higher (p&lt;0.05) compared to 4.66</w:t>
      </w:r>
      <w:r>
        <w:rPr>
          <w:rFonts w:ascii="Symbol" w:hAnsi="Symbol"/>
        </w:rPr>
        <w:t></w:t>
      </w:r>
      <w:r>
        <w:rPr/>
        <w:t>0.78 for the uninfected non-pregnant group.</w:t>
      </w:r>
    </w:p>
    <w:p>
      <w:pPr>
        <w:pStyle w:val="BodyText"/>
      </w:pPr>
    </w:p>
    <w:p>
      <w:pPr>
        <w:pStyle w:val="BodyText"/>
        <w:spacing w:line="480" w:lineRule="auto"/>
        <w:ind w:left="560" w:right="796"/>
        <w:jc w:val="both"/>
      </w:pPr>
      <w:r>
        <w:rPr/>
        <w:t>The mean</w:t>
      </w:r>
      <w:r>
        <w:rPr>
          <w:rFonts w:ascii="Symbol" w:hAnsi="Symbol"/>
        </w:rPr>
        <w:t></w:t>
      </w:r>
      <w:r>
        <w:rPr/>
        <w:t>SD (9.66 </w:t>
      </w:r>
      <w:r>
        <w:rPr>
          <w:rFonts w:ascii="Symbol" w:hAnsi="Symbol"/>
        </w:rPr>
        <w:t></w:t>
      </w:r>
      <w:r>
        <w:rPr/>
        <w:t> 7.05) of IL-4 for malaria infected pregnant womenwas significantlyhigher (P&lt;0.05) than7.17</w:t>
      </w:r>
      <w:r>
        <w:rPr>
          <w:rFonts w:ascii="Symbol" w:hAnsi="Symbol"/>
        </w:rPr>
        <w:t></w:t>
      </w:r>
      <w:r>
        <w:rPr/>
        <w:t>3.91 and 2.13</w:t>
      </w:r>
      <w:r>
        <w:rPr>
          <w:rFonts w:ascii="Symbol" w:hAnsi="Symbol"/>
        </w:rPr>
        <w:t></w:t>
      </w:r>
      <w:r>
        <w:rPr/>
        <w:t>0.36 for the uninfected pregnant and uninfected non-pregnant women respectively. The mean</w:t>
      </w:r>
      <w:r>
        <w:rPr>
          <w:rFonts w:ascii="Symbol" w:hAnsi="Symbol"/>
        </w:rPr>
        <w:t></w:t>
      </w:r>
      <w:r>
        <w:rPr/>
        <w:t>SD (7.17</w:t>
      </w:r>
      <w:r>
        <w:rPr>
          <w:rFonts w:ascii="Symbol" w:hAnsi="Symbol"/>
        </w:rPr>
        <w:t></w:t>
      </w:r>
      <w:r>
        <w:rPr/>
        <w:t>3.91) of IL-4 for uninfected</w:t>
      </w:r>
      <w:r>
        <w:rPr>
          <w:spacing w:val="79"/>
          <w:w w:val="150"/>
        </w:rPr>
        <w:t> </w:t>
      </w:r>
      <w:r>
        <w:rPr/>
        <w:t>pregnant</w:t>
      </w:r>
      <w:r>
        <w:rPr>
          <w:spacing w:val="79"/>
          <w:w w:val="150"/>
        </w:rPr>
        <w:t> </w:t>
      </w:r>
      <w:r>
        <w:rPr/>
        <w:t>women</w:t>
      </w:r>
      <w:r>
        <w:rPr>
          <w:spacing w:val="25"/>
        </w:rPr>
        <w:t>  </w:t>
      </w:r>
      <w:r>
        <w:rPr/>
        <w:t>was</w:t>
      </w:r>
      <w:r>
        <w:rPr>
          <w:spacing w:val="26"/>
        </w:rPr>
        <w:t>  </w:t>
      </w:r>
      <w:r>
        <w:rPr/>
        <w:t>significantly</w:t>
      </w:r>
      <w:r>
        <w:rPr>
          <w:spacing w:val="76"/>
          <w:w w:val="150"/>
        </w:rPr>
        <w:t> </w:t>
      </w:r>
      <w:r>
        <w:rPr/>
        <w:t>higher</w:t>
      </w:r>
      <w:r>
        <w:rPr>
          <w:spacing w:val="26"/>
        </w:rPr>
        <w:t>  </w:t>
      </w:r>
      <w:r>
        <w:rPr/>
        <w:t>(P&lt;0.05)</w:t>
      </w:r>
      <w:r>
        <w:rPr>
          <w:spacing w:val="26"/>
        </w:rPr>
        <w:t>  </w:t>
      </w:r>
      <w:r>
        <w:rPr/>
        <w:t>when</w:t>
      </w:r>
      <w:r>
        <w:rPr>
          <w:spacing w:val="79"/>
          <w:w w:val="150"/>
        </w:rPr>
        <w:t> </w:t>
      </w:r>
      <w:r>
        <w:rPr/>
        <w:t>compared</w:t>
      </w:r>
      <w:r>
        <w:rPr>
          <w:spacing w:val="25"/>
        </w:rPr>
        <w:t>  </w:t>
      </w:r>
      <w:r>
        <w:rPr>
          <w:spacing w:val="-4"/>
        </w:rPr>
        <w:t>with</w:t>
      </w:r>
    </w:p>
    <w:p>
      <w:pPr>
        <w:pStyle w:val="BodyText"/>
        <w:spacing w:before="1"/>
        <w:ind w:left="560"/>
        <w:jc w:val="both"/>
      </w:pPr>
      <w:r>
        <w:rPr/>
        <w:t>2.13</w:t>
      </w:r>
      <w:r>
        <w:rPr>
          <w:rFonts w:ascii="Symbol" w:hAnsi="Symbol"/>
        </w:rPr>
        <w:t></w:t>
      </w:r>
      <w:r>
        <w:rPr/>
        <w:t>0.36</w:t>
      </w:r>
      <w:r>
        <w:rPr>
          <w:spacing w:val="-3"/>
        </w:rPr>
        <w:t> </w:t>
      </w:r>
      <w:r>
        <w:rPr/>
        <w:t>for</w:t>
      </w:r>
      <w:r>
        <w:rPr>
          <w:spacing w:val="-1"/>
        </w:rPr>
        <w:t> </w:t>
      </w:r>
      <w:r>
        <w:rPr/>
        <w:t>the</w:t>
      </w:r>
      <w:r>
        <w:rPr>
          <w:spacing w:val="-2"/>
        </w:rPr>
        <w:t> </w:t>
      </w:r>
      <w:r>
        <w:rPr/>
        <w:t>uninfected non-pregnant </w:t>
      </w:r>
      <w:r>
        <w:rPr>
          <w:spacing w:val="-2"/>
        </w:rPr>
        <w:t>women.</w:t>
      </w:r>
    </w:p>
    <w:p>
      <w:pPr>
        <w:pStyle w:val="BodyText"/>
      </w:pPr>
    </w:p>
    <w:p>
      <w:pPr>
        <w:pStyle w:val="BodyText"/>
        <w:spacing w:before="18"/>
      </w:pPr>
    </w:p>
    <w:p>
      <w:pPr>
        <w:pStyle w:val="BodyText"/>
        <w:spacing w:line="480" w:lineRule="auto"/>
        <w:ind w:left="560" w:right="796"/>
        <w:jc w:val="both"/>
      </w:pPr>
      <w:r>
        <w:rPr/>
        <w:t>The mean</w:t>
      </w:r>
      <w:r>
        <w:rPr>
          <w:rFonts w:ascii="Symbol" w:hAnsi="Symbol"/>
        </w:rPr>
        <w:t></w:t>
      </w:r>
      <w:r>
        <w:rPr/>
        <w:t>SD (32.11</w:t>
      </w:r>
      <w:r>
        <w:rPr>
          <w:rFonts w:ascii="Symbol" w:hAnsi="Symbol"/>
        </w:rPr>
        <w:t></w:t>
      </w:r>
      <w:r>
        <w:rPr/>
        <w:t>27.92) of IL-6 for the infected pregnant women was higher and statistically significant (P&lt;0.05) compared with8.68</w:t>
      </w:r>
      <w:r>
        <w:rPr>
          <w:rFonts w:ascii="Symbol" w:hAnsi="Symbol"/>
        </w:rPr>
        <w:t></w:t>
      </w:r>
      <w:r>
        <w:rPr/>
        <w:t>8.41 and 2.33</w:t>
      </w:r>
      <w:r>
        <w:rPr>
          <w:rFonts w:ascii="Symbol" w:hAnsi="Symbol"/>
        </w:rPr>
        <w:t></w:t>
      </w:r>
      <w:r>
        <w:rPr/>
        <w:t>0.58 for uninfected pregnant and uninfected non-pregnant women respectively.</w:t>
      </w:r>
      <w:r>
        <w:rPr>
          <w:spacing w:val="80"/>
        </w:rPr>
        <w:t> </w:t>
      </w:r>
      <w:r>
        <w:rPr/>
        <w:t>The mean</w:t>
      </w:r>
      <w:r>
        <w:rPr>
          <w:rFonts w:ascii="Symbol" w:hAnsi="Symbol"/>
        </w:rPr>
        <w:t></w:t>
      </w:r>
      <w:r>
        <w:rPr/>
        <w:t>SD (8.68</w:t>
      </w:r>
      <w:r>
        <w:rPr>
          <w:rFonts w:ascii="Symbol" w:hAnsi="Symbol"/>
        </w:rPr>
        <w:t></w:t>
      </w:r>
      <w:r>
        <w:rPr/>
        <w:t>8.41) of</w:t>
      </w:r>
      <w:r>
        <w:rPr>
          <w:spacing w:val="40"/>
        </w:rPr>
        <w:t> </w:t>
      </w:r>
      <w:r>
        <w:rPr/>
        <w:t>IL-6 for uninfected pregnant women was higher and significantly different (P&lt;0.05) compared with 2.33</w:t>
      </w:r>
      <w:r>
        <w:rPr>
          <w:rFonts w:ascii="Symbol" w:hAnsi="Symbol"/>
        </w:rPr>
        <w:t></w:t>
      </w:r>
      <w:r>
        <w:rPr/>
        <w:t>0.58 for uninfected non-pregnant women.The mean</w:t>
      </w:r>
      <w:r>
        <w:rPr>
          <w:rFonts w:ascii="Symbol" w:hAnsi="Symbol"/>
        </w:rPr>
        <w:t></w:t>
      </w:r>
      <w:r>
        <w:rPr/>
        <w:t>SD of IL-6 for uninfected non-pregnant women was significantly higher (P&lt;0.05) than2.33</w:t>
      </w:r>
      <w:r>
        <w:rPr>
          <w:rFonts w:ascii="Symbol" w:hAnsi="Symbol"/>
        </w:rPr>
        <w:t></w:t>
      </w:r>
      <w:r>
        <w:rPr/>
        <w:t>0.58for uninfected non-pregnant women</w:t>
      </w:r>
    </w:p>
    <w:p>
      <w:pPr>
        <w:pStyle w:val="BodyText"/>
        <w:spacing w:before="1"/>
      </w:pPr>
    </w:p>
    <w:p>
      <w:pPr>
        <w:pStyle w:val="BodyText"/>
        <w:spacing w:line="480" w:lineRule="auto"/>
        <w:ind w:left="560" w:right="794"/>
        <w:jc w:val="both"/>
      </w:pPr>
      <w:r>
        <w:rPr/>
        <w:t>The mean</w:t>
      </w:r>
      <w:r>
        <w:rPr>
          <w:rFonts w:ascii="Symbol" w:hAnsi="Symbol"/>
        </w:rPr>
        <w:t></w:t>
      </w:r>
      <w:r>
        <w:rPr/>
        <w:t>SD (35.19</w:t>
      </w:r>
      <w:r>
        <w:rPr>
          <w:rFonts w:ascii="Symbol" w:hAnsi="Symbol"/>
        </w:rPr>
        <w:t></w:t>
      </w:r>
      <w:r>
        <w:rPr/>
        <w:t>28.82) of IL-10 for the infected pregnant women was significantly higher (P&lt;0.05) compared with14.76</w:t>
      </w:r>
      <w:r>
        <w:rPr>
          <w:rFonts w:ascii="Symbol" w:hAnsi="Symbol"/>
        </w:rPr>
        <w:t></w:t>
      </w:r>
      <w:r>
        <w:rPr/>
        <w:t>6.17 and 6.45</w:t>
      </w:r>
      <w:r>
        <w:rPr>
          <w:rFonts w:ascii="Symbol" w:hAnsi="Symbol"/>
        </w:rPr>
        <w:t></w:t>
      </w:r>
      <w:r>
        <w:rPr/>
        <w:t>4.15 for uninfected pregnant and uninfected non pregnant women respectively.The mean</w:t>
      </w:r>
      <w:r>
        <w:rPr>
          <w:rFonts w:ascii="Symbol" w:hAnsi="Symbol"/>
        </w:rPr>
        <w:t></w:t>
      </w:r>
      <w:r>
        <w:rPr/>
        <w:t>SD (14.76</w:t>
      </w:r>
      <w:r>
        <w:rPr>
          <w:rFonts w:ascii="Symbol" w:hAnsi="Symbol"/>
        </w:rPr>
        <w:t></w:t>
      </w:r>
      <w:r>
        <w:rPr/>
        <w:t>6.17) of IL-10 for uninfected</w:t>
      </w:r>
      <w:r>
        <w:rPr>
          <w:spacing w:val="76"/>
          <w:w w:val="150"/>
        </w:rPr>
        <w:t> </w:t>
      </w:r>
      <w:r>
        <w:rPr/>
        <w:t>pregnant</w:t>
      </w:r>
      <w:r>
        <w:rPr>
          <w:spacing w:val="79"/>
          <w:w w:val="150"/>
        </w:rPr>
        <w:t> </w:t>
      </w:r>
      <w:r>
        <w:rPr/>
        <w:t>women</w:t>
      </w:r>
      <w:r>
        <w:rPr>
          <w:spacing w:val="25"/>
        </w:rPr>
        <w:t>  </w:t>
      </w:r>
      <w:r>
        <w:rPr/>
        <w:t>was</w:t>
      </w:r>
      <w:r>
        <w:rPr>
          <w:spacing w:val="26"/>
        </w:rPr>
        <w:t>  </w:t>
      </w:r>
      <w:r>
        <w:rPr/>
        <w:t>significantly</w:t>
      </w:r>
      <w:r>
        <w:rPr>
          <w:spacing w:val="77"/>
          <w:w w:val="150"/>
        </w:rPr>
        <w:t> </w:t>
      </w:r>
      <w:r>
        <w:rPr/>
        <w:t>higher</w:t>
      </w:r>
      <w:r>
        <w:rPr>
          <w:spacing w:val="26"/>
        </w:rPr>
        <w:t>  </w:t>
      </w:r>
      <w:r>
        <w:rPr/>
        <w:t>(P&lt;0.05)</w:t>
      </w:r>
      <w:r>
        <w:rPr>
          <w:spacing w:val="25"/>
        </w:rPr>
        <w:t>  </w:t>
      </w:r>
      <w:r>
        <w:rPr/>
        <w:t>when</w:t>
      </w:r>
      <w:r>
        <w:rPr>
          <w:spacing w:val="25"/>
        </w:rPr>
        <w:t>  </w:t>
      </w:r>
      <w:r>
        <w:rPr/>
        <w:t>compared</w:t>
      </w:r>
      <w:r>
        <w:rPr>
          <w:spacing w:val="80"/>
          <w:w w:val="150"/>
        </w:rPr>
        <w:t> </w:t>
      </w:r>
      <w:r>
        <w:rPr>
          <w:spacing w:val="-4"/>
        </w:rPr>
        <w:t>with</w:t>
      </w:r>
    </w:p>
    <w:p>
      <w:pPr>
        <w:pStyle w:val="BodyText"/>
        <w:ind w:left="560"/>
        <w:jc w:val="both"/>
      </w:pPr>
      <w:r>
        <w:rPr/>
        <w:t>6.45</w:t>
      </w:r>
      <w:r>
        <w:rPr>
          <w:rFonts w:ascii="Symbol" w:hAnsi="Symbol"/>
        </w:rPr>
        <w:t></w:t>
      </w:r>
      <w:r>
        <w:rPr/>
        <w:t>4.15</w:t>
      </w:r>
      <w:r>
        <w:rPr>
          <w:spacing w:val="-2"/>
        </w:rPr>
        <w:t> </w:t>
      </w:r>
      <w:r>
        <w:rPr/>
        <w:t>for</w:t>
      </w:r>
      <w:r>
        <w:rPr>
          <w:spacing w:val="-2"/>
        </w:rPr>
        <w:t> </w:t>
      </w:r>
      <w:r>
        <w:rPr/>
        <w:t>uninfected non-pregnant</w:t>
      </w:r>
      <w:r>
        <w:rPr>
          <w:spacing w:val="-1"/>
        </w:rPr>
        <w:t> </w:t>
      </w:r>
      <w:r>
        <w:rPr>
          <w:spacing w:val="-2"/>
        </w:rPr>
        <w:t>women.</w:t>
      </w:r>
    </w:p>
    <w:p>
      <w:pPr>
        <w:spacing w:after="0"/>
        <w:jc w:val="both"/>
        <w:sectPr>
          <w:pgSz w:w="11910" w:h="16840"/>
          <w:pgMar w:header="0" w:footer="1067" w:top="1060" w:bottom="1260" w:left="880" w:right="640"/>
        </w:sectPr>
      </w:pPr>
    </w:p>
    <w:p>
      <w:pPr>
        <w:pStyle w:val="Heading2"/>
        <w:spacing w:before="75"/>
        <w:ind w:left="1911" w:hanging="1352"/>
      </w:pPr>
      <w:r>
        <w:rPr/>
        <w:t>TABLE</w:t>
      </w:r>
      <w:r>
        <w:rPr>
          <w:spacing w:val="-4"/>
        </w:rPr>
        <w:t> </w:t>
      </w:r>
      <w:r>
        <w:rPr/>
        <w:t>4.1:</w:t>
      </w:r>
      <w:r>
        <w:rPr>
          <w:spacing w:val="-5"/>
        </w:rPr>
        <w:t> </w:t>
      </w:r>
      <w:r>
        <w:rPr/>
        <w:t>COMPARISON</w:t>
      </w:r>
      <w:r>
        <w:rPr>
          <w:spacing w:val="-4"/>
        </w:rPr>
        <w:t> </w:t>
      </w:r>
      <w:r>
        <w:rPr/>
        <w:t>OF</w:t>
      </w:r>
      <w:r>
        <w:rPr>
          <w:spacing w:val="-4"/>
        </w:rPr>
        <w:t> </w:t>
      </w:r>
      <w:r>
        <w:rPr/>
        <w:t>MEAN±SD</w:t>
      </w:r>
      <w:r>
        <w:rPr>
          <w:spacing w:val="-4"/>
        </w:rPr>
        <w:t> </w:t>
      </w:r>
      <w:r>
        <w:rPr/>
        <w:t>OF</w:t>
      </w:r>
      <w:r>
        <w:rPr>
          <w:spacing w:val="-4"/>
        </w:rPr>
        <w:t> </w:t>
      </w:r>
      <w:r>
        <w:rPr/>
        <w:t>CYTOKINE</w:t>
      </w:r>
      <w:r>
        <w:rPr>
          <w:spacing w:val="-4"/>
        </w:rPr>
        <w:t> </w:t>
      </w:r>
      <w:r>
        <w:rPr/>
        <w:t>LEVELS</w:t>
      </w:r>
      <w:r>
        <w:rPr>
          <w:spacing w:val="-4"/>
        </w:rPr>
        <w:t> </w:t>
      </w:r>
      <w:r>
        <w:rPr/>
        <w:t>OF</w:t>
      </w:r>
      <w:r>
        <w:rPr>
          <w:spacing w:val="-4"/>
        </w:rPr>
        <w:t> </w:t>
      </w:r>
      <w:r>
        <w:rPr/>
        <w:t>MALARIA INFECTED PREGNANT WOMEN.</w:t>
      </w:r>
    </w:p>
    <w:p>
      <w:pPr>
        <w:pStyle w:val="BodyText"/>
        <w:spacing w:before="49" w:after="1"/>
        <w:rPr>
          <w:b/>
          <w:sz w:val="20"/>
        </w:rPr>
      </w:pPr>
    </w:p>
    <w:tbl>
      <w:tblPr>
        <w:tblW w:w="0" w:type="auto"/>
        <w:jc w:val="left"/>
        <w:tblInd w:w="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9"/>
        <w:gridCol w:w="1751"/>
        <w:gridCol w:w="1647"/>
        <w:gridCol w:w="1462"/>
        <w:gridCol w:w="1483"/>
        <w:gridCol w:w="1609"/>
      </w:tblGrid>
      <w:tr>
        <w:trPr>
          <w:trHeight w:val="429" w:hRule="atLeast"/>
        </w:trPr>
        <w:tc>
          <w:tcPr>
            <w:tcW w:w="1689" w:type="dxa"/>
            <w:tcBorders>
              <w:top w:val="single" w:sz="8" w:space="0" w:color="000000"/>
              <w:bottom w:val="single" w:sz="4" w:space="0" w:color="000000"/>
            </w:tcBorders>
          </w:tcPr>
          <w:p>
            <w:pPr>
              <w:pStyle w:val="TableParagraph"/>
              <w:spacing w:line="251" w:lineRule="exact"/>
              <w:ind w:left="2" w:right="38"/>
              <w:rPr>
                <w:b/>
                <w:sz w:val="22"/>
              </w:rPr>
            </w:pPr>
            <w:r>
              <w:rPr>
                <w:b/>
                <w:spacing w:val="-2"/>
                <w:sz w:val="22"/>
              </w:rPr>
              <w:t>GROUPS</w:t>
            </w:r>
          </w:p>
        </w:tc>
        <w:tc>
          <w:tcPr>
            <w:tcW w:w="1751" w:type="dxa"/>
            <w:tcBorders>
              <w:top w:val="single" w:sz="8" w:space="0" w:color="000000"/>
              <w:bottom w:val="single" w:sz="4" w:space="0" w:color="000000"/>
            </w:tcBorders>
          </w:tcPr>
          <w:p>
            <w:pPr>
              <w:pStyle w:val="TableParagraph"/>
              <w:jc w:val="left"/>
              <w:rPr>
                <w:sz w:val="20"/>
              </w:rPr>
            </w:pPr>
          </w:p>
        </w:tc>
        <w:tc>
          <w:tcPr>
            <w:tcW w:w="3109" w:type="dxa"/>
            <w:gridSpan w:val="2"/>
            <w:tcBorders>
              <w:top w:val="single" w:sz="8" w:space="0" w:color="000000"/>
              <w:bottom w:val="single" w:sz="4" w:space="0" w:color="000000"/>
            </w:tcBorders>
          </w:tcPr>
          <w:p>
            <w:pPr>
              <w:pStyle w:val="TableParagraph"/>
              <w:spacing w:line="251" w:lineRule="exact"/>
              <w:ind w:left="1358"/>
              <w:jc w:val="left"/>
              <w:rPr>
                <w:b/>
                <w:sz w:val="22"/>
              </w:rPr>
            </w:pPr>
            <w:r>
              <w:rPr>
                <w:b/>
                <w:sz w:val="22"/>
              </w:rPr>
              <w:t>Cytokines</w:t>
            </w:r>
            <w:r>
              <w:rPr>
                <w:b/>
                <w:spacing w:val="-4"/>
                <w:sz w:val="22"/>
              </w:rPr>
              <w:t> </w:t>
            </w:r>
            <w:r>
              <w:rPr>
                <w:b/>
                <w:spacing w:val="-2"/>
                <w:sz w:val="22"/>
              </w:rPr>
              <w:t>(pg/ml)</w:t>
            </w:r>
          </w:p>
        </w:tc>
        <w:tc>
          <w:tcPr>
            <w:tcW w:w="1483" w:type="dxa"/>
            <w:tcBorders>
              <w:top w:val="single" w:sz="8" w:space="0" w:color="000000"/>
              <w:bottom w:val="single" w:sz="4" w:space="0" w:color="000000"/>
            </w:tcBorders>
          </w:tcPr>
          <w:p>
            <w:pPr>
              <w:pStyle w:val="TableParagraph"/>
              <w:jc w:val="left"/>
              <w:rPr>
                <w:sz w:val="20"/>
              </w:rPr>
            </w:pPr>
          </w:p>
        </w:tc>
        <w:tc>
          <w:tcPr>
            <w:tcW w:w="1609" w:type="dxa"/>
            <w:tcBorders>
              <w:top w:val="single" w:sz="8" w:space="0" w:color="000000"/>
              <w:bottom w:val="single" w:sz="4" w:space="0" w:color="000000"/>
            </w:tcBorders>
          </w:tcPr>
          <w:p>
            <w:pPr>
              <w:pStyle w:val="TableParagraph"/>
              <w:jc w:val="left"/>
              <w:rPr>
                <w:sz w:val="20"/>
              </w:rPr>
            </w:pPr>
          </w:p>
        </w:tc>
      </w:tr>
      <w:tr>
        <w:trPr>
          <w:trHeight w:val="431" w:hRule="atLeast"/>
        </w:trPr>
        <w:tc>
          <w:tcPr>
            <w:tcW w:w="1689" w:type="dxa"/>
            <w:tcBorders>
              <w:top w:val="single" w:sz="4" w:space="0" w:color="000000"/>
              <w:bottom w:val="single" w:sz="4" w:space="0" w:color="000000"/>
            </w:tcBorders>
          </w:tcPr>
          <w:p>
            <w:pPr>
              <w:pStyle w:val="TableParagraph"/>
              <w:jc w:val="left"/>
              <w:rPr>
                <w:sz w:val="20"/>
              </w:rPr>
            </w:pPr>
          </w:p>
        </w:tc>
        <w:tc>
          <w:tcPr>
            <w:tcW w:w="1751" w:type="dxa"/>
            <w:tcBorders>
              <w:top w:val="single" w:sz="4" w:space="0" w:color="000000"/>
              <w:bottom w:val="single" w:sz="4" w:space="0" w:color="000000"/>
            </w:tcBorders>
          </w:tcPr>
          <w:p>
            <w:pPr>
              <w:pStyle w:val="TableParagraph"/>
              <w:spacing w:line="249" w:lineRule="exact"/>
              <w:ind w:left="32" w:right="6"/>
              <w:rPr>
                <w:sz w:val="22"/>
              </w:rPr>
            </w:pPr>
            <w:r>
              <w:rPr>
                <w:spacing w:val="-2"/>
                <w:sz w:val="22"/>
              </w:rPr>
              <w:t>IFN-</w:t>
            </w:r>
            <w:r>
              <w:rPr>
                <w:spacing w:val="-10"/>
                <w:sz w:val="22"/>
              </w:rPr>
              <w:t>γ</w:t>
            </w:r>
          </w:p>
        </w:tc>
        <w:tc>
          <w:tcPr>
            <w:tcW w:w="1647" w:type="dxa"/>
            <w:tcBorders>
              <w:top w:val="single" w:sz="4" w:space="0" w:color="000000"/>
              <w:bottom w:val="single" w:sz="4" w:space="0" w:color="000000"/>
            </w:tcBorders>
          </w:tcPr>
          <w:p>
            <w:pPr>
              <w:pStyle w:val="TableParagraph"/>
              <w:spacing w:line="249" w:lineRule="exact"/>
              <w:ind w:left="76" w:right="2"/>
              <w:rPr>
                <w:sz w:val="22"/>
              </w:rPr>
            </w:pPr>
            <w:r>
              <w:rPr>
                <w:spacing w:val="-2"/>
                <w:sz w:val="22"/>
              </w:rPr>
              <w:t>TNF-</w:t>
            </w:r>
            <w:r>
              <w:rPr>
                <w:spacing w:val="-10"/>
                <w:sz w:val="22"/>
              </w:rPr>
              <w:t>α</w:t>
            </w:r>
          </w:p>
        </w:tc>
        <w:tc>
          <w:tcPr>
            <w:tcW w:w="1462" w:type="dxa"/>
            <w:tcBorders>
              <w:top w:val="single" w:sz="4" w:space="0" w:color="000000"/>
              <w:bottom w:val="single" w:sz="4" w:space="0" w:color="000000"/>
            </w:tcBorders>
          </w:tcPr>
          <w:p>
            <w:pPr>
              <w:pStyle w:val="TableParagraph"/>
              <w:spacing w:line="249" w:lineRule="exact"/>
              <w:ind w:right="106"/>
              <w:rPr>
                <w:sz w:val="22"/>
              </w:rPr>
            </w:pPr>
            <w:r>
              <w:rPr>
                <w:spacing w:val="-2"/>
                <w:sz w:val="22"/>
              </w:rPr>
              <w:t>IL-</w:t>
            </w:r>
            <w:r>
              <w:rPr>
                <w:spacing w:val="-10"/>
                <w:sz w:val="22"/>
              </w:rPr>
              <w:t>4</w:t>
            </w:r>
          </w:p>
        </w:tc>
        <w:tc>
          <w:tcPr>
            <w:tcW w:w="1483" w:type="dxa"/>
            <w:tcBorders>
              <w:top w:val="single" w:sz="4" w:space="0" w:color="000000"/>
              <w:bottom w:val="single" w:sz="4" w:space="0" w:color="000000"/>
            </w:tcBorders>
          </w:tcPr>
          <w:p>
            <w:pPr>
              <w:pStyle w:val="TableParagraph"/>
              <w:spacing w:line="249" w:lineRule="exact"/>
              <w:ind w:right="110"/>
              <w:rPr>
                <w:sz w:val="22"/>
              </w:rPr>
            </w:pPr>
            <w:r>
              <w:rPr>
                <w:spacing w:val="-2"/>
                <w:sz w:val="22"/>
              </w:rPr>
              <w:t>IL-</w:t>
            </w:r>
            <w:r>
              <w:rPr>
                <w:spacing w:val="-10"/>
                <w:sz w:val="22"/>
              </w:rPr>
              <w:t>6</w:t>
            </w:r>
          </w:p>
        </w:tc>
        <w:tc>
          <w:tcPr>
            <w:tcW w:w="1609" w:type="dxa"/>
            <w:tcBorders>
              <w:top w:val="single" w:sz="4" w:space="0" w:color="000000"/>
              <w:bottom w:val="single" w:sz="4" w:space="0" w:color="000000"/>
            </w:tcBorders>
          </w:tcPr>
          <w:p>
            <w:pPr>
              <w:pStyle w:val="TableParagraph"/>
              <w:spacing w:line="249" w:lineRule="exact"/>
              <w:ind w:right="4"/>
              <w:rPr>
                <w:sz w:val="22"/>
              </w:rPr>
            </w:pPr>
            <w:r>
              <w:rPr>
                <w:spacing w:val="-2"/>
                <w:sz w:val="22"/>
              </w:rPr>
              <w:t>IL-</w:t>
            </w:r>
            <w:r>
              <w:rPr>
                <w:spacing w:val="-5"/>
                <w:sz w:val="22"/>
              </w:rPr>
              <w:t>10</w:t>
            </w:r>
          </w:p>
        </w:tc>
      </w:tr>
      <w:tr>
        <w:trPr>
          <w:trHeight w:val="333" w:hRule="atLeast"/>
        </w:trPr>
        <w:tc>
          <w:tcPr>
            <w:tcW w:w="1689" w:type="dxa"/>
            <w:tcBorders>
              <w:top w:val="single" w:sz="4" w:space="0" w:color="000000"/>
            </w:tcBorders>
          </w:tcPr>
          <w:p>
            <w:pPr>
              <w:pStyle w:val="TableParagraph"/>
              <w:spacing w:line="251" w:lineRule="exact"/>
              <w:ind w:right="38"/>
              <w:rPr>
                <w:b/>
                <w:sz w:val="22"/>
              </w:rPr>
            </w:pPr>
            <w:r>
              <w:rPr>
                <w:b/>
                <w:sz w:val="22"/>
              </w:rPr>
              <w:t>G1 (n</w:t>
            </w:r>
            <w:r>
              <w:rPr>
                <w:b/>
                <w:spacing w:val="-3"/>
                <w:sz w:val="22"/>
              </w:rPr>
              <w:t> </w:t>
            </w:r>
            <w:r>
              <w:rPr>
                <w:b/>
                <w:sz w:val="22"/>
              </w:rPr>
              <w:t>=</w:t>
            </w:r>
            <w:r>
              <w:rPr>
                <w:b/>
                <w:spacing w:val="-1"/>
                <w:sz w:val="22"/>
              </w:rPr>
              <w:t> </w:t>
            </w:r>
            <w:r>
              <w:rPr>
                <w:b/>
                <w:spacing w:val="-4"/>
                <w:sz w:val="22"/>
              </w:rPr>
              <w:t>144)</w:t>
            </w:r>
          </w:p>
        </w:tc>
        <w:tc>
          <w:tcPr>
            <w:tcW w:w="1751" w:type="dxa"/>
            <w:tcBorders>
              <w:top w:val="single" w:sz="4" w:space="0" w:color="000000"/>
            </w:tcBorders>
          </w:tcPr>
          <w:p>
            <w:pPr>
              <w:pStyle w:val="TableParagraph"/>
              <w:spacing w:line="247" w:lineRule="exact"/>
              <w:ind w:left="279"/>
              <w:jc w:val="left"/>
              <w:rPr>
                <w:sz w:val="22"/>
              </w:rPr>
            </w:pPr>
            <w:r>
              <w:rPr>
                <w:sz w:val="22"/>
              </w:rPr>
              <w:t>22.94 ±</w:t>
            </w:r>
            <w:r>
              <w:rPr>
                <w:spacing w:val="-2"/>
                <w:sz w:val="22"/>
              </w:rPr>
              <w:t> 12.71</w:t>
            </w:r>
          </w:p>
        </w:tc>
        <w:tc>
          <w:tcPr>
            <w:tcW w:w="1647" w:type="dxa"/>
            <w:tcBorders>
              <w:top w:val="single" w:sz="4" w:space="0" w:color="000000"/>
            </w:tcBorders>
          </w:tcPr>
          <w:p>
            <w:pPr>
              <w:pStyle w:val="TableParagraph"/>
              <w:spacing w:line="247" w:lineRule="exact"/>
              <w:ind w:left="249"/>
              <w:jc w:val="left"/>
              <w:rPr>
                <w:sz w:val="22"/>
              </w:rPr>
            </w:pPr>
            <w:r>
              <w:rPr>
                <w:sz w:val="22"/>
              </w:rPr>
              <w:t>21.12 ±</w:t>
            </w:r>
            <w:r>
              <w:rPr>
                <w:spacing w:val="-2"/>
                <w:sz w:val="22"/>
              </w:rPr>
              <w:t> 12.57</w:t>
            </w:r>
          </w:p>
        </w:tc>
        <w:tc>
          <w:tcPr>
            <w:tcW w:w="1462" w:type="dxa"/>
            <w:tcBorders>
              <w:top w:val="single" w:sz="4" w:space="0" w:color="000000"/>
            </w:tcBorders>
          </w:tcPr>
          <w:p>
            <w:pPr>
              <w:pStyle w:val="TableParagraph"/>
              <w:spacing w:line="247" w:lineRule="exact"/>
              <w:ind w:left="177"/>
              <w:jc w:val="left"/>
              <w:rPr>
                <w:sz w:val="22"/>
              </w:rPr>
            </w:pPr>
            <w:r>
              <w:rPr>
                <w:sz w:val="22"/>
              </w:rPr>
              <w:t>9.66 ±</w:t>
            </w:r>
            <w:r>
              <w:rPr>
                <w:spacing w:val="-2"/>
                <w:sz w:val="22"/>
              </w:rPr>
              <w:t> </w:t>
            </w:r>
            <w:r>
              <w:rPr>
                <w:spacing w:val="-4"/>
                <w:sz w:val="22"/>
              </w:rPr>
              <w:t>7.05</w:t>
            </w:r>
          </w:p>
        </w:tc>
        <w:tc>
          <w:tcPr>
            <w:tcW w:w="1483" w:type="dxa"/>
            <w:tcBorders>
              <w:top w:val="single" w:sz="4" w:space="0" w:color="000000"/>
            </w:tcBorders>
          </w:tcPr>
          <w:p>
            <w:pPr>
              <w:pStyle w:val="TableParagraph"/>
              <w:spacing w:line="247" w:lineRule="exact"/>
              <w:ind w:left="76"/>
              <w:jc w:val="left"/>
              <w:rPr>
                <w:sz w:val="22"/>
              </w:rPr>
            </w:pPr>
            <w:r>
              <w:rPr>
                <w:sz w:val="22"/>
              </w:rPr>
              <w:t>32.11 ±</w:t>
            </w:r>
            <w:r>
              <w:rPr>
                <w:spacing w:val="-2"/>
                <w:sz w:val="22"/>
              </w:rPr>
              <w:t> 27.92</w:t>
            </w:r>
          </w:p>
        </w:tc>
        <w:tc>
          <w:tcPr>
            <w:tcW w:w="1609" w:type="dxa"/>
            <w:tcBorders>
              <w:top w:val="single" w:sz="4" w:space="0" w:color="000000"/>
            </w:tcBorders>
          </w:tcPr>
          <w:p>
            <w:pPr>
              <w:pStyle w:val="TableParagraph"/>
              <w:spacing w:line="247" w:lineRule="exact"/>
              <w:ind w:left="192"/>
              <w:jc w:val="left"/>
              <w:rPr>
                <w:sz w:val="22"/>
              </w:rPr>
            </w:pPr>
            <w:r>
              <w:rPr>
                <w:sz w:val="22"/>
              </w:rPr>
              <w:t>35.19 ±</w:t>
            </w:r>
            <w:r>
              <w:rPr>
                <w:spacing w:val="-2"/>
                <w:sz w:val="22"/>
              </w:rPr>
              <w:t> 28.82</w:t>
            </w:r>
          </w:p>
        </w:tc>
      </w:tr>
      <w:tr>
        <w:trPr>
          <w:trHeight w:val="481" w:hRule="atLeast"/>
        </w:trPr>
        <w:tc>
          <w:tcPr>
            <w:tcW w:w="1689" w:type="dxa"/>
          </w:tcPr>
          <w:p>
            <w:pPr>
              <w:pStyle w:val="TableParagraph"/>
              <w:spacing w:before="78"/>
              <w:ind w:right="38"/>
              <w:rPr>
                <w:b/>
                <w:sz w:val="22"/>
              </w:rPr>
            </w:pPr>
            <w:r>
              <w:rPr>
                <w:b/>
                <w:sz w:val="22"/>
              </w:rPr>
              <w:t>G2 (n</w:t>
            </w:r>
            <w:r>
              <w:rPr>
                <w:b/>
                <w:spacing w:val="-3"/>
                <w:sz w:val="22"/>
              </w:rPr>
              <w:t> </w:t>
            </w:r>
            <w:r>
              <w:rPr>
                <w:b/>
                <w:sz w:val="22"/>
              </w:rPr>
              <w:t>=</w:t>
            </w:r>
            <w:r>
              <w:rPr>
                <w:b/>
                <w:spacing w:val="-1"/>
                <w:sz w:val="22"/>
              </w:rPr>
              <w:t> </w:t>
            </w:r>
            <w:r>
              <w:rPr>
                <w:b/>
                <w:spacing w:val="-5"/>
                <w:sz w:val="22"/>
              </w:rPr>
              <w:t>62)</w:t>
            </w:r>
          </w:p>
        </w:tc>
        <w:tc>
          <w:tcPr>
            <w:tcW w:w="1751" w:type="dxa"/>
          </w:tcPr>
          <w:p>
            <w:pPr>
              <w:pStyle w:val="TableParagraph"/>
              <w:spacing w:before="73"/>
              <w:ind w:left="389"/>
              <w:jc w:val="left"/>
              <w:rPr>
                <w:sz w:val="22"/>
              </w:rPr>
            </w:pPr>
            <w:r>
              <w:rPr>
                <w:sz w:val="22"/>
              </w:rPr>
              <w:t>5.98 ±</w:t>
            </w:r>
            <w:r>
              <w:rPr>
                <w:spacing w:val="-2"/>
                <w:sz w:val="22"/>
              </w:rPr>
              <w:t> </w:t>
            </w:r>
            <w:r>
              <w:rPr>
                <w:spacing w:val="-4"/>
                <w:sz w:val="22"/>
              </w:rPr>
              <w:t>3.11</w:t>
            </w:r>
          </w:p>
        </w:tc>
        <w:tc>
          <w:tcPr>
            <w:tcW w:w="1647" w:type="dxa"/>
          </w:tcPr>
          <w:p>
            <w:pPr>
              <w:pStyle w:val="TableParagraph"/>
              <w:spacing w:before="73"/>
              <w:ind w:left="304"/>
              <w:jc w:val="left"/>
              <w:rPr>
                <w:sz w:val="22"/>
              </w:rPr>
            </w:pPr>
            <w:r>
              <w:rPr>
                <w:sz w:val="22"/>
              </w:rPr>
              <w:t>10.03 ±</w:t>
            </w:r>
            <w:r>
              <w:rPr>
                <w:spacing w:val="-2"/>
                <w:sz w:val="22"/>
              </w:rPr>
              <w:t> </w:t>
            </w:r>
            <w:r>
              <w:rPr>
                <w:spacing w:val="-4"/>
                <w:sz w:val="22"/>
              </w:rPr>
              <w:t>3.04</w:t>
            </w:r>
          </w:p>
        </w:tc>
        <w:tc>
          <w:tcPr>
            <w:tcW w:w="1462" w:type="dxa"/>
          </w:tcPr>
          <w:p>
            <w:pPr>
              <w:pStyle w:val="TableParagraph"/>
              <w:spacing w:before="73"/>
              <w:ind w:left="177"/>
              <w:jc w:val="left"/>
              <w:rPr>
                <w:sz w:val="22"/>
              </w:rPr>
            </w:pPr>
            <w:r>
              <w:rPr>
                <w:sz w:val="22"/>
              </w:rPr>
              <w:t>7.17 ±</w:t>
            </w:r>
            <w:r>
              <w:rPr>
                <w:spacing w:val="-2"/>
                <w:sz w:val="22"/>
              </w:rPr>
              <w:t> </w:t>
            </w:r>
            <w:r>
              <w:rPr>
                <w:spacing w:val="-4"/>
                <w:sz w:val="22"/>
              </w:rPr>
              <w:t>3.91</w:t>
            </w:r>
          </w:p>
        </w:tc>
        <w:tc>
          <w:tcPr>
            <w:tcW w:w="1483" w:type="dxa"/>
          </w:tcPr>
          <w:p>
            <w:pPr>
              <w:pStyle w:val="TableParagraph"/>
              <w:spacing w:before="73"/>
              <w:ind w:left="186"/>
              <w:jc w:val="left"/>
              <w:rPr>
                <w:sz w:val="22"/>
              </w:rPr>
            </w:pPr>
            <w:r>
              <w:rPr>
                <w:sz w:val="22"/>
              </w:rPr>
              <w:t>8.68 ±</w:t>
            </w:r>
            <w:r>
              <w:rPr>
                <w:spacing w:val="-2"/>
                <w:sz w:val="22"/>
              </w:rPr>
              <w:t> </w:t>
            </w:r>
            <w:r>
              <w:rPr>
                <w:spacing w:val="-4"/>
                <w:sz w:val="22"/>
              </w:rPr>
              <w:t>8.41</w:t>
            </w:r>
          </w:p>
        </w:tc>
        <w:tc>
          <w:tcPr>
            <w:tcW w:w="1609" w:type="dxa"/>
          </w:tcPr>
          <w:p>
            <w:pPr>
              <w:pStyle w:val="TableParagraph"/>
              <w:spacing w:before="73"/>
              <w:ind w:left="247"/>
              <w:jc w:val="left"/>
              <w:rPr>
                <w:sz w:val="22"/>
              </w:rPr>
            </w:pPr>
            <w:r>
              <w:rPr>
                <w:sz w:val="22"/>
              </w:rPr>
              <w:t>14.76 ±</w:t>
            </w:r>
            <w:r>
              <w:rPr>
                <w:spacing w:val="-2"/>
                <w:sz w:val="22"/>
              </w:rPr>
              <w:t> </w:t>
            </w:r>
            <w:r>
              <w:rPr>
                <w:spacing w:val="-4"/>
                <w:sz w:val="22"/>
              </w:rPr>
              <w:t>6.17</w:t>
            </w:r>
          </w:p>
        </w:tc>
      </w:tr>
      <w:tr>
        <w:trPr>
          <w:trHeight w:val="500" w:hRule="atLeast"/>
        </w:trPr>
        <w:tc>
          <w:tcPr>
            <w:tcW w:w="1689" w:type="dxa"/>
          </w:tcPr>
          <w:p>
            <w:pPr>
              <w:pStyle w:val="TableParagraph"/>
              <w:spacing w:before="146"/>
              <w:ind w:right="38"/>
              <w:rPr>
                <w:b/>
                <w:sz w:val="22"/>
              </w:rPr>
            </w:pPr>
            <w:r>
              <w:rPr>
                <w:b/>
                <w:sz w:val="22"/>
              </w:rPr>
              <w:t>G5 (n</w:t>
            </w:r>
            <w:r>
              <w:rPr>
                <w:b/>
                <w:spacing w:val="-3"/>
                <w:sz w:val="22"/>
              </w:rPr>
              <w:t> </w:t>
            </w:r>
            <w:r>
              <w:rPr>
                <w:b/>
                <w:sz w:val="22"/>
              </w:rPr>
              <w:t>= </w:t>
            </w:r>
            <w:r>
              <w:rPr>
                <w:b/>
                <w:spacing w:val="-5"/>
                <w:sz w:val="22"/>
              </w:rPr>
              <w:t>20)</w:t>
            </w:r>
          </w:p>
        </w:tc>
        <w:tc>
          <w:tcPr>
            <w:tcW w:w="1751" w:type="dxa"/>
          </w:tcPr>
          <w:p>
            <w:pPr>
              <w:pStyle w:val="TableParagraph"/>
              <w:spacing w:before="141"/>
              <w:ind w:left="389"/>
              <w:jc w:val="left"/>
              <w:rPr>
                <w:sz w:val="22"/>
              </w:rPr>
            </w:pPr>
            <w:r>
              <w:rPr>
                <w:sz w:val="22"/>
              </w:rPr>
              <w:t>4.69 ±</w:t>
            </w:r>
            <w:r>
              <w:rPr>
                <w:spacing w:val="-2"/>
                <w:sz w:val="22"/>
              </w:rPr>
              <w:t> </w:t>
            </w:r>
            <w:r>
              <w:rPr>
                <w:spacing w:val="-4"/>
                <w:sz w:val="22"/>
              </w:rPr>
              <w:t>2.64</w:t>
            </w:r>
          </w:p>
        </w:tc>
        <w:tc>
          <w:tcPr>
            <w:tcW w:w="1647" w:type="dxa"/>
          </w:tcPr>
          <w:p>
            <w:pPr>
              <w:pStyle w:val="TableParagraph"/>
              <w:spacing w:before="141"/>
              <w:ind w:left="360"/>
              <w:jc w:val="left"/>
              <w:rPr>
                <w:sz w:val="22"/>
              </w:rPr>
            </w:pPr>
            <w:r>
              <w:rPr>
                <w:sz w:val="22"/>
              </w:rPr>
              <w:t>4.66 ±</w:t>
            </w:r>
            <w:r>
              <w:rPr>
                <w:spacing w:val="-2"/>
                <w:sz w:val="22"/>
              </w:rPr>
              <w:t> </w:t>
            </w:r>
            <w:r>
              <w:rPr>
                <w:spacing w:val="-4"/>
                <w:sz w:val="22"/>
              </w:rPr>
              <w:t>0.78</w:t>
            </w:r>
          </w:p>
        </w:tc>
        <w:tc>
          <w:tcPr>
            <w:tcW w:w="1462" w:type="dxa"/>
          </w:tcPr>
          <w:p>
            <w:pPr>
              <w:pStyle w:val="TableParagraph"/>
              <w:spacing w:before="141"/>
              <w:ind w:left="177"/>
              <w:jc w:val="left"/>
              <w:rPr>
                <w:sz w:val="22"/>
              </w:rPr>
            </w:pPr>
            <w:r>
              <w:rPr>
                <w:sz w:val="22"/>
              </w:rPr>
              <w:t>2.13 ±</w:t>
            </w:r>
            <w:r>
              <w:rPr>
                <w:spacing w:val="-2"/>
                <w:sz w:val="22"/>
              </w:rPr>
              <w:t> </w:t>
            </w:r>
            <w:r>
              <w:rPr>
                <w:spacing w:val="-4"/>
                <w:sz w:val="22"/>
              </w:rPr>
              <w:t>0.36</w:t>
            </w:r>
          </w:p>
        </w:tc>
        <w:tc>
          <w:tcPr>
            <w:tcW w:w="1483" w:type="dxa"/>
          </w:tcPr>
          <w:p>
            <w:pPr>
              <w:pStyle w:val="TableParagraph"/>
              <w:spacing w:before="141"/>
              <w:ind w:left="186"/>
              <w:jc w:val="left"/>
              <w:rPr>
                <w:sz w:val="22"/>
              </w:rPr>
            </w:pPr>
            <w:r>
              <w:rPr>
                <w:sz w:val="22"/>
              </w:rPr>
              <w:t>2.33 ±</w:t>
            </w:r>
            <w:r>
              <w:rPr>
                <w:spacing w:val="-2"/>
                <w:sz w:val="22"/>
              </w:rPr>
              <w:t> </w:t>
            </w:r>
            <w:r>
              <w:rPr>
                <w:spacing w:val="-4"/>
                <w:sz w:val="22"/>
              </w:rPr>
              <w:t>0.58</w:t>
            </w:r>
          </w:p>
        </w:tc>
        <w:tc>
          <w:tcPr>
            <w:tcW w:w="1609" w:type="dxa"/>
          </w:tcPr>
          <w:p>
            <w:pPr>
              <w:pStyle w:val="TableParagraph"/>
              <w:spacing w:before="141"/>
              <w:ind w:left="302"/>
              <w:jc w:val="left"/>
              <w:rPr>
                <w:sz w:val="22"/>
              </w:rPr>
            </w:pPr>
            <w:r>
              <w:rPr>
                <w:sz w:val="22"/>
              </w:rPr>
              <w:t>6.45 ±</w:t>
            </w:r>
            <w:r>
              <w:rPr>
                <w:spacing w:val="-2"/>
                <w:sz w:val="22"/>
              </w:rPr>
              <w:t> </w:t>
            </w:r>
            <w:r>
              <w:rPr>
                <w:spacing w:val="-4"/>
                <w:sz w:val="22"/>
              </w:rPr>
              <w:t>4.15</w:t>
            </w:r>
          </w:p>
        </w:tc>
      </w:tr>
      <w:tr>
        <w:trPr>
          <w:trHeight w:val="693" w:hRule="atLeast"/>
        </w:trPr>
        <w:tc>
          <w:tcPr>
            <w:tcW w:w="1689" w:type="dxa"/>
          </w:tcPr>
          <w:p>
            <w:pPr>
              <w:pStyle w:val="TableParagraph"/>
              <w:spacing w:before="97"/>
              <w:ind w:left="1" w:right="38"/>
              <w:rPr>
                <w:b/>
                <w:sz w:val="22"/>
              </w:rPr>
            </w:pPr>
            <w:r>
              <w:rPr>
                <w:b/>
                <w:sz w:val="22"/>
              </w:rPr>
              <w:t>F(p)</w:t>
            </w:r>
            <w:r>
              <w:rPr>
                <w:b/>
                <w:spacing w:val="1"/>
                <w:sz w:val="22"/>
              </w:rPr>
              <w:t> </w:t>
            </w:r>
            <w:r>
              <w:rPr>
                <w:b/>
                <w:spacing w:val="-2"/>
                <w:sz w:val="22"/>
              </w:rPr>
              <w:t>Value</w:t>
            </w:r>
          </w:p>
        </w:tc>
        <w:tc>
          <w:tcPr>
            <w:tcW w:w="1751" w:type="dxa"/>
          </w:tcPr>
          <w:p>
            <w:pPr>
              <w:pStyle w:val="TableParagraph"/>
              <w:spacing w:line="253" w:lineRule="exact" w:before="92"/>
              <w:ind w:left="32" w:right="3"/>
              <w:rPr>
                <w:sz w:val="22"/>
              </w:rPr>
            </w:pPr>
            <w:r>
              <w:rPr>
                <w:spacing w:val="-2"/>
                <w:sz w:val="22"/>
              </w:rPr>
              <w:t>64.00</w:t>
            </w:r>
          </w:p>
          <w:p>
            <w:pPr>
              <w:pStyle w:val="TableParagraph"/>
              <w:ind w:left="32" w:right="2"/>
              <w:rPr>
                <w:sz w:val="22"/>
              </w:rPr>
            </w:pPr>
            <w:r>
              <w:rPr>
                <w:spacing w:val="-2"/>
                <w:sz w:val="22"/>
              </w:rPr>
              <w:t>(0.00)</w:t>
            </w:r>
          </w:p>
        </w:tc>
        <w:tc>
          <w:tcPr>
            <w:tcW w:w="1647" w:type="dxa"/>
          </w:tcPr>
          <w:p>
            <w:pPr>
              <w:pStyle w:val="TableParagraph"/>
              <w:spacing w:line="253" w:lineRule="exact" w:before="92"/>
              <w:ind w:left="612"/>
              <w:jc w:val="left"/>
              <w:rPr>
                <w:sz w:val="22"/>
              </w:rPr>
            </w:pPr>
            <w:r>
              <w:rPr>
                <w:spacing w:val="-2"/>
                <w:sz w:val="22"/>
              </w:rPr>
              <w:t>30.26</w:t>
            </w:r>
          </w:p>
          <w:p>
            <w:pPr>
              <w:pStyle w:val="TableParagraph"/>
              <w:ind w:left="595"/>
              <w:jc w:val="left"/>
              <w:rPr>
                <w:sz w:val="22"/>
              </w:rPr>
            </w:pPr>
            <w:r>
              <w:rPr>
                <w:spacing w:val="-2"/>
                <w:sz w:val="22"/>
              </w:rPr>
              <w:t>(0.00)</w:t>
            </w:r>
          </w:p>
        </w:tc>
        <w:tc>
          <w:tcPr>
            <w:tcW w:w="1462" w:type="dxa"/>
          </w:tcPr>
          <w:p>
            <w:pPr>
              <w:pStyle w:val="TableParagraph"/>
              <w:spacing w:line="253" w:lineRule="exact" w:before="92"/>
              <w:ind w:left="432"/>
              <w:jc w:val="left"/>
              <w:rPr>
                <w:sz w:val="22"/>
              </w:rPr>
            </w:pPr>
            <w:r>
              <w:rPr>
                <w:spacing w:val="-2"/>
                <w:sz w:val="22"/>
              </w:rPr>
              <w:t>15.17</w:t>
            </w:r>
          </w:p>
          <w:p>
            <w:pPr>
              <w:pStyle w:val="TableParagraph"/>
              <w:ind w:left="412"/>
              <w:jc w:val="left"/>
              <w:rPr>
                <w:sz w:val="22"/>
              </w:rPr>
            </w:pPr>
            <w:r>
              <w:rPr>
                <w:spacing w:val="-2"/>
                <w:sz w:val="22"/>
              </w:rPr>
              <w:t>(0.00)</w:t>
            </w:r>
          </w:p>
        </w:tc>
        <w:tc>
          <w:tcPr>
            <w:tcW w:w="1483" w:type="dxa"/>
          </w:tcPr>
          <w:p>
            <w:pPr>
              <w:pStyle w:val="TableParagraph"/>
              <w:spacing w:line="253" w:lineRule="exact" w:before="92"/>
              <w:ind w:left="441"/>
              <w:jc w:val="left"/>
              <w:rPr>
                <w:sz w:val="22"/>
              </w:rPr>
            </w:pPr>
            <w:r>
              <w:rPr>
                <w:spacing w:val="-2"/>
                <w:sz w:val="22"/>
              </w:rPr>
              <w:t>23.12</w:t>
            </w:r>
          </w:p>
          <w:p>
            <w:pPr>
              <w:pStyle w:val="TableParagraph"/>
              <w:ind w:left="421"/>
              <w:jc w:val="left"/>
              <w:rPr>
                <w:sz w:val="22"/>
              </w:rPr>
            </w:pPr>
            <w:r>
              <w:rPr>
                <w:spacing w:val="-2"/>
                <w:sz w:val="22"/>
              </w:rPr>
              <w:t>(0.00)</w:t>
            </w:r>
          </w:p>
        </w:tc>
        <w:tc>
          <w:tcPr>
            <w:tcW w:w="1609" w:type="dxa"/>
          </w:tcPr>
          <w:p>
            <w:pPr>
              <w:pStyle w:val="TableParagraph"/>
              <w:spacing w:line="253" w:lineRule="exact" w:before="92"/>
              <w:ind w:left="4" w:right="4"/>
              <w:rPr>
                <w:sz w:val="22"/>
              </w:rPr>
            </w:pPr>
            <w:r>
              <w:rPr>
                <w:spacing w:val="-2"/>
                <w:sz w:val="22"/>
              </w:rPr>
              <w:t>21.47</w:t>
            </w:r>
          </w:p>
          <w:p>
            <w:pPr>
              <w:pStyle w:val="TableParagraph"/>
              <w:ind w:left="3" w:right="4"/>
              <w:rPr>
                <w:sz w:val="22"/>
              </w:rPr>
            </w:pPr>
            <w:r>
              <w:rPr>
                <w:spacing w:val="-2"/>
                <w:sz w:val="22"/>
              </w:rPr>
              <w:t>(0.00)</w:t>
            </w:r>
          </w:p>
        </w:tc>
      </w:tr>
      <w:tr>
        <w:trPr>
          <w:trHeight w:val="436" w:hRule="atLeast"/>
        </w:trPr>
        <w:tc>
          <w:tcPr>
            <w:tcW w:w="1689" w:type="dxa"/>
          </w:tcPr>
          <w:p>
            <w:pPr>
              <w:pStyle w:val="TableParagraph"/>
              <w:spacing w:before="119"/>
              <w:ind w:left="1" w:right="38"/>
              <w:rPr>
                <w:b/>
                <w:sz w:val="22"/>
              </w:rPr>
            </w:pPr>
            <w:r>
              <w:rPr>
                <w:b/>
                <w:sz w:val="22"/>
              </w:rPr>
              <w:t>G1 vs</w:t>
            </w:r>
            <w:r>
              <w:rPr>
                <w:b/>
                <w:spacing w:val="-2"/>
                <w:sz w:val="22"/>
              </w:rPr>
              <w:t> </w:t>
            </w:r>
            <w:r>
              <w:rPr>
                <w:b/>
                <w:spacing w:val="-5"/>
                <w:sz w:val="22"/>
              </w:rPr>
              <w:t>G2</w:t>
            </w:r>
          </w:p>
        </w:tc>
        <w:tc>
          <w:tcPr>
            <w:tcW w:w="1751" w:type="dxa"/>
          </w:tcPr>
          <w:p>
            <w:pPr>
              <w:pStyle w:val="TableParagraph"/>
              <w:spacing w:before="114"/>
              <w:ind w:left="32"/>
              <w:rPr>
                <w:sz w:val="22"/>
              </w:rPr>
            </w:pPr>
            <w:r>
              <w:rPr>
                <w:spacing w:val="-2"/>
                <w:sz w:val="22"/>
              </w:rPr>
              <w:t>0.001</w:t>
            </w:r>
            <w:r>
              <w:rPr>
                <w:spacing w:val="-2"/>
                <w:sz w:val="22"/>
                <w:vertAlign w:val="superscript"/>
              </w:rPr>
              <w:t>*</w:t>
            </w:r>
          </w:p>
        </w:tc>
        <w:tc>
          <w:tcPr>
            <w:tcW w:w="1647" w:type="dxa"/>
          </w:tcPr>
          <w:p>
            <w:pPr>
              <w:pStyle w:val="TableParagraph"/>
              <w:spacing w:before="114"/>
              <w:ind w:left="76"/>
              <w:rPr>
                <w:sz w:val="22"/>
              </w:rPr>
            </w:pPr>
            <w:r>
              <w:rPr>
                <w:spacing w:val="-2"/>
                <w:sz w:val="22"/>
              </w:rPr>
              <w:t>0.001</w:t>
            </w:r>
            <w:r>
              <w:rPr>
                <w:spacing w:val="-2"/>
                <w:sz w:val="22"/>
                <w:vertAlign w:val="superscript"/>
              </w:rPr>
              <w:t>*</w:t>
            </w:r>
          </w:p>
        </w:tc>
        <w:tc>
          <w:tcPr>
            <w:tcW w:w="1462" w:type="dxa"/>
          </w:tcPr>
          <w:p>
            <w:pPr>
              <w:pStyle w:val="TableParagraph"/>
              <w:spacing w:before="114"/>
              <w:ind w:left="5" w:right="106"/>
              <w:rPr>
                <w:sz w:val="22"/>
              </w:rPr>
            </w:pPr>
            <w:r>
              <w:rPr>
                <w:spacing w:val="-2"/>
                <w:sz w:val="22"/>
              </w:rPr>
              <w:t>0.008</w:t>
            </w:r>
            <w:r>
              <w:rPr>
                <w:spacing w:val="-2"/>
                <w:sz w:val="22"/>
                <w:vertAlign w:val="superscript"/>
              </w:rPr>
              <w:t>*</w:t>
            </w:r>
          </w:p>
        </w:tc>
        <w:tc>
          <w:tcPr>
            <w:tcW w:w="1483" w:type="dxa"/>
          </w:tcPr>
          <w:p>
            <w:pPr>
              <w:pStyle w:val="TableParagraph"/>
              <w:spacing w:before="114"/>
              <w:ind w:left="6" w:right="110"/>
              <w:rPr>
                <w:sz w:val="22"/>
              </w:rPr>
            </w:pPr>
            <w:r>
              <w:rPr>
                <w:spacing w:val="-2"/>
                <w:sz w:val="22"/>
              </w:rPr>
              <w:t>0.001</w:t>
            </w:r>
            <w:r>
              <w:rPr>
                <w:spacing w:val="-2"/>
                <w:sz w:val="22"/>
                <w:vertAlign w:val="superscript"/>
              </w:rPr>
              <w:t>*</w:t>
            </w:r>
          </w:p>
        </w:tc>
        <w:tc>
          <w:tcPr>
            <w:tcW w:w="1609" w:type="dxa"/>
          </w:tcPr>
          <w:p>
            <w:pPr>
              <w:pStyle w:val="TableParagraph"/>
              <w:spacing w:before="114"/>
              <w:ind w:left="4" w:right="4"/>
              <w:rPr>
                <w:sz w:val="22"/>
              </w:rPr>
            </w:pPr>
            <w:r>
              <w:rPr>
                <w:spacing w:val="-2"/>
                <w:sz w:val="22"/>
              </w:rPr>
              <w:t>0.001</w:t>
            </w:r>
            <w:r>
              <w:rPr>
                <w:spacing w:val="-2"/>
                <w:sz w:val="22"/>
                <w:vertAlign w:val="superscript"/>
              </w:rPr>
              <w:t>*</w:t>
            </w:r>
          </w:p>
        </w:tc>
      </w:tr>
      <w:tr>
        <w:trPr>
          <w:trHeight w:val="409" w:hRule="atLeast"/>
        </w:trPr>
        <w:tc>
          <w:tcPr>
            <w:tcW w:w="1689" w:type="dxa"/>
          </w:tcPr>
          <w:p>
            <w:pPr>
              <w:pStyle w:val="TableParagraph"/>
              <w:spacing w:before="88"/>
              <w:ind w:left="1" w:right="38"/>
              <w:rPr>
                <w:b/>
                <w:sz w:val="22"/>
              </w:rPr>
            </w:pPr>
            <w:r>
              <w:rPr>
                <w:b/>
                <w:sz w:val="22"/>
              </w:rPr>
              <w:t>G1 vs</w:t>
            </w:r>
            <w:r>
              <w:rPr>
                <w:b/>
                <w:spacing w:val="-2"/>
                <w:sz w:val="22"/>
              </w:rPr>
              <w:t> </w:t>
            </w:r>
            <w:r>
              <w:rPr>
                <w:b/>
                <w:spacing w:val="-5"/>
                <w:sz w:val="22"/>
              </w:rPr>
              <w:t>G5</w:t>
            </w:r>
          </w:p>
        </w:tc>
        <w:tc>
          <w:tcPr>
            <w:tcW w:w="1751" w:type="dxa"/>
          </w:tcPr>
          <w:p>
            <w:pPr>
              <w:pStyle w:val="TableParagraph"/>
              <w:spacing w:before="83"/>
              <w:ind w:left="32"/>
              <w:rPr>
                <w:sz w:val="22"/>
              </w:rPr>
            </w:pPr>
            <w:r>
              <w:rPr>
                <w:spacing w:val="-2"/>
                <w:sz w:val="22"/>
              </w:rPr>
              <w:t>0.001</w:t>
            </w:r>
            <w:r>
              <w:rPr>
                <w:spacing w:val="-2"/>
                <w:sz w:val="22"/>
                <w:vertAlign w:val="superscript"/>
              </w:rPr>
              <w:t>*</w:t>
            </w:r>
          </w:p>
        </w:tc>
        <w:tc>
          <w:tcPr>
            <w:tcW w:w="1647" w:type="dxa"/>
          </w:tcPr>
          <w:p>
            <w:pPr>
              <w:pStyle w:val="TableParagraph"/>
              <w:spacing w:before="83"/>
              <w:ind w:left="76"/>
              <w:rPr>
                <w:sz w:val="22"/>
              </w:rPr>
            </w:pPr>
            <w:r>
              <w:rPr>
                <w:spacing w:val="-2"/>
                <w:sz w:val="22"/>
              </w:rPr>
              <w:t>0.001</w:t>
            </w:r>
            <w:r>
              <w:rPr>
                <w:spacing w:val="-2"/>
                <w:sz w:val="22"/>
                <w:vertAlign w:val="superscript"/>
              </w:rPr>
              <w:t>*</w:t>
            </w:r>
          </w:p>
        </w:tc>
        <w:tc>
          <w:tcPr>
            <w:tcW w:w="1462" w:type="dxa"/>
          </w:tcPr>
          <w:p>
            <w:pPr>
              <w:pStyle w:val="TableParagraph"/>
              <w:spacing w:before="83"/>
              <w:ind w:left="5" w:right="106"/>
              <w:rPr>
                <w:sz w:val="22"/>
              </w:rPr>
            </w:pPr>
            <w:r>
              <w:rPr>
                <w:spacing w:val="-2"/>
                <w:sz w:val="22"/>
              </w:rPr>
              <w:t>0.001</w:t>
            </w:r>
            <w:r>
              <w:rPr>
                <w:spacing w:val="-2"/>
                <w:sz w:val="22"/>
                <w:vertAlign w:val="superscript"/>
              </w:rPr>
              <w:t>*</w:t>
            </w:r>
          </w:p>
        </w:tc>
        <w:tc>
          <w:tcPr>
            <w:tcW w:w="1483" w:type="dxa"/>
          </w:tcPr>
          <w:p>
            <w:pPr>
              <w:pStyle w:val="TableParagraph"/>
              <w:spacing w:before="83"/>
              <w:ind w:left="6" w:right="110"/>
              <w:rPr>
                <w:sz w:val="22"/>
              </w:rPr>
            </w:pPr>
            <w:r>
              <w:rPr>
                <w:spacing w:val="-2"/>
                <w:sz w:val="22"/>
              </w:rPr>
              <w:t>0.001</w:t>
            </w:r>
            <w:r>
              <w:rPr>
                <w:spacing w:val="-2"/>
                <w:sz w:val="22"/>
                <w:vertAlign w:val="superscript"/>
              </w:rPr>
              <w:t>*</w:t>
            </w:r>
          </w:p>
        </w:tc>
        <w:tc>
          <w:tcPr>
            <w:tcW w:w="1609" w:type="dxa"/>
          </w:tcPr>
          <w:p>
            <w:pPr>
              <w:pStyle w:val="TableParagraph"/>
              <w:spacing w:before="83"/>
              <w:ind w:left="4" w:right="4"/>
              <w:rPr>
                <w:sz w:val="22"/>
              </w:rPr>
            </w:pPr>
            <w:r>
              <w:rPr>
                <w:spacing w:val="-2"/>
                <w:sz w:val="22"/>
              </w:rPr>
              <w:t>0.001</w:t>
            </w:r>
            <w:r>
              <w:rPr>
                <w:spacing w:val="-2"/>
                <w:sz w:val="22"/>
                <w:vertAlign w:val="superscript"/>
              </w:rPr>
              <w:t>*</w:t>
            </w:r>
          </w:p>
        </w:tc>
      </w:tr>
      <w:tr>
        <w:trPr>
          <w:trHeight w:val="508" w:hRule="atLeast"/>
        </w:trPr>
        <w:tc>
          <w:tcPr>
            <w:tcW w:w="1689" w:type="dxa"/>
            <w:tcBorders>
              <w:bottom w:val="single" w:sz="8" w:space="0" w:color="000000"/>
            </w:tcBorders>
          </w:tcPr>
          <w:p>
            <w:pPr>
              <w:pStyle w:val="TableParagraph"/>
              <w:spacing w:before="92"/>
              <w:ind w:left="1" w:right="38"/>
              <w:rPr>
                <w:b/>
                <w:sz w:val="22"/>
              </w:rPr>
            </w:pPr>
            <w:r>
              <w:rPr>
                <w:b/>
                <w:sz w:val="22"/>
              </w:rPr>
              <w:t>G2 vs</w:t>
            </w:r>
            <w:r>
              <w:rPr>
                <w:b/>
                <w:spacing w:val="-2"/>
                <w:sz w:val="22"/>
              </w:rPr>
              <w:t> </w:t>
            </w:r>
            <w:r>
              <w:rPr>
                <w:b/>
                <w:spacing w:val="-5"/>
                <w:sz w:val="22"/>
              </w:rPr>
              <w:t>G5</w:t>
            </w:r>
          </w:p>
        </w:tc>
        <w:tc>
          <w:tcPr>
            <w:tcW w:w="1751" w:type="dxa"/>
            <w:tcBorders>
              <w:bottom w:val="single" w:sz="8" w:space="0" w:color="000000"/>
            </w:tcBorders>
          </w:tcPr>
          <w:p>
            <w:pPr>
              <w:pStyle w:val="TableParagraph"/>
              <w:spacing w:before="87"/>
              <w:ind w:left="32" w:right="3"/>
              <w:rPr>
                <w:sz w:val="22"/>
              </w:rPr>
            </w:pPr>
            <w:r>
              <w:rPr>
                <w:spacing w:val="-2"/>
                <w:sz w:val="22"/>
              </w:rPr>
              <w:t>0.277</w:t>
            </w:r>
          </w:p>
        </w:tc>
        <w:tc>
          <w:tcPr>
            <w:tcW w:w="1647" w:type="dxa"/>
            <w:tcBorders>
              <w:bottom w:val="single" w:sz="8" w:space="0" w:color="000000"/>
            </w:tcBorders>
          </w:tcPr>
          <w:p>
            <w:pPr>
              <w:pStyle w:val="TableParagraph"/>
              <w:spacing w:before="87"/>
              <w:ind w:left="76"/>
              <w:rPr>
                <w:sz w:val="22"/>
              </w:rPr>
            </w:pPr>
            <w:r>
              <w:rPr>
                <w:spacing w:val="-2"/>
                <w:sz w:val="22"/>
              </w:rPr>
              <w:t>0.001</w:t>
            </w:r>
            <w:r>
              <w:rPr>
                <w:spacing w:val="-2"/>
                <w:sz w:val="22"/>
                <w:vertAlign w:val="superscript"/>
              </w:rPr>
              <w:t>*</w:t>
            </w:r>
          </w:p>
        </w:tc>
        <w:tc>
          <w:tcPr>
            <w:tcW w:w="1462" w:type="dxa"/>
            <w:tcBorders>
              <w:bottom w:val="single" w:sz="8" w:space="0" w:color="000000"/>
            </w:tcBorders>
          </w:tcPr>
          <w:p>
            <w:pPr>
              <w:pStyle w:val="TableParagraph"/>
              <w:spacing w:before="87"/>
              <w:ind w:left="5" w:right="106"/>
              <w:rPr>
                <w:sz w:val="22"/>
              </w:rPr>
            </w:pPr>
            <w:r>
              <w:rPr>
                <w:spacing w:val="-2"/>
                <w:sz w:val="22"/>
              </w:rPr>
              <w:t>0.001</w:t>
            </w:r>
            <w:r>
              <w:rPr>
                <w:spacing w:val="-2"/>
                <w:sz w:val="22"/>
                <w:vertAlign w:val="superscript"/>
              </w:rPr>
              <w:t>*</w:t>
            </w:r>
          </w:p>
        </w:tc>
        <w:tc>
          <w:tcPr>
            <w:tcW w:w="1483" w:type="dxa"/>
            <w:tcBorders>
              <w:bottom w:val="single" w:sz="8" w:space="0" w:color="000000"/>
            </w:tcBorders>
          </w:tcPr>
          <w:p>
            <w:pPr>
              <w:pStyle w:val="TableParagraph"/>
              <w:spacing w:before="87"/>
              <w:ind w:left="6" w:right="110"/>
              <w:rPr>
                <w:sz w:val="22"/>
              </w:rPr>
            </w:pPr>
            <w:r>
              <w:rPr>
                <w:spacing w:val="-2"/>
                <w:sz w:val="22"/>
              </w:rPr>
              <w:t>0.001</w:t>
            </w:r>
            <w:r>
              <w:rPr>
                <w:spacing w:val="-2"/>
                <w:sz w:val="22"/>
                <w:vertAlign w:val="superscript"/>
              </w:rPr>
              <w:t>*</w:t>
            </w:r>
          </w:p>
        </w:tc>
        <w:tc>
          <w:tcPr>
            <w:tcW w:w="1609" w:type="dxa"/>
            <w:tcBorders>
              <w:bottom w:val="single" w:sz="8" w:space="0" w:color="000000"/>
            </w:tcBorders>
          </w:tcPr>
          <w:p>
            <w:pPr>
              <w:pStyle w:val="TableParagraph"/>
              <w:spacing w:before="87"/>
              <w:ind w:left="4" w:right="4"/>
              <w:rPr>
                <w:sz w:val="22"/>
              </w:rPr>
            </w:pPr>
            <w:r>
              <w:rPr>
                <w:spacing w:val="-2"/>
                <w:sz w:val="22"/>
              </w:rPr>
              <w:t>0.001</w:t>
            </w:r>
            <w:r>
              <w:rPr>
                <w:spacing w:val="-2"/>
                <w:sz w:val="22"/>
                <w:vertAlign w:val="superscript"/>
              </w:rPr>
              <w:t>*</w:t>
            </w:r>
          </w:p>
        </w:tc>
      </w:tr>
    </w:tbl>
    <w:p>
      <w:pPr>
        <w:spacing w:line="228" w:lineRule="exact" w:before="161"/>
        <w:ind w:left="560" w:right="0" w:firstLine="0"/>
        <w:jc w:val="left"/>
        <w:rPr>
          <w:b/>
          <w:sz w:val="20"/>
        </w:rPr>
      </w:pPr>
      <w:r>
        <w:rPr>
          <w:b/>
          <w:spacing w:val="-5"/>
          <w:sz w:val="20"/>
        </w:rPr>
        <w:t>Key</w:t>
      </w:r>
    </w:p>
    <w:p>
      <w:pPr>
        <w:spacing w:line="228" w:lineRule="exact" w:before="0"/>
        <w:ind w:left="560" w:right="0" w:firstLine="0"/>
        <w:jc w:val="left"/>
        <w:rPr>
          <w:sz w:val="20"/>
        </w:rPr>
      </w:pPr>
      <w:r>
        <w:rPr>
          <w:sz w:val="20"/>
        </w:rPr>
        <w:t>α-level</w:t>
      </w:r>
      <w:r>
        <w:rPr>
          <w:spacing w:val="-3"/>
          <w:sz w:val="20"/>
        </w:rPr>
        <w:t> </w:t>
      </w:r>
      <w:r>
        <w:rPr>
          <w:sz w:val="20"/>
        </w:rPr>
        <w:t>set</w:t>
      </w:r>
      <w:r>
        <w:rPr>
          <w:spacing w:val="-4"/>
          <w:sz w:val="20"/>
        </w:rPr>
        <w:t> </w:t>
      </w:r>
      <w:r>
        <w:rPr>
          <w:sz w:val="20"/>
        </w:rPr>
        <w:t>at</w:t>
      </w:r>
      <w:r>
        <w:rPr>
          <w:spacing w:val="-5"/>
          <w:sz w:val="20"/>
        </w:rPr>
        <w:t> </w:t>
      </w:r>
      <w:r>
        <w:rPr>
          <w:spacing w:val="-4"/>
          <w:sz w:val="20"/>
        </w:rPr>
        <w:t>0.05</w:t>
      </w:r>
    </w:p>
    <w:p>
      <w:pPr>
        <w:spacing w:before="0"/>
        <w:ind w:left="560" w:right="7678" w:firstLine="0"/>
        <w:jc w:val="left"/>
        <w:rPr>
          <w:sz w:val="20"/>
        </w:rPr>
      </w:pPr>
      <w:r>
        <w:rPr>
          <w:sz w:val="20"/>
        </w:rPr>
        <w:t>*(P&lt; 0.05) = Significant P&gt;</w:t>
      </w:r>
      <w:r>
        <w:rPr>
          <w:spacing w:val="-13"/>
          <w:sz w:val="20"/>
        </w:rPr>
        <w:t> </w:t>
      </w:r>
      <w:r>
        <w:rPr>
          <w:sz w:val="20"/>
        </w:rPr>
        <w:t>0.05=</w:t>
      </w:r>
      <w:r>
        <w:rPr>
          <w:spacing w:val="-12"/>
          <w:sz w:val="20"/>
        </w:rPr>
        <w:t> </w:t>
      </w:r>
      <w:r>
        <w:rPr>
          <w:sz w:val="20"/>
        </w:rPr>
        <w:t>Not</w:t>
      </w:r>
      <w:r>
        <w:rPr>
          <w:spacing w:val="-13"/>
          <w:sz w:val="20"/>
        </w:rPr>
        <w:t> </w:t>
      </w:r>
      <w:r>
        <w:rPr>
          <w:sz w:val="20"/>
        </w:rPr>
        <w:t>Significant</w:t>
      </w:r>
    </w:p>
    <w:p>
      <w:pPr>
        <w:spacing w:before="1"/>
        <w:ind w:left="560" w:right="6412" w:firstLine="0"/>
        <w:jc w:val="left"/>
        <w:rPr>
          <w:sz w:val="20"/>
        </w:rPr>
      </w:pPr>
      <w:r>
        <w:rPr>
          <w:sz w:val="20"/>
        </w:rPr>
        <w:t>G1 = Malaria Infected Pregnant women G2</w:t>
      </w:r>
      <w:r>
        <w:rPr>
          <w:spacing w:val="-9"/>
          <w:sz w:val="20"/>
        </w:rPr>
        <w:t> </w:t>
      </w:r>
      <w:r>
        <w:rPr>
          <w:sz w:val="20"/>
        </w:rPr>
        <w:t>=</w:t>
      </w:r>
      <w:r>
        <w:rPr>
          <w:spacing w:val="-9"/>
          <w:sz w:val="20"/>
        </w:rPr>
        <w:t> </w:t>
      </w:r>
      <w:r>
        <w:rPr>
          <w:sz w:val="20"/>
        </w:rPr>
        <w:t>Malaria</w:t>
      </w:r>
      <w:r>
        <w:rPr>
          <w:spacing w:val="-10"/>
          <w:sz w:val="20"/>
        </w:rPr>
        <w:t> </w:t>
      </w:r>
      <w:r>
        <w:rPr>
          <w:sz w:val="20"/>
        </w:rPr>
        <w:t>Uninfected</w:t>
      </w:r>
      <w:r>
        <w:rPr>
          <w:spacing w:val="-9"/>
          <w:sz w:val="20"/>
        </w:rPr>
        <w:t> </w:t>
      </w:r>
      <w:r>
        <w:rPr>
          <w:sz w:val="20"/>
        </w:rPr>
        <w:t>Pregnant</w:t>
      </w:r>
      <w:r>
        <w:rPr>
          <w:spacing w:val="-6"/>
          <w:sz w:val="20"/>
        </w:rPr>
        <w:t> </w:t>
      </w:r>
      <w:r>
        <w:rPr>
          <w:sz w:val="20"/>
        </w:rPr>
        <w:t>women</w:t>
      </w:r>
    </w:p>
    <w:p>
      <w:pPr>
        <w:spacing w:line="229" w:lineRule="exact" w:before="0"/>
        <w:ind w:left="560" w:right="0" w:firstLine="0"/>
        <w:jc w:val="left"/>
        <w:rPr>
          <w:sz w:val="20"/>
        </w:rPr>
      </w:pPr>
      <w:r>
        <w:rPr>
          <w:sz w:val="20"/>
        </w:rPr>
        <w:t>G5</w:t>
      </w:r>
      <w:r>
        <w:rPr>
          <w:spacing w:val="-6"/>
          <w:sz w:val="20"/>
        </w:rPr>
        <w:t> </w:t>
      </w:r>
      <w:r>
        <w:rPr>
          <w:sz w:val="20"/>
        </w:rPr>
        <w:t>=</w:t>
      </w:r>
      <w:r>
        <w:rPr>
          <w:spacing w:val="-7"/>
          <w:sz w:val="20"/>
        </w:rPr>
        <w:t> </w:t>
      </w:r>
      <w:r>
        <w:rPr>
          <w:sz w:val="20"/>
        </w:rPr>
        <w:t>Malaria</w:t>
      </w:r>
      <w:r>
        <w:rPr>
          <w:spacing w:val="-5"/>
          <w:sz w:val="20"/>
        </w:rPr>
        <w:t> </w:t>
      </w:r>
      <w:r>
        <w:rPr>
          <w:sz w:val="20"/>
        </w:rPr>
        <w:t>Uninfected</w:t>
      </w:r>
      <w:r>
        <w:rPr>
          <w:spacing w:val="-6"/>
          <w:sz w:val="20"/>
        </w:rPr>
        <w:t> </w:t>
      </w:r>
      <w:r>
        <w:rPr>
          <w:sz w:val="20"/>
        </w:rPr>
        <w:t>Non-Pregnant</w:t>
      </w:r>
      <w:r>
        <w:rPr>
          <w:spacing w:val="-4"/>
          <w:sz w:val="20"/>
        </w:rPr>
        <w:t> women</w:t>
      </w:r>
    </w:p>
    <w:p>
      <w:pPr>
        <w:spacing w:after="0" w:line="229" w:lineRule="exact"/>
        <w:jc w:val="left"/>
        <w:rPr>
          <w:sz w:val="20"/>
        </w:rPr>
        <w:sectPr>
          <w:pgSz w:w="11910" w:h="16840"/>
          <w:pgMar w:header="0" w:footer="1067" w:top="1060" w:bottom="1260" w:left="880" w:right="640"/>
        </w:sectPr>
      </w:pPr>
    </w:p>
    <w:p>
      <w:pPr>
        <w:pStyle w:val="BodyText"/>
        <w:spacing w:line="480" w:lineRule="auto" w:before="70"/>
        <w:ind w:left="560" w:right="796"/>
        <w:jc w:val="both"/>
      </w:pPr>
      <w:r>
        <w:rPr/>
        <w:t>Table 4.2 showed comparison of some cytokine levels of malaria infected post</w:t>
      </w:r>
      <w:r>
        <w:rPr>
          <w:spacing w:val="40"/>
        </w:rPr>
        <w:t> </w:t>
      </w:r>
      <w:r>
        <w:rPr/>
        <w:t>partumwomen.</w:t>
      </w:r>
      <w:r>
        <w:rPr>
          <w:spacing w:val="-2"/>
        </w:rPr>
        <w:t> </w:t>
      </w:r>
      <w:r>
        <w:rPr/>
        <w:t>The</w:t>
      </w:r>
      <w:r>
        <w:rPr>
          <w:spacing w:val="-1"/>
        </w:rPr>
        <w:t> </w:t>
      </w:r>
      <w:r>
        <w:rPr/>
        <w:t>cytokineinclude,</w:t>
      </w:r>
      <w:r>
        <w:rPr>
          <w:spacing w:val="-2"/>
        </w:rPr>
        <w:t> </w:t>
      </w:r>
      <w:r>
        <w:rPr/>
        <w:t>TNF</w:t>
      </w:r>
      <w:r>
        <w:rPr>
          <w:rFonts w:ascii="Symbol" w:hAnsi="Symbol"/>
        </w:rPr>
        <w:t></w:t>
      </w:r>
      <w:r>
        <w:rPr/>
        <w:t>, IL-4, IL-6</w:t>
      </w:r>
      <w:r>
        <w:rPr>
          <w:spacing w:val="-2"/>
        </w:rPr>
        <w:t> </w:t>
      </w:r>
      <w:r>
        <w:rPr/>
        <w:t>and IL-10.</w:t>
      </w:r>
      <w:r>
        <w:rPr>
          <w:spacing w:val="-2"/>
        </w:rPr>
        <w:t> </w:t>
      </w:r>
      <w:r>
        <w:rPr/>
        <w:t>The</w:t>
      </w:r>
      <w:r>
        <w:rPr>
          <w:spacing w:val="-4"/>
        </w:rPr>
        <w:t> </w:t>
      </w:r>
      <w:r>
        <w:rPr/>
        <w:t>values</w:t>
      </w:r>
      <w:r>
        <w:rPr>
          <w:spacing w:val="-2"/>
        </w:rPr>
        <w:t> </w:t>
      </w:r>
      <w:r>
        <w:rPr/>
        <w:t>were</w:t>
      </w:r>
      <w:r>
        <w:rPr>
          <w:spacing w:val="-3"/>
        </w:rPr>
        <w:t> </w:t>
      </w:r>
      <w:r>
        <w:rPr/>
        <w:t>expressed as mean</w:t>
      </w:r>
      <w:r>
        <w:rPr>
          <w:rFonts w:ascii="Symbol" w:hAnsi="Symbol"/>
        </w:rPr>
        <w:t></w:t>
      </w:r>
      <w:r>
        <w:rPr/>
        <w:t>SD and in pg/ml.</w:t>
      </w:r>
    </w:p>
    <w:p>
      <w:pPr>
        <w:pStyle w:val="BodyText"/>
        <w:spacing w:before="2"/>
      </w:pPr>
    </w:p>
    <w:p>
      <w:pPr>
        <w:pStyle w:val="BodyText"/>
        <w:spacing w:line="480" w:lineRule="auto"/>
        <w:ind w:left="560" w:right="793"/>
        <w:jc w:val="both"/>
      </w:pPr>
      <w:r>
        <w:rPr/>
        <w:t>The</w:t>
      </w:r>
      <w:r>
        <w:rPr>
          <w:spacing w:val="-4"/>
        </w:rPr>
        <w:t> </w:t>
      </w:r>
      <w:r>
        <w:rPr/>
        <w:t>mean</w:t>
      </w:r>
      <w:r>
        <w:rPr>
          <w:rFonts w:ascii="Symbol" w:hAnsi="Symbol"/>
        </w:rPr>
        <w:t></w:t>
      </w:r>
      <w:r>
        <w:rPr/>
        <w:t>SD</w:t>
      </w:r>
      <w:r>
        <w:rPr>
          <w:spacing w:val="-3"/>
        </w:rPr>
        <w:t> </w:t>
      </w:r>
      <w:r>
        <w:rPr/>
        <w:t>(11.71</w:t>
      </w:r>
      <w:r>
        <w:rPr>
          <w:rFonts w:ascii="Symbol" w:hAnsi="Symbol"/>
        </w:rPr>
        <w:t></w:t>
      </w:r>
      <w:r>
        <w:rPr/>
        <w:t>6.55)</w:t>
      </w:r>
      <w:r>
        <w:rPr>
          <w:spacing w:val="-2"/>
        </w:rPr>
        <w:t> </w:t>
      </w:r>
      <w:r>
        <w:rPr/>
        <w:t>of</w:t>
      </w:r>
      <w:r>
        <w:rPr>
          <w:spacing w:val="-1"/>
        </w:rPr>
        <w:t> </w:t>
      </w:r>
      <w:r>
        <w:rPr/>
        <w:t>IFN</w:t>
      </w:r>
      <w:r>
        <w:rPr>
          <w:rFonts w:ascii="Symbol" w:hAnsi="Symbol"/>
        </w:rPr>
        <w:t></w:t>
      </w:r>
      <w:r>
        <w:rPr>
          <w:spacing w:val="-3"/>
        </w:rPr>
        <w:t> </w:t>
      </w:r>
      <w:r>
        <w:rPr/>
        <w:t>for</w:t>
      </w:r>
      <w:r>
        <w:rPr>
          <w:spacing w:val="-2"/>
        </w:rPr>
        <w:t> </w:t>
      </w:r>
      <w:r>
        <w:rPr/>
        <w:t>malaria</w:t>
      </w:r>
      <w:r>
        <w:rPr>
          <w:spacing w:val="-4"/>
        </w:rPr>
        <w:t> </w:t>
      </w:r>
      <w:r>
        <w:rPr/>
        <w:t>infected</w:t>
      </w:r>
      <w:r>
        <w:rPr>
          <w:spacing w:val="-2"/>
        </w:rPr>
        <w:t> </w:t>
      </w:r>
      <w:r>
        <w:rPr/>
        <w:t>post</w:t>
      </w:r>
      <w:r>
        <w:rPr>
          <w:spacing w:val="-2"/>
        </w:rPr>
        <w:t> </w:t>
      </w:r>
      <w:r>
        <w:rPr/>
        <w:t>partum</w:t>
      </w:r>
      <w:r>
        <w:rPr>
          <w:spacing w:val="-2"/>
        </w:rPr>
        <w:t> </w:t>
      </w:r>
      <w:r>
        <w:rPr/>
        <w:t>was significantly</w:t>
      </w:r>
      <w:r>
        <w:rPr>
          <w:spacing w:val="-7"/>
        </w:rPr>
        <w:t> </w:t>
      </w:r>
      <w:r>
        <w:rPr/>
        <w:t>higher (P&lt;0.05) when comparedto 5.58</w:t>
      </w:r>
      <w:r>
        <w:rPr>
          <w:rFonts w:ascii="Symbol" w:hAnsi="Symbol"/>
        </w:rPr>
        <w:t></w:t>
      </w:r>
      <w:r>
        <w:rPr/>
        <w:t>2.86, and 4.69</w:t>
      </w:r>
      <w:r>
        <w:rPr>
          <w:rFonts w:ascii="Symbol" w:hAnsi="Symbol"/>
        </w:rPr>
        <w:t></w:t>
      </w:r>
      <w:r>
        <w:rPr/>
        <w:t>2.68 for uninfected post partum and uninfected non-pregnant women respectively.The mean</w:t>
      </w:r>
      <w:r>
        <w:rPr>
          <w:rFonts w:ascii="Symbol" w:hAnsi="Symbol"/>
        </w:rPr>
        <w:t></w:t>
      </w:r>
      <w:r>
        <w:rPr/>
        <w:t>SD (5.58</w:t>
      </w:r>
      <w:r>
        <w:rPr>
          <w:rFonts w:ascii="Symbol" w:hAnsi="Symbol"/>
        </w:rPr>
        <w:t></w:t>
      </w:r>
      <w:r>
        <w:rPr/>
        <w:t>2.86) of IFNγ for uninfected post partum women was higher than 4.69±2.68 for uninfected non pregnant women but did not show any difference when compared statistically.</w:t>
      </w:r>
    </w:p>
    <w:p>
      <w:pPr>
        <w:pStyle w:val="BodyText"/>
        <w:spacing w:before="1"/>
      </w:pPr>
    </w:p>
    <w:p>
      <w:pPr>
        <w:pStyle w:val="BodyText"/>
        <w:spacing w:line="480" w:lineRule="auto"/>
        <w:ind w:left="560" w:right="791"/>
        <w:jc w:val="both"/>
      </w:pPr>
      <w:r>
        <w:rPr/>
        <w:t>For TNF</w:t>
      </w:r>
      <w:r>
        <w:rPr>
          <w:rFonts w:ascii="Symbol" w:hAnsi="Symbol"/>
        </w:rPr>
        <w:t></w:t>
      </w:r>
      <w:r>
        <w:rPr/>
        <w:t>, the mean</w:t>
      </w:r>
      <w:r>
        <w:rPr>
          <w:rFonts w:ascii="Symbol" w:hAnsi="Symbol"/>
        </w:rPr>
        <w:t></w:t>
      </w:r>
      <w:r>
        <w:rPr/>
        <w:t>SD (19.35</w:t>
      </w:r>
      <w:r>
        <w:rPr>
          <w:rFonts w:ascii="Symbol" w:hAnsi="Symbol"/>
        </w:rPr>
        <w:t></w:t>
      </w:r>
      <w:r>
        <w:rPr/>
        <w:t>10.94) for malaria infected post partum was significantly higher (P&lt;0.05) when compared with 12.36</w:t>
      </w:r>
      <w:r>
        <w:rPr>
          <w:rFonts w:ascii="Symbol" w:hAnsi="Symbol"/>
        </w:rPr>
        <w:t></w:t>
      </w:r>
      <w:r>
        <w:rPr/>
        <w:t>6.81 and 4.66</w:t>
      </w:r>
      <w:r>
        <w:rPr>
          <w:rFonts w:ascii="Symbol" w:hAnsi="Symbol"/>
        </w:rPr>
        <w:t></w:t>
      </w:r>
      <w:r>
        <w:rPr/>
        <w:t>0.78 for uninfected post partum and uninfected non-pregnant women respectively.Again, the mean</w:t>
      </w:r>
      <w:r>
        <w:rPr>
          <w:rFonts w:ascii="Symbol" w:hAnsi="Symbol"/>
        </w:rPr>
        <w:t></w:t>
      </w:r>
      <w:r>
        <w:rPr/>
        <w:t>SD (12.36</w:t>
      </w:r>
      <w:r>
        <w:rPr>
          <w:rFonts w:ascii="Symbol" w:hAnsi="Symbol"/>
        </w:rPr>
        <w:t></w:t>
      </w:r>
      <w:r>
        <w:rPr/>
        <w:t>6.81) for uninfected</w:t>
      </w:r>
      <w:r>
        <w:rPr>
          <w:spacing w:val="24"/>
        </w:rPr>
        <w:t> </w:t>
      </w:r>
      <w:r>
        <w:rPr/>
        <w:t>post</w:t>
      </w:r>
      <w:r>
        <w:rPr>
          <w:spacing w:val="28"/>
        </w:rPr>
        <w:t> </w:t>
      </w:r>
      <w:r>
        <w:rPr/>
        <w:t>partum</w:t>
      </w:r>
      <w:r>
        <w:rPr>
          <w:spacing w:val="28"/>
        </w:rPr>
        <w:t> </w:t>
      </w:r>
      <w:r>
        <w:rPr/>
        <w:t>women</w:t>
      </w:r>
      <w:r>
        <w:rPr>
          <w:spacing w:val="28"/>
        </w:rPr>
        <w:t> </w:t>
      </w:r>
      <w:r>
        <w:rPr/>
        <w:t>and</w:t>
      </w:r>
      <w:r>
        <w:rPr>
          <w:spacing w:val="27"/>
        </w:rPr>
        <w:t> </w:t>
      </w:r>
      <w:r>
        <w:rPr/>
        <w:t>was</w:t>
      </w:r>
      <w:r>
        <w:rPr>
          <w:spacing w:val="27"/>
        </w:rPr>
        <w:t> </w:t>
      </w:r>
      <w:r>
        <w:rPr/>
        <w:t>significantly</w:t>
      </w:r>
      <w:r>
        <w:rPr>
          <w:spacing w:val="22"/>
        </w:rPr>
        <w:t> </w:t>
      </w:r>
      <w:r>
        <w:rPr/>
        <w:t>higher</w:t>
      </w:r>
      <w:r>
        <w:rPr>
          <w:spacing w:val="26"/>
        </w:rPr>
        <w:t> </w:t>
      </w:r>
      <w:r>
        <w:rPr/>
        <w:t>(p&lt;0.05)</w:t>
      </w:r>
      <w:r>
        <w:rPr>
          <w:spacing w:val="26"/>
        </w:rPr>
        <w:t> </w:t>
      </w:r>
      <w:r>
        <w:rPr/>
        <w:t>when</w:t>
      </w:r>
      <w:r>
        <w:rPr>
          <w:spacing w:val="27"/>
        </w:rPr>
        <w:t> </w:t>
      </w:r>
      <w:r>
        <w:rPr/>
        <w:t>compared</w:t>
      </w:r>
      <w:r>
        <w:rPr>
          <w:spacing w:val="27"/>
        </w:rPr>
        <w:t> </w:t>
      </w:r>
      <w:r>
        <w:rPr>
          <w:spacing w:val="-4"/>
        </w:rPr>
        <w:t>with</w:t>
      </w:r>
    </w:p>
    <w:p>
      <w:pPr>
        <w:pStyle w:val="BodyText"/>
        <w:ind w:left="560"/>
        <w:jc w:val="both"/>
      </w:pPr>
      <w:r>
        <w:rPr/>
        <w:t>4.66</w:t>
      </w:r>
      <w:r>
        <w:rPr>
          <w:rFonts w:ascii="Symbol" w:hAnsi="Symbol"/>
        </w:rPr>
        <w:t></w:t>
      </w:r>
      <w:r>
        <w:rPr/>
        <w:t>0.78</w:t>
      </w:r>
      <w:r>
        <w:rPr>
          <w:spacing w:val="-2"/>
        </w:rPr>
        <w:t> </w:t>
      </w:r>
      <w:r>
        <w:rPr/>
        <w:t>for</w:t>
      </w:r>
      <w:r>
        <w:rPr>
          <w:spacing w:val="-2"/>
        </w:rPr>
        <w:t> </w:t>
      </w:r>
      <w:r>
        <w:rPr/>
        <w:t>uninfected non-pregnant</w:t>
      </w:r>
      <w:r>
        <w:rPr>
          <w:spacing w:val="-1"/>
        </w:rPr>
        <w:t> </w:t>
      </w:r>
      <w:r>
        <w:rPr>
          <w:spacing w:val="-2"/>
        </w:rPr>
        <w:t>women.</w:t>
      </w:r>
    </w:p>
    <w:p>
      <w:pPr>
        <w:pStyle w:val="BodyText"/>
      </w:pPr>
    </w:p>
    <w:p>
      <w:pPr>
        <w:pStyle w:val="BodyText"/>
        <w:spacing w:before="18"/>
      </w:pPr>
    </w:p>
    <w:p>
      <w:pPr>
        <w:pStyle w:val="BodyText"/>
        <w:spacing w:line="480" w:lineRule="auto"/>
        <w:ind w:left="560" w:right="791"/>
        <w:jc w:val="both"/>
      </w:pPr>
      <w:r>
        <w:rPr/>
        <w:t>For IL-4, the mean</w:t>
      </w:r>
      <w:r>
        <w:rPr>
          <w:rFonts w:ascii="Symbol" w:hAnsi="Symbol"/>
        </w:rPr>
        <w:t></w:t>
      </w:r>
      <w:r>
        <w:rPr/>
        <w:t>SD (14.86</w:t>
      </w:r>
      <w:r>
        <w:rPr>
          <w:rFonts w:ascii="Symbol" w:hAnsi="Symbol"/>
        </w:rPr>
        <w:t></w:t>
      </w:r>
      <w:r>
        <w:rPr/>
        <w:t>6.37) for infected post partum womenwas significantly higher(P&lt;0.05) when compared with 2.13</w:t>
      </w:r>
      <w:r>
        <w:rPr>
          <w:rFonts w:ascii="Symbol" w:hAnsi="Symbol"/>
        </w:rPr>
        <w:t></w:t>
      </w:r>
      <w:r>
        <w:rPr/>
        <w:t>0.36 for uninfected non-pregnant women but showed no significant difference P&gt;0.05 with 12.03</w:t>
      </w:r>
      <w:r>
        <w:rPr>
          <w:rFonts w:ascii="Symbol" w:hAnsi="Symbol"/>
        </w:rPr>
        <w:t></w:t>
      </w:r>
      <w:r>
        <w:rPr/>
        <w:t>5.01 for the uninfected post partum women. Also the mean</w:t>
      </w:r>
      <w:r>
        <w:rPr>
          <w:rFonts w:ascii="Symbol" w:hAnsi="Symbol"/>
        </w:rPr>
        <w:t></w:t>
      </w:r>
      <w:r>
        <w:rPr/>
        <w:t>SD (12.03</w:t>
      </w:r>
      <w:r>
        <w:rPr>
          <w:rFonts w:ascii="Symbol" w:hAnsi="Symbol"/>
        </w:rPr>
        <w:t></w:t>
      </w:r>
      <w:r>
        <w:rPr/>
        <w:t>5.01) for uninfected post partum women was</w:t>
      </w:r>
      <w:r>
        <w:rPr>
          <w:spacing w:val="80"/>
        </w:rPr>
        <w:t> </w:t>
      </w:r>
      <w:r>
        <w:rPr/>
        <w:t>significantly higher (P&lt;0.05) on comparison with 2.13</w:t>
      </w:r>
      <w:r>
        <w:rPr>
          <w:rFonts w:ascii="Symbol" w:hAnsi="Symbol"/>
        </w:rPr>
        <w:t></w:t>
      </w:r>
      <w:r>
        <w:rPr/>
        <w:t>0.36 for uninfected non pregnant women respectively.</w:t>
      </w:r>
    </w:p>
    <w:p>
      <w:pPr>
        <w:pStyle w:val="BodyText"/>
        <w:spacing w:before="1"/>
      </w:pPr>
    </w:p>
    <w:p>
      <w:pPr>
        <w:pStyle w:val="BodyText"/>
        <w:spacing w:line="480" w:lineRule="auto"/>
        <w:ind w:left="560" w:right="795"/>
        <w:jc w:val="both"/>
      </w:pPr>
      <w:r>
        <w:rPr/>
        <w:t>For IL-6, the mean</w:t>
      </w:r>
      <w:r>
        <w:rPr>
          <w:rFonts w:ascii="Symbol" w:hAnsi="Symbol"/>
        </w:rPr>
        <w:t></w:t>
      </w:r>
      <w:r>
        <w:rPr/>
        <w:t>SD(34.27</w:t>
      </w:r>
      <w:r>
        <w:rPr>
          <w:rFonts w:ascii="Symbol" w:hAnsi="Symbol"/>
        </w:rPr>
        <w:t></w:t>
      </w:r>
      <w:r>
        <w:rPr/>
        <w:t>13.78) for malaria infected post partum women was higher</w:t>
      </w:r>
      <w:r>
        <w:rPr>
          <w:spacing w:val="40"/>
        </w:rPr>
        <w:t> </w:t>
      </w:r>
      <w:r>
        <w:rPr/>
        <w:t>and showedno significant difference (P&gt;0.05) when compared with 26.99</w:t>
      </w:r>
      <w:r>
        <w:rPr>
          <w:rFonts w:ascii="Symbol" w:hAnsi="Symbol"/>
        </w:rPr>
        <w:t></w:t>
      </w:r>
      <w:r>
        <w:rPr/>
        <w:t>12.65 for malaria uninfected</w:t>
      </w:r>
      <w:r>
        <w:rPr>
          <w:spacing w:val="68"/>
        </w:rPr>
        <w:t> </w:t>
      </w:r>
      <w:r>
        <w:rPr/>
        <w:t>post</w:t>
      </w:r>
      <w:r>
        <w:rPr>
          <w:spacing w:val="73"/>
        </w:rPr>
        <w:t> </w:t>
      </w:r>
      <w:r>
        <w:rPr/>
        <w:t>partum</w:t>
      </w:r>
      <w:r>
        <w:rPr>
          <w:spacing w:val="75"/>
        </w:rPr>
        <w:t> </w:t>
      </w:r>
      <w:r>
        <w:rPr/>
        <w:t>women</w:t>
      </w:r>
      <w:r>
        <w:rPr>
          <w:spacing w:val="74"/>
        </w:rPr>
        <w:t> </w:t>
      </w:r>
      <w:r>
        <w:rPr/>
        <w:t>and</w:t>
      </w:r>
      <w:r>
        <w:rPr>
          <w:spacing w:val="70"/>
        </w:rPr>
        <w:t> </w:t>
      </w:r>
      <w:r>
        <w:rPr/>
        <w:t>significantly</w:t>
      </w:r>
      <w:r>
        <w:rPr>
          <w:spacing w:val="65"/>
        </w:rPr>
        <w:t> </w:t>
      </w:r>
      <w:r>
        <w:rPr/>
        <w:t>higher</w:t>
      </w:r>
      <w:r>
        <w:rPr>
          <w:spacing w:val="72"/>
        </w:rPr>
        <w:t> </w:t>
      </w:r>
      <w:r>
        <w:rPr/>
        <w:t>(P&lt;0.05)</w:t>
      </w:r>
      <w:r>
        <w:rPr>
          <w:spacing w:val="72"/>
        </w:rPr>
        <w:t> </w:t>
      </w:r>
      <w:r>
        <w:rPr/>
        <w:t>when</w:t>
      </w:r>
      <w:r>
        <w:rPr>
          <w:spacing w:val="70"/>
        </w:rPr>
        <w:t> </w:t>
      </w:r>
      <w:r>
        <w:rPr/>
        <w:t>compared</w:t>
      </w:r>
      <w:r>
        <w:rPr>
          <w:spacing w:val="74"/>
        </w:rPr>
        <w:t> </w:t>
      </w:r>
      <w:r>
        <w:rPr>
          <w:spacing w:val="-4"/>
        </w:rPr>
        <w:t>with</w:t>
      </w:r>
    </w:p>
    <w:p>
      <w:pPr>
        <w:pStyle w:val="BodyText"/>
        <w:ind w:left="560"/>
        <w:jc w:val="both"/>
      </w:pPr>
      <w:r>
        <w:rPr/>
        <w:t>23.42</w:t>
      </w:r>
      <w:r>
        <w:rPr>
          <w:rFonts w:ascii="Symbol" w:hAnsi="Symbol"/>
        </w:rPr>
        <w:t></w:t>
      </w:r>
      <w:r>
        <w:rPr/>
        <w:t>0.45</w:t>
      </w:r>
      <w:r>
        <w:rPr>
          <w:spacing w:val="47"/>
        </w:rPr>
        <w:t> </w:t>
      </w:r>
      <w:r>
        <w:rPr/>
        <w:t>and</w:t>
      </w:r>
      <w:r>
        <w:rPr>
          <w:spacing w:val="50"/>
        </w:rPr>
        <w:t> </w:t>
      </w:r>
      <w:r>
        <w:rPr/>
        <w:t>2.34</w:t>
      </w:r>
      <w:r>
        <w:rPr>
          <w:rFonts w:ascii="Symbol" w:hAnsi="Symbol"/>
        </w:rPr>
        <w:t></w:t>
      </w:r>
      <w:r>
        <w:rPr/>
        <w:t>0.58</w:t>
      </w:r>
      <w:r>
        <w:rPr>
          <w:spacing w:val="51"/>
        </w:rPr>
        <w:t> </w:t>
      </w:r>
      <w:r>
        <w:rPr/>
        <w:t>for</w:t>
      </w:r>
      <w:r>
        <w:rPr>
          <w:spacing w:val="47"/>
        </w:rPr>
        <w:t> </w:t>
      </w:r>
      <w:r>
        <w:rPr/>
        <w:t>infected</w:t>
      </w:r>
      <w:r>
        <w:rPr>
          <w:spacing w:val="51"/>
        </w:rPr>
        <w:t> </w:t>
      </w:r>
      <w:r>
        <w:rPr/>
        <w:t>and</w:t>
      </w:r>
      <w:r>
        <w:rPr>
          <w:spacing w:val="52"/>
        </w:rPr>
        <w:t> </w:t>
      </w:r>
      <w:r>
        <w:rPr/>
        <w:t>uninfected</w:t>
      </w:r>
      <w:r>
        <w:rPr>
          <w:spacing w:val="50"/>
        </w:rPr>
        <w:t> </w:t>
      </w:r>
      <w:r>
        <w:rPr/>
        <w:t>non-pregnant</w:t>
      </w:r>
      <w:r>
        <w:rPr>
          <w:spacing w:val="50"/>
        </w:rPr>
        <w:t> </w:t>
      </w:r>
      <w:r>
        <w:rPr/>
        <w:t>women</w:t>
      </w:r>
      <w:r>
        <w:rPr>
          <w:spacing w:val="51"/>
        </w:rPr>
        <w:t> </w:t>
      </w:r>
      <w:r>
        <w:rPr>
          <w:spacing w:val="-2"/>
        </w:rPr>
        <w:t>respectively.</w:t>
      </w:r>
    </w:p>
    <w:p>
      <w:pPr>
        <w:spacing w:after="0"/>
        <w:jc w:val="both"/>
        <w:sectPr>
          <w:pgSz w:w="11910" w:h="16840"/>
          <w:pgMar w:header="0" w:footer="1067" w:top="1060" w:bottom="1260" w:left="880" w:right="640"/>
        </w:sectPr>
      </w:pPr>
    </w:p>
    <w:p>
      <w:pPr>
        <w:pStyle w:val="BodyText"/>
        <w:spacing w:line="480" w:lineRule="auto" w:before="72"/>
        <w:ind w:left="560" w:right="793"/>
        <w:jc w:val="both"/>
      </w:pPr>
      <w:r>
        <w:rPr/>
        <w:t>Also, the mean</w:t>
      </w:r>
      <w:r>
        <w:rPr>
          <w:rFonts w:ascii="Symbol" w:hAnsi="Symbol"/>
        </w:rPr>
        <w:t></w:t>
      </w:r>
      <w:r>
        <w:rPr/>
        <w:t>SD (26.99</w:t>
      </w:r>
      <w:r>
        <w:rPr>
          <w:rFonts w:ascii="Symbol" w:hAnsi="Symbol"/>
        </w:rPr>
        <w:t></w:t>
      </w:r>
      <w:r>
        <w:rPr/>
        <w:t>12.65) for uninfected post partum women showed significantly higher value (P&lt;0.05) when compared with 2.34</w:t>
      </w:r>
      <w:r>
        <w:rPr>
          <w:rFonts w:ascii="Symbol" w:hAnsi="Symbol"/>
        </w:rPr>
        <w:t></w:t>
      </w:r>
      <w:r>
        <w:rPr/>
        <w:t>0.58 for uninfected non-pregnant women.With IL-10, the mean</w:t>
      </w:r>
      <w:r>
        <w:rPr>
          <w:rFonts w:ascii="Symbol" w:hAnsi="Symbol"/>
        </w:rPr>
        <w:t></w:t>
      </w:r>
      <w:r>
        <w:rPr/>
        <w:t>SD (55.57</w:t>
      </w:r>
      <w:r>
        <w:rPr>
          <w:rFonts w:ascii="Symbol" w:hAnsi="Symbol"/>
        </w:rPr>
        <w:t></w:t>
      </w:r>
      <w:r>
        <w:rPr/>
        <w:t>43.13) for malaria infected post partum women</w:t>
      </w:r>
      <w:r>
        <w:rPr>
          <w:spacing w:val="40"/>
        </w:rPr>
        <w:t> </w:t>
      </w:r>
      <w:r>
        <w:rPr/>
        <w:t>was significantly higher (P&lt;0.05) when compared with 16.60</w:t>
      </w:r>
      <w:r>
        <w:rPr>
          <w:rFonts w:ascii="Symbol" w:hAnsi="Symbol"/>
        </w:rPr>
        <w:t></w:t>
      </w:r>
      <w:r>
        <w:rPr/>
        <w:t>4.88 and 6.45</w:t>
      </w:r>
      <w:r>
        <w:rPr>
          <w:rFonts w:ascii="Symbol" w:hAnsi="Symbol"/>
        </w:rPr>
        <w:t></w:t>
      </w:r>
      <w:r>
        <w:rPr/>
        <w:t>4.13 for uninfected post partum and uninfected non-pregnant women. Again, the mean</w:t>
      </w:r>
      <w:r>
        <w:rPr>
          <w:rFonts w:ascii="Symbol" w:hAnsi="Symbol"/>
        </w:rPr>
        <w:t></w:t>
      </w:r>
      <w:r>
        <w:rPr/>
        <w:t>SD (16.60</w:t>
      </w:r>
      <w:r>
        <w:rPr>
          <w:rFonts w:ascii="Symbol" w:hAnsi="Symbol"/>
        </w:rPr>
        <w:t></w:t>
      </w:r>
      <w:r>
        <w:rPr/>
        <w:t>4.88) for uninfected post partum women showeda higher stignificant value (P&lt;0.05)compared with 6.45</w:t>
      </w:r>
      <w:r>
        <w:rPr>
          <w:rFonts w:ascii="Symbol" w:hAnsi="Symbol"/>
        </w:rPr>
        <w:t></w:t>
      </w:r>
      <w:r>
        <w:rPr/>
        <w:t>4.15 for the uninfected non-pregnant women.</w:t>
      </w:r>
    </w:p>
    <w:p>
      <w:pPr>
        <w:spacing w:after="0" w:line="480" w:lineRule="auto"/>
        <w:jc w:val="both"/>
        <w:sectPr>
          <w:pgSz w:w="11910" w:h="16840"/>
          <w:pgMar w:header="0" w:footer="1067" w:top="1060" w:bottom="1260" w:left="880" w:right="640"/>
        </w:sectPr>
      </w:pPr>
    </w:p>
    <w:p>
      <w:pPr>
        <w:spacing w:line="480" w:lineRule="auto" w:before="77"/>
        <w:ind w:left="1911" w:right="795" w:hanging="1352"/>
        <w:jc w:val="left"/>
        <w:rPr>
          <w:b/>
          <w:sz w:val="22"/>
        </w:rPr>
      </w:pPr>
      <w:r>
        <w:rPr>
          <w:b/>
          <w:sz w:val="22"/>
        </w:rPr>
        <w:t>TABLE</w:t>
      </w:r>
      <w:r>
        <w:rPr>
          <w:b/>
          <w:spacing w:val="-5"/>
          <w:sz w:val="22"/>
        </w:rPr>
        <w:t> </w:t>
      </w:r>
      <w:r>
        <w:rPr>
          <w:b/>
          <w:sz w:val="22"/>
        </w:rPr>
        <w:t>4.2:</w:t>
      </w:r>
      <w:r>
        <w:rPr>
          <w:b/>
          <w:spacing w:val="-4"/>
          <w:sz w:val="22"/>
        </w:rPr>
        <w:t> </w:t>
      </w:r>
      <w:r>
        <w:rPr>
          <w:b/>
          <w:sz w:val="22"/>
        </w:rPr>
        <w:t>COMPARISON</w:t>
      </w:r>
      <w:r>
        <w:rPr>
          <w:b/>
          <w:spacing w:val="-4"/>
          <w:sz w:val="22"/>
        </w:rPr>
        <w:t> </w:t>
      </w:r>
      <w:r>
        <w:rPr>
          <w:b/>
          <w:sz w:val="22"/>
        </w:rPr>
        <w:t>OF</w:t>
      </w:r>
      <w:r>
        <w:rPr>
          <w:b/>
          <w:spacing w:val="-5"/>
          <w:sz w:val="22"/>
        </w:rPr>
        <w:t> </w:t>
      </w:r>
      <w:r>
        <w:rPr>
          <w:b/>
          <w:sz w:val="22"/>
        </w:rPr>
        <w:t>SOME</w:t>
      </w:r>
      <w:r>
        <w:rPr>
          <w:b/>
          <w:spacing w:val="-5"/>
          <w:sz w:val="22"/>
        </w:rPr>
        <w:t> </w:t>
      </w:r>
      <w:r>
        <w:rPr>
          <w:b/>
          <w:sz w:val="22"/>
        </w:rPr>
        <w:t>CYTOKINE</w:t>
      </w:r>
      <w:r>
        <w:rPr>
          <w:b/>
          <w:spacing w:val="-5"/>
          <w:sz w:val="22"/>
        </w:rPr>
        <w:t> </w:t>
      </w:r>
      <w:r>
        <w:rPr>
          <w:b/>
          <w:sz w:val="22"/>
        </w:rPr>
        <w:t>LEVELS</w:t>
      </w:r>
      <w:r>
        <w:rPr>
          <w:b/>
          <w:spacing w:val="-4"/>
          <w:sz w:val="22"/>
        </w:rPr>
        <w:t> </w:t>
      </w:r>
      <w:r>
        <w:rPr>
          <w:b/>
          <w:sz w:val="22"/>
        </w:rPr>
        <w:t>OF</w:t>
      </w:r>
      <w:r>
        <w:rPr>
          <w:b/>
          <w:spacing w:val="-4"/>
          <w:sz w:val="22"/>
        </w:rPr>
        <w:t> </w:t>
      </w:r>
      <w:r>
        <w:rPr>
          <w:b/>
          <w:sz w:val="22"/>
        </w:rPr>
        <w:t>MALARIA</w:t>
      </w:r>
      <w:r>
        <w:rPr>
          <w:b/>
          <w:spacing w:val="-4"/>
          <w:sz w:val="22"/>
        </w:rPr>
        <w:t> </w:t>
      </w:r>
      <w:r>
        <w:rPr>
          <w:b/>
          <w:sz w:val="22"/>
        </w:rPr>
        <w:t>INFECTED POST PARTUM WOMEN</w:t>
      </w:r>
    </w:p>
    <w:p>
      <w:pPr>
        <w:pStyle w:val="BodyText"/>
        <w:spacing w:before="48"/>
        <w:rPr>
          <w:b/>
          <w:sz w:val="20"/>
        </w:rPr>
      </w:pPr>
    </w:p>
    <w:tbl>
      <w:tblPr>
        <w:tblW w:w="0" w:type="auto"/>
        <w:jc w:val="left"/>
        <w:tblInd w:w="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2"/>
        <w:gridCol w:w="1490"/>
        <w:gridCol w:w="1581"/>
        <w:gridCol w:w="1614"/>
        <w:gridCol w:w="1439"/>
        <w:gridCol w:w="1454"/>
      </w:tblGrid>
      <w:tr>
        <w:trPr>
          <w:trHeight w:val="421" w:hRule="atLeast"/>
        </w:trPr>
        <w:tc>
          <w:tcPr>
            <w:tcW w:w="1502" w:type="dxa"/>
            <w:tcBorders>
              <w:top w:val="single" w:sz="8" w:space="0" w:color="000000"/>
              <w:bottom w:val="single" w:sz="4" w:space="0" w:color="000000"/>
            </w:tcBorders>
          </w:tcPr>
          <w:p>
            <w:pPr>
              <w:pStyle w:val="TableParagraph"/>
              <w:spacing w:line="251" w:lineRule="exact"/>
              <w:ind w:left="46"/>
              <w:rPr>
                <w:b/>
                <w:sz w:val="22"/>
              </w:rPr>
            </w:pPr>
            <w:r>
              <w:rPr>
                <w:b/>
                <w:spacing w:val="-2"/>
                <w:sz w:val="22"/>
              </w:rPr>
              <w:t>GROUPS</w:t>
            </w:r>
          </w:p>
        </w:tc>
        <w:tc>
          <w:tcPr>
            <w:tcW w:w="1490" w:type="dxa"/>
            <w:tcBorders>
              <w:top w:val="single" w:sz="8" w:space="0" w:color="000000"/>
              <w:bottom w:val="single" w:sz="4" w:space="0" w:color="000000"/>
            </w:tcBorders>
          </w:tcPr>
          <w:p>
            <w:pPr>
              <w:pStyle w:val="TableParagraph"/>
              <w:jc w:val="left"/>
              <w:rPr>
                <w:sz w:val="20"/>
              </w:rPr>
            </w:pPr>
          </w:p>
        </w:tc>
        <w:tc>
          <w:tcPr>
            <w:tcW w:w="3195" w:type="dxa"/>
            <w:gridSpan w:val="2"/>
            <w:tcBorders>
              <w:top w:val="single" w:sz="8" w:space="0" w:color="000000"/>
              <w:bottom w:val="single" w:sz="4" w:space="0" w:color="000000"/>
            </w:tcBorders>
          </w:tcPr>
          <w:p>
            <w:pPr>
              <w:pStyle w:val="TableParagraph"/>
              <w:spacing w:line="251" w:lineRule="exact"/>
              <w:ind w:left="1474"/>
              <w:jc w:val="left"/>
              <w:rPr>
                <w:b/>
                <w:sz w:val="22"/>
              </w:rPr>
            </w:pPr>
            <w:r>
              <w:rPr>
                <w:b/>
                <w:sz w:val="22"/>
              </w:rPr>
              <w:t>Cytokines</w:t>
            </w:r>
            <w:r>
              <w:rPr>
                <w:b/>
                <w:spacing w:val="-4"/>
                <w:sz w:val="22"/>
              </w:rPr>
              <w:t> </w:t>
            </w:r>
            <w:r>
              <w:rPr>
                <w:b/>
                <w:spacing w:val="-2"/>
                <w:sz w:val="22"/>
              </w:rPr>
              <w:t>(pg/ml)</w:t>
            </w:r>
          </w:p>
        </w:tc>
        <w:tc>
          <w:tcPr>
            <w:tcW w:w="1439" w:type="dxa"/>
            <w:tcBorders>
              <w:top w:val="single" w:sz="8" w:space="0" w:color="000000"/>
              <w:bottom w:val="single" w:sz="4" w:space="0" w:color="000000"/>
            </w:tcBorders>
          </w:tcPr>
          <w:p>
            <w:pPr>
              <w:pStyle w:val="TableParagraph"/>
              <w:jc w:val="left"/>
              <w:rPr>
                <w:sz w:val="20"/>
              </w:rPr>
            </w:pPr>
          </w:p>
        </w:tc>
        <w:tc>
          <w:tcPr>
            <w:tcW w:w="1454" w:type="dxa"/>
            <w:tcBorders>
              <w:top w:val="single" w:sz="8" w:space="0" w:color="000000"/>
              <w:bottom w:val="single" w:sz="4" w:space="0" w:color="000000"/>
            </w:tcBorders>
          </w:tcPr>
          <w:p>
            <w:pPr>
              <w:pStyle w:val="TableParagraph"/>
              <w:jc w:val="left"/>
              <w:rPr>
                <w:sz w:val="20"/>
              </w:rPr>
            </w:pPr>
          </w:p>
        </w:tc>
      </w:tr>
      <w:tr>
        <w:trPr>
          <w:trHeight w:val="357" w:hRule="atLeast"/>
        </w:trPr>
        <w:tc>
          <w:tcPr>
            <w:tcW w:w="1502" w:type="dxa"/>
            <w:tcBorders>
              <w:top w:val="single" w:sz="4" w:space="0" w:color="000000"/>
              <w:bottom w:val="single" w:sz="4" w:space="0" w:color="000000"/>
            </w:tcBorders>
          </w:tcPr>
          <w:p>
            <w:pPr>
              <w:pStyle w:val="TableParagraph"/>
              <w:jc w:val="left"/>
              <w:rPr>
                <w:sz w:val="20"/>
              </w:rPr>
            </w:pPr>
          </w:p>
        </w:tc>
        <w:tc>
          <w:tcPr>
            <w:tcW w:w="1490" w:type="dxa"/>
            <w:tcBorders>
              <w:top w:val="single" w:sz="4" w:space="0" w:color="000000"/>
              <w:bottom w:val="single" w:sz="4" w:space="0" w:color="000000"/>
            </w:tcBorders>
          </w:tcPr>
          <w:p>
            <w:pPr>
              <w:pStyle w:val="TableParagraph"/>
              <w:spacing w:line="251" w:lineRule="exact"/>
              <w:ind w:left="20" w:right="2"/>
              <w:rPr>
                <w:b/>
                <w:sz w:val="22"/>
              </w:rPr>
            </w:pPr>
            <w:r>
              <w:rPr>
                <w:b/>
                <w:spacing w:val="-2"/>
                <w:sz w:val="22"/>
              </w:rPr>
              <w:t>IFN-</w:t>
            </w:r>
            <w:r>
              <w:rPr>
                <w:b/>
                <w:spacing w:val="-10"/>
                <w:sz w:val="22"/>
              </w:rPr>
              <w:t>γ</w:t>
            </w:r>
          </w:p>
        </w:tc>
        <w:tc>
          <w:tcPr>
            <w:tcW w:w="1581" w:type="dxa"/>
            <w:tcBorders>
              <w:top w:val="single" w:sz="4" w:space="0" w:color="000000"/>
              <w:bottom w:val="single" w:sz="4" w:space="0" w:color="000000"/>
            </w:tcBorders>
          </w:tcPr>
          <w:p>
            <w:pPr>
              <w:pStyle w:val="TableParagraph"/>
              <w:spacing w:line="251" w:lineRule="exact"/>
              <w:ind w:left="1" w:right="1"/>
              <w:rPr>
                <w:b/>
                <w:sz w:val="22"/>
              </w:rPr>
            </w:pPr>
            <w:r>
              <w:rPr>
                <w:b/>
                <w:spacing w:val="-2"/>
                <w:sz w:val="22"/>
              </w:rPr>
              <w:t>TNF-</w:t>
            </w:r>
            <w:r>
              <w:rPr>
                <w:b/>
                <w:spacing w:val="-10"/>
                <w:sz w:val="22"/>
              </w:rPr>
              <w:t>α</w:t>
            </w:r>
          </w:p>
        </w:tc>
        <w:tc>
          <w:tcPr>
            <w:tcW w:w="1614" w:type="dxa"/>
            <w:tcBorders>
              <w:top w:val="single" w:sz="4" w:space="0" w:color="000000"/>
              <w:bottom w:val="single" w:sz="4" w:space="0" w:color="000000"/>
            </w:tcBorders>
          </w:tcPr>
          <w:p>
            <w:pPr>
              <w:pStyle w:val="TableParagraph"/>
              <w:spacing w:line="251" w:lineRule="exact"/>
              <w:ind w:left="525"/>
              <w:jc w:val="left"/>
              <w:rPr>
                <w:b/>
                <w:sz w:val="22"/>
              </w:rPr>
            </w:pPr>
            <w:r>
              <w:rPr>
                <w:b/>
                <w:spacing w:val="-2"/>
                <w:sz w:val="22"/>
              </w:rPr>
              <w:t>IL-</w:t>
            </w:r>
            <w:r>
              <w:rPr>
                <w:b/>
                <w:spacing w:val="-12"/>
                <w:sz w:val="22"/>
              </w:rPr>
              <w:t>4</w:t>
            </w:r>
          </w:p>
        </w:tc>
        <w:tc>
          <w:tcPr>
            <w:tcW w:w="1439" w:type="dxa"/>
            <w:tcBorders>
              <w:top w:val="single" w:sz="4" w:space="0" w:color="000000"/>
              <w:bottom w:val="single" w:sz="4" w:space="0" w:color="000000"/>
            </w:tcBorders>
          </w:tcPr>
          <w:p>
            <w:pPr>
              <w:pStyle w:val="TableParagraph"/>
              <w:spacing w:line="251" w:lineRule="exact"/>
              <w:ind w:right="143"/>
              <w:rPr>
                <w:b/>
                <w:sz w:val="22"/>
              </w:rPr>
            </w:pPr>
            <w:r>
              <w:rPr>
                <w:b/>
                <w:spacing w:val="-2"/>
                <w:sz w:val="22"/>
              </w:rPr>
              <w:t>IL-</w:t>
            </w:r>
            <w:r>
              <w:rPr>
                <w:b/>
                <w:spacing w:val="-12"/>
                <w:sz w:val="22"/>
              </w:rPr>
              <w:t>6</w:t>
            </w:r>
          </w:p>
        </w:tc>
        <w:tc>
          <w:tcPr>
            <w:tcW w:w="1454" w:type="dxa"/>
            <w:tcBorders>
              <w:top w:val="single" w:sz="4" w:space="0" w:color="000000"/>
              <w:bottom w:val="single" w:sz="4" w:space="0" w:color="000000"/>
            </w:tcBorders>
          </w:tcPr>
          <w:p>
            <w:pPr>
              <w:pStyle w:val="TableParagraph"/>
              <w:spacing w:line="251" w:lineRule="exact"/>
              <w:ind w:left="468"/>
              <w:jc w:val="left"/>
              <w:rPr>
                <w:b/>
                <w:sz w:val="22"/>
              </w:rPr>
            </w:pPr>
            <w:r>
              <w:rPr>
                <w:b/>
                <w:spacing w:val="-2"/>
                <w:sz w:val="22"/>
              </w:rPr>
              <w:t>IL-</w:t>
            </w:r>
            <w:r>
              <w:rPr>
                <w:b/>
                <w:spacing w:val="-7"/>
                <w:sz w:val="22"/>
              </w:rPr>
              <w:t>10</w:t>
            </w:r>
          </w:p>
        </w:tc>
      </w:tr>
      <w:tr>
        <w:trPr>
          <w:trHeight w:val="358" w:hRule="atLeast"/>
        </w:trPr>
        <w:tc>
          <w:tcPr>
            <w:tcW w:w="1502" w:type="dxa"/>
            <w:tcBorders>
              <w:top w:val="single" w:sz="4" w:space="0" w:color="000000"/>
            </w:tcBorders>
          </w:tcPr>
          <w:p>
            <w:pPr>
              <w:pStyle w:val="TableParagraph"/>
              <w:spacing w:line="251" w:lineRule="exact"/>
              <w:ind w:left="46" w:right="2"/>
              <w:rPr>
                <w:b/>
                <w:sz w:val="22"/>
              </w:rPr>
            </w:pPr>
            <w:r>
              <w:rPr>
                <w:b/>
                <w:sz w:val="22"/>
              </w:rPr>
              <w:t>G3 (n</w:t>
            </w:r>
            <w:r>
              <w:rPr>
                <w:b/>
                <w:spacing w:val="-3"/>
                <w:sz w:val="22"/>
              </w:rPr>
              <w:t> </w:t>
            </w:r>
            <w:r>
              <w:rPr>
                <w:b/>
                <w:sz w:val="22"/>
              </w:rPr>
              <w:t>=</w:t>
            </w:r>
            <w:r>
              <w:rPr>
                <w:b/>
                <w:spacing w:val="-1"/>
                <w:sz w:val="22"/>
              </w:rPr>
              <w:t> </w:t>
            </w:r>
            <w:r>
              <w:rPr>
                <w:b/>
                <w:spacing w:val="-5"/>
                <w:sz w:val="22"/>
              </w:rPr>
              <w:t>30)</w:t>
            </w:r>
          </w:p>
        </w:tc>
        <w:tc>
          <w:tcPr>
            <w:tcW w:w="1490" w:type="dxa"/>
            <w:tcBorders>
              <w:top w:val="single" w:sz="4" w:space="0" w:color="000000"/>
            </w:tcBorders>
          </w:tcPr>
          <w:p>
            <w:pPr>
              <w:pStyle w:val="TableParagraph"/>
              <w:spacing w:line="247" w:lineRule="exact"/>
              <w:ind w:left="197"/>
              <w:jc w:val="left"/>
              <w:rPr>
                <w:sz w:val="22"/>
              </w:rPr>
            </w:pPr>
            <w:r>
              <w:rPr>
                <w:sz w:val="22"/>
              </w:rPr>
              <w:t>11.71 ±</w:t>
            </w:r>
            <w:r>
              <w:rPr>
                <w:spacing w:val="-2"/>
                <w:sz w:val="22"/>
              </w:rPr>
              <w:t> </w:t>
            </w:r>
            <w:r>
              <w:rPr>
                <w:spacing w:val="-4"/>
                <w:sz w:val="22"/>
              </w:rPr>
              <w:t>6.55</w:t>
            </w:r>
          </w:p>
        </w:tc>
        <w:tc>
          <w:tcPr>
            <w:tcW w:w="1581" w:type="dxa"/>
            <w:tcBorders>
              <w:top w:val="single" w:sz="4" w:space="0" w:color="000000"/>
            </w:tcBorders>
          </w:tcPr>
          <w:p>
            <w:pPr>
              <w:pStyle w:val="TableParagraph"/>
              <w:spacing w:line="247" w:lineRule="exact"/>
              <w:ind w:left="178"/>
              <w:jc w:val="left"/>
              <w:rPr>
                <w:sz w:val="22"/>
              </w:rPr>
            </w:pPr>
            <w:r>
              <w:rPr>
                <w:sz w:val="22"/>
              </w:rPr>
              <w:t>19.35 ±</w:t>
            </w:r>
            <w:r>
              <w:rPr>
                <w:spacing w:val="-2"/>
                <w:sz w:val="22"/>
              </w:rPr>
              <w:t> 10.94</w:t>
            </w:r>
          </w:p>
        </w:tc>
        <w:tc>
          <w:tcPr>
            <w:tcW w:w="1614" w:type="dxa"/>
            <w:tcBorders>
              <w:top w:val="single" w:sz="4" w:space="0" w:color="000000"/>
            </w:tcBorders>
          </w:tcPr>
          <w:p>
            <w:pPr>
              <w:pStyle w:val="TableParagraph"/>
              <w:spacing w:line="247" w:lineRule="exact"/>
              <w:ind w:right="321"/>
              <w:jc w:val="right"/>
              <w:rPr>
                <w:sz w:val="22"/>
              </w:rPr>
            </w:pPr>
            <w:r>
              <w:rPr>
                <w:sz w:val="22"/>
              </w:rPr>
              <w:t>14.86 ±</w:t>
            </w:r>
            <w:r>
              <w:rPr>
                <w:spacing w:val="-2"/>
                <w:sz w:val="22"/>
              </w:rPr>
              <w:t> </w:t>
            </w:r>
            <w:r>
              <w:rPr>
                <w:spacing w:val="-4"/>
                <w:sz w:val="22"/>
              </w:rPr>
              <w:t>6.37</w:t>
            </w:r>
          </w:p>
        </w:tc>
        <w:tc>
          <w:tcPr>
            <w:tcW w:w="1439" w:type="dxa"/>
            <w:tcBorders>
              <w:top w:val="single" w:sz="4" w:space="0" w:color="000000"/>
            </w:tcBorders>
          </w:tcPr>
          <w:p>
            <w:pPr>
              <w:pStyle w:val="TableParagraph"/>
              <w:spacing w:line="247" w:lineRule="exact"/>
              <w:ind w:left="37"/>
              <w:jc w:val="left"/>
              <w:rPr>
                <w:sz w:val="22"/>
              </w:rPr>
            </w:pPr>
            <w:r>
              <w:rPr>
                <w:sz w:val="22"/>
              </w:rPr>
              <w:t>34.27 ±</w:t>
            </w:r>
            <w:r>
              <w:rPr>
                <w:spacing w:val="-2"/>
                <w:sz w:val="22"/>
              </w:rPr>
              <w:t> 13.78</w:t>
            </w:r>
          </w:p>
        </w:tc>
        <w:tc>
          <w:tcPr>
            <w:tcW w:w="1454" w:type="dxa"/>
            <w:tcBorders>
              <w:top w:val="single" w:sz="4" w:space="0" w:color="000000"/>
            </w:tcBorders>
          </w:tcPr>
          <w:p>
            <w:pPr>
              <w:pStyle w:val="TableParagraph"/>
              <w:spacing w:line="247" w:lineRule="exact"/>
              <w:ind w:left="211"/>
              <w:jc w:val="left"/>
              <w:rPr>
                <w:sz w:val="22"/>
              </w:rPr>
            </w:pPr>
            <w:r>
              <w:rPr>
                <w:sz w:val="22"/>
              </w:rPr>
              <w:t>55.57 ±</w:t>
            </w:r>
            <w:r>
              <w:rPr>
                <w:spacing w:val="-2"/>
                <w:sz w:val="22"/>
              </w:rPr>
              <w:t> 43.13</w:t>
            </w:r>
          </w:p>
        </w:tc>
      </w:tr>
      <w:tr>
        <w:trPr>
          <w:trHeight w:val="478" w:hRule="atLeast"/>
        </w:trPr>
        <w:tc>
          <w:tcPr>
            <w:tcW w:w="1502" w:type="dxa"/>
          </w:tcPr>
          <w:p>
            <w:pPr>
              <w:pStyle w:val="TableParagraph"/>
              <w:spacing w:before="103"/>
              <w:ind w:left="46" w:right="2"/>
              <w:rPr>
                <w:b/>
                <w:sz w:val="22"/>
              </w:rPr>
            </w:pPr>
            <w:r>
              <w:rPr>
                <w:b/>
                <w:sz w:val="22"/>
              </w:rPr>
              <w:t>G4 (n</w:t>
            </w:r>
            <w:r>
              <w:rPr>
                <w:b/>
                <w:spacing w:val="-3"/>
                <w:sz w:val="22"/>
              </w:rPr>
              <w:t> </w:t>
            </w:r>
            <w:r>
              <w:rPr>
                <w:b/>
                <w:sz w:val="22"/>
              </w:rPr>
              <w:t>=</w:t>
            </w:r>
            <w:r>
              <w:rPr>
                <w:b/>
                <w:spacing w:val="-1"/>
                <w:sz w:val="22"/>
              </w:rPr>
              <w:t> </w:t>
            </w:r>
            <w:r>
              <w:rPr>
                <w:b/>
                <w:spacing w:val="-5"/>
                <w:sz w:val="22"/>
              </w:rPr>
              <w:t>20)</w:t>
            </w:r>
          </w:p>
        </w:tc>
        <w:tc>
          <w:tcPr>
            <w:tcW w:w="1490" w:type="dxa"/>
          </w:tcPr>
          <w:p>
            <w:pPr>
              <w:pStyle w:val="TableParagraph"/>
              <w:spacing w:before="98"/>
              <w:ind w:left="252"/>
              <w:jc w:val="left"/>
              <w:rPr>
                <w:sz w:val="22"/>
              </w:rPr>
            </w:pPr>
            <w:r>
              <w:rPr>
                <w:sz w:val="22"/>
              </w:rPr>
              <w:t>5.58 ±</w:t>
            </w:r>
            <w:r>
              <w:rPr>
                <w:spacing w:val="-2"/>
                <w:sz w:val="22"/>
              </w:rPr>
              <w:t> </w:t>
            </w:r>
            <w:r>
              <w:rPr>
                <w:spacing w:val="-4"/>
                <w:sz w:val="22"/>
              </w:rPr>
              <w:t>2.86</w:t>
            </w:r>
          </w:p>
        </w:tc>
        <w:tc>
          <w:tcPr>
            <w:tcW w:w="1581" w:type="dxa"/>
          </w:tcPr>
          <w:p>
            <w:pPr>
              <w:pStyle w:val="TableParagraph"/>
              <w:spacing w:before="98"/>
              <w:ind w:left="234"/>
              <w:jc w:val="left"/>
              <w:rPr>
                <w:sz w:val="22"/>
              </w:rPr>
            </w:pPr>
            <w:r>
              <w:rPr>
                <w:sz w:val="22"/>
              </w:rPr>
              <w:t>12.36 ±</w:t>
            </w:r>
            <w:r>
              <w:rPr>
                <w:spacing w:val="-2"/>
                <w:sz w:val="22"/>
              </w:rPr>
              <w:t> </w:t>
            </w:r>
            <w:r>
              <w:rPr>
                <w:spacing w:val="-4"/>
                <w:sz w:val="22"/>
              </w:rPr>
              <w:t>6.81</w:t>
            </w:r>
          </w:p>
        </w:tc>
        <w:tc>
          <w:tcPr>
            <w:tcW w:w="1614" w:type="dxa"/>
          </w:tcPr>
          <w:p>
            <w:pPr>
              <w:pStyle w:val="TableParagraph"/>
              <w:spacing w:before="98"/>
              <w:ind w:right="321"/>
              <w:jc w:val="right"/>
              <w:rPr>
                <w:sz w:val="22"/>
              </w:rPr>
            </w:pPr>
            <w:r>
              <w:rPr>
                <w:sz w:val="22"/>
              </w:rPr>
              <w:t>12.03 ±</w:t>
            </w:r>
            <w:r>
              <w:rPr>
                <w:spacing w:val="-2"/>
                <w:sz w:val="22"/>
              </w:rPr>
              <w:t> </w:t>
            </w:r>
            <w:r>
              <w:rPr>
                <w:spacing w:val="-4"/>
                <w:sz w:val="22"/>
              </w:rPr>
              <w:t>5.01</w:t>
            </w:r>
          </w:p>
        </w:tc>
        <w:tc>
          <w:tcPr>
            <w:tcW w:w="1439" w:type="dxa"/>
          </w:tcPr>
          <w:p>
            <w:pPr>
              <w:pStyle w:val="TableParagraph"/>
              <w:spacing w:before="98"/>
              <w:ind w:left="37"/>
              <w:jc w:val="left"/>
              <w:rPr>
                <w:sz w:val="22"/>
              </w:rPr>
            </w:pPr>
            <w:r>
              <w:rPr>
                <w:sz w:val="22"/>
              </w:rPr>
              <w:t>26.99 ±</w:t>
            </w:r>
            <w:r>
              <w:rPr>
                <w:spacing w:val="-2"/>
                <w:sz w:val="22"/>
              </w:rPr>
              <w:t> 12.65</w:t>
            </w:r>
          </w:p>
        </w:tc>
        <w:tc>
          <w:tcPr>
            <w:tcW w:w="1454" w:type="dxa"/>
          </w:tcPr>
          <w:p>
            <w:pPr>
              <w:pStyle w:val="TableParagraph"/>
              <w:spacing w:before="98"/>
              <w:ind w:left="175"/>
              <w:jc w:val="left"/>
              <w:rPr>
                <w:sz w:val="22"/>
              </w:rPr>
            </w:pPr>
            <w:r>
              <w:rPr>
                <w:sz w:val="22"/>
              </w:rPr>
              <w:t>16.60 ±</w:t>
            </w:r>
            <w:r>
              <w:rPr>
                <w:spacing w:val="-2"/>
                <w:sz w:val="22"/>
              </w:rPr>
              <w:t> </w:t>
            </w:r>
            <w:r>
              <w:rPr>
                <w:spacing w:val="-4"/>
                <w:sz w:val="22"/>
              </w:rPr>
              <w:t>4.88</w:t>
            </w:r>
          </w:p>
        </w:tc>
      </w:tr>
      <w:tr>
        <w:trPr>
          <w:trHeight w:val="440" w:hRule="atLeast"/>
        </w:trPr>
        <w:tc>
          <w:tcPr>
            <w:tcW w:w="1502" w:type="dxa"/>
          </w:tcPr>
          <w:p>
            <w:pPr>
              <w:pStyle w:val="TableParagraph"/>
              <w:spacing w:before="118"/>
              <w:ind w:left="46" w:right="2"/>
              <w:rPr>
                <w:b/>
                <w:sz w:val="22"/>
              </w:rPr>
            </w:pPr>
            <w:r>
              <w:rPr>
                <w:b/>
                <w:sz w:val="22"/>
              </w:rPr>
              <w:t>G5 (n</w:t>
            </w:r>
            <w:r>
              <w:rPr>
                <w:b/>
                <w:spacing w:val="-3"/>
                <w:sz w:val="22"/>
              </w:rPr>
              <w:t> </w:t>
            </w:r>
            <w:r>
              <w:rPr>
                <w:b/>
                <w:sz w:val="22"/>
              </w:rPr>
              <w:t>= </w:t>
            </w:r>
            <w:r>
              <w:rPr>
                <w:b/>
                <w:spacing w:val="-5"/>
                <w:sz w:val="22"/>
              </w:rPr>
              <w:t>20)</w:t>
            </w:r>
          </w:p>
        </w:tc>
        <w:tc>
          <w:tcPr>
            <w:tcW w:w="1490" w:type="dxa"/>
          </w:tcPr>
          <w:p>
            <w:pPr>
              <w:pStyle w:val="TableParagraph"/>
              <w:spacing w:before="114"/>
              <w:ind w:left="252"/>
              <w:jc w:val="left"/>
              <w:rPr>
                <w:sz w:val="22"/>
              </w:rPr>
            </w:pPr>
            <w:r>
              <w:rPr>
                <w:sz w:val="22"/>
              </w:rPr>
              <w:t>4.69 ±</w:t>
            </w:r>
            <w:r>
              <w:rPr>
                <w:spacing w:val="-2"/>
                <w:sz w:val="22"/>
              </w:rPr>
              <w:t> </w:t>
            </w:r>
            <w:r>
              <w:rPr>
                <w:spacing w:val="-4"/>
                <w:sz w:val="22"/>
              </w:rPr>
              <w:t>2.68</w:t>
            </w:r>
          </w:p>
        </w:tc>
        <w:tc>
          <w:tcPr>
            <w:tcW w:w="1581" w:type="dxa"/>
          </w:tcPr>
          <w:p>
            <w:pPr>
              <w:pStyle w:val="TableParagraph"/>
              <w:spacing w:before="114"/>
              <w:ind w:left="289"/>
              <w:jc w:val="left"/>
              <w:rPr>
                <w:sz w:val="22"/>
              </w:rPr>
            </w:pPr>
            <w:r>
              <w:rPr>
                <w:sz w:val="22"/>
              </w:rPr>
              <w:t>4.66 ±</w:t>
            </w:r>
            <w:r>
              <w:rPr>
                <w:spacing w:val="-2"/>
                <w:sz w:val="22"/>
              </w:rPr>
              <w:t> </w:t>
            </w:r>
            <w:r>
              <w:rPr>
                <w:spacing w:val="-4"/>
                <w:sz w:val="22"/>
              </w:rPr>
              <w:t>0.78</w:t>
            </w:r>
          </w:p>
        </w:tc>
        <w:tc>
          <w:tcPr>
            <w:tcW w:w="1614" w:type="dxa"/>
          </w:tcPr>
          <w:p>
            <w:pPr>
              <w:pStyle w:val="TableParagraph"/>
              <w:spacing w:before="114"/>
              <w:ind w:right="376"/>
              <w:jc w:val="right"/>
              <w:rPr>
                <w:sz w:val="22"/>
              </w:rPr>
            </w:pPr>
            <w:r>
              <w:rPr>
                <w:sz w:val="22"/>
              </w:rPr>
              <w:t>2.13 ±</w:t>
            </w:r>
            <w:r>
              <w:rPr>
                <w:spacing w:val="-2"/>
                <w:sz w:val="22"/>
              </w:rPr>
              <w:t> </w:t>
            </w:r>
            <w:r>
              <w:rPr>
                <w:spacing w:val="-4"/>
                <w:sz w:val="22"/>
              </w:rPr>
              <w:t>0.36</w:t>
            </w:r>
          </w:p>
        </w:tc>
        <w:tc>
          <w:tcPr>
            <w:tcW w:w="1439" w:type="dxa"/>
          </w:tcPr>
          <w:p>
            <w:pPr>
              <w:pStyle w:val="TableParagraph"/>
              <w:spacing w:before="114"/>
              <w:ind w:left="147"/>
              <w:jc w:val="left"/>
              <w:rPr>
                <w:sz w:val="22"/>
              </w:rPr>
            </w:pPr>
            <w:r>
              <w:rPr>
                <w:sz w:val="22"/>
              </w:rPr>
              <w:t>2.34 ±</w:t>
            </w:r>
            <w:r>
              <w:rPr>
                <w:spacing w:val="-2"/>
                <w:sz w:val="22"/>
              </w:rPr>
              <w:t> </w:t>
            </w:r>
            <w:r>
              <w:rPr>
                <w:spacing w:val="-4"/>
                <w:sz w:val="22"/>
              </w:rPr>
              <w:t>0.58</w:t>
            </w:r>
          </w:p>
        </w:tc>
        <w:tc>
          <w:tcPr>
            <w:tcW w:w="1454" w:type="dxa"/>
          </w:tcPr>
          <w:p>
            <w:pPr>
              <w:pStyle w:val="TableParagraph"/>
              <w:spacing w:before="114"/>
              <w:ind w:left="230"/>
              <w:jc w:val="left"/>
              <w:rPr>
                <w:sz w:val="22"/>
              </w:rPr>
            </w:pPr>
            <w:r>
              <w:rPr>
                <w:sz w:val="22"/>
              </w:rPr>
              <w:t>6.45 ±</w:t>
            </w:r>
            <w:r>
              <w:rPr>
                <w:spacing w:val="-2"/>
                <w:sz w:val="22"/>
              </w:rPr>
              <w:t> </w:t>
            </w:r>
            <w:r>
              <w:rPr>
                <w:spacing w:val="-4"/>
                <w:sz w:val="22"/>
              </w:rPr>
              <w:t>4.13</w:t>
            </w:r>
          </w:p>
        </w:tc>
      </w:tr>
      <w:tr>
        <w:trPr>
          <w:trHeight w:val="687" w:hRule="atLeast"/>
        </w:trPr>
        <w:tc>
          <w:tcPr>
            <w:tcW w:w="1502" w:type="dxa"/>
          </w:tcPr>
          <w:p>
            <w:pPr>
              <w:pStyle w:val="TableParagraph"/>
              <w:spacing w:before="65"/>
              <w:ind w:left="46" w:right="1"/>
              <w:rPr>
                <w:b/>
                <w:sz w:val="22"/>
              </w:rPr>
            </w:pPr>
            <w:r>
              <w:rPr>
                <w:b/>
                <w:sz w:val="22"/>
              </w:rPr>
              <w:t>F(p) </w:t>
            </w:r>
            <w:r>
              <w:rPr>
                <w:b/>
                <w:spacing w:val="-2"/>
                <w:sz w:val="22"/>
              </w:rPr>
              <w:t>Value</w:t>
            </w:r>
          </w:p>
        </w:tc>
        <w:tc>
          <w:tcPr>
            <w:tcW w:w="1490" w:type="dxa"/>
          </w:tcPr>
          <w:p>
            <w:pPr>
              <w:pStyle w:val="TableParagraph"/>
              <w:spacing w:line="252" w:lineRule="exact" w:before="60"/>
              <w:ind w:left="451"/>
              <w:jc w:val="left"/>
              <w:rPr>
                <w:sz w:val="22"/>
              </w:rPr>
            </w:pPr>
            <w:r>
              <w:rPr>
                <w:spacing w:val="-2"/>
                <w:sz w:val="22"/>
              </w:rPr>
              <w:t>155.91</w:t>
            </w:r>
          </w:p>
          <w:p>
            <w:pPr>
              <w:pStyle w:val="TableParagraph"/>
              <w:spacing w:line="252" w:lineRule="exact"/>
              <w:ind w:left="487"/>
              <w:jc w:val="left"/>
              <w:rPr>
                <w:sz w:val="22"/>
              </w:rPr>
            </w:pPr>
            <w:r>
              <w:rPr>
                <w:spacing w:val="-2"/>
                <w:sz w:val="22"/>
              </w:rPr>
              <w:t>(0.00)</w:t>
            </w:r>
          </w:p>
        </w:tc>
        <w:tc>
          <w:tcPr>
            <w:tcW w:w="1581" w:type="dxa"/>
          </w:tcPr>
          <w:p>
            <w:pPr>
              <w:pStyle w:val="TableParagraph"/>
              <w:spacing w:line="252" w:lineRule="exact" w:before="60"/>
              <w:ind w:right="1"/>
              <w:rPr>
                <w:sz w:val="22"/>
              </w:rPr>
            </w:pPr>
            <w:r>
              <w:rPr>
                <w:spacing w:val="-2"/>
                <w:sz w:val="22"/>
              </w:rPr>
              <w:t>17.14</w:t>
            </w:r>
          </w:p>
          <w:p>
            <w:pPr>
              <w:pStyle w:val="TableParagraph"/>
              <w:spacing w:line="252" w:lineRule="exact"/>
              <w:ind w:left="1" w:right="1"/>
              <w:rPr>
                <w:sz w:val="22"/>
              </w:rPr>
            </w:pPr>
            <w:r>
              <w:rPr>
                <w:spacing w:val="-2"/>
                <w:sz w:val="22"/>
              </w:rPr>
              <w:t>(0.00)</w:t>
            </w:r>
          </w:p>
        </w:tc>
        <w:tc>
          <w:tcPr>
            <w:tcW w:w="1614" w:type="dxa"/>
          </w:tcPr>
          <w:p>
            <w:pPr>
              <w:pStyle w:val="TableParagraph"/>
              <w:spacing w:line="252" w:lineRule="exact" w:before="60"/>
              <w:ind w:left="487"/>
              <w:jc w:val="left"/>
              <w:rPr>
                <w:sz w:val="22"/>
              </w:rPr>
            </w:pPr>
            <w:r>
              <w:rPr>
                <w:spacing w:val="-2"/>
                <w:sz w:val="22"/>
              </w:rPr>
              <w:t>47.36</w:t>
            </w:r>
          </w:p>
          <w:p>
            <w:pPr>
              <w:pStyle w:val="TableParagraph"/>
              <w:spacing w:line="252" w:lineRule="exact"/>
              <w:ind w:left="467"/>
              <w:jc w:val="left"/>
              <w:rPr>
                <w:sz w:val="22"/>
              </w:rPr>
            </w:pPr>
            <w:r>
              <w:rPr>
                <w:spacing w:val="-2"/>
                <w:sz w:val="22"/>
              </w:rPr>
              <w:t>(0.00)</w:t>
            </w:r>
          </w:p>
        </w:tc>
        <w:tc>
          <w:tcPr>
            <w:tcW w:w="1439" w:type="dxa"/>
          </w:tcPr>
          <w:p>
            <w:pPr>
              <w:pStyle w:val="TableParagraph"/>
              <w:spacing w:line="252" w:lineRule="exact" w:before="60"/>
              <w:ind w:left="344"/>
              <w:jc w:val="left"/>
              <w:rPr>
                <w:sz w:val="22"/>
              </w:rPr>
            </w:pPr>
            <w:r>
              <w:rPr>
                <w:spacing w:val="-2"/>
                <w:sz w:val="22"/>
              </w:rPr>
              <w:t>42.482</w:t>
            </w:r>
          </w:p>
          <w:p>
            <w:pPr>
              <w:pStyle w:val="TableParagraph"/>
              <w:spacing w:line="252" w:lineRule="exact"/>
              <w:ind w:left="382"/>
              <w:jc w:val="left"/>
              <w:rPr>
                <w:sz w:val="22"/>
              </w:rPr>
            </w:pPr>
            <w:r>
              <w:rPr>
                <w:spacing w:val="-2"/>
                <w:sz w:val="22"/>
              </w:rPr>
              <w:t>(0.00)</w:t>
            </w:r>
          </w:p>
        </w:tc>
        <w:tc>
          <w:tcPr>
            <w:tcW w:w="1454" w:type="dxa"/>
          </w:tcPr>
          <w:p>
            <w:pPr>
              <w:pStyle w:val="TableParagraph"/>
              <w:spacing w:line="252" w:lineRule="exact" w:before="60"/>
              <w:ind w:left="482"/>
              <w:jc w:val="left"/>
              <w:rPr>
                <w:sz w:val="22"/>
              </w:rPr>
            </w:pPr>
            <w:r>
              <w:rPr>
                <w:spacing w:val="-2"/>
                <w:sz w:val="22"/>
              </w:rPr>
              <w:t>19.34</w:t>
            </w:r>
          </w:p>
          <w:p>
            <w:pPr>
              <w:pStyle w:val="TableParagraph"/>
              <w:spacing w:line="252" w:lineRule="exact"/>
              <w:ind w:left="465"/>
              <w:jc w:val="left"/>
              <w:rPr>
                <w:sz w:val="22"/>
              </w:rPr>
            </w:pPr>
            <w:r>
              <w:rPr>
                <w:spacing w:val="-2"/>
                <w:sz w:val="22"/>
              </w:rPr>
              <w:t>(0.00)</w:t>
            </w:r>
          </w:p>
        </w:tc>
      </w:tr>
      <w:tr>
        <w:trPr>
          <w:trHeight w:val="469" w:hRule="atLeast"/>
        </w:trPr>
        <w:tc>
          <w:tcPr>
            <w:tcW w:w="1502" w:type="dxa"/>
          </w:tcPr>
          <w:p>
            <w:pPr>
              <w:pStyle w:val="TableParagraph"/>
              <w:spacing w:before="146"/>
              <w:ind w:left="46" w:right="1"/>
              <w:rPr>
                <w:b/>
                <w:sz w:val="22"/>
              </w:rPr>
            </w:pPr>
            <w:r>
              <w:rPr>
                <w:b/>
                <w:sz w:val="22"/>
              </w:rPr>
              <w:t>G3 vs</w:t>
            </w:r>
            <w:r>
              <w:rPr>
                <w:b/>
                <w:spacing w:val="-2"/>
                <w:sz w:val="22"/>
              </w:rPr>
              <w:t> </w:t>
            </w:r>
            <w:r>
              <w:rPr>
                <w:b/>
                <w:spacing w:val="-5"/>
                <w:sz w:val="22"/>
              </w:rPr>
              <w:t>G4</w:t>
            </w:r>
          </w:p>
        </w:tc>
        <w:tc>
          <w:tcPr>
            <w:tcW w:w="1490" w:type="dxa"/>
          </w:tcPr>
          <w:p>
            <w:pPr>
              <w:pStyle w:val="TableParagraph"/>
              <w:spacing w:before="141"/>
              <w:ind w:left="20" w:right="2"/>
              <w:rPr>
                <w:sz w:val="22"/>
              </w:rPr>
            </w:pPr>
            <w:r>
              <w:rPr>
                <w:spacing w:val="-2"/>
                <w:sz w:val="22"/>
              </w:rPr>
              <w:t>0.001</w:t>
            </w:r>
            <w:r>
              <w:rPr>
                <w:spacing w:val="-2"/>
                <w:sz w:val="22"/>
                <w:vertAlign w:val="superscript"/>
              </w:rPr>
              <w:t>*</w:t>
            </w:r>
          </w:p>
        </w:tc>
        <w:tc>
          <w:tcPr>
            <w:tcW w:w="1581" w:type="dxa"/>
          </w:tcPr>
          <w:p>
            <w:pPr>
              <w:pStyle w:val="TableParagraph"/>
              <w:spacing w:before="141"/>
              <w:ind w:left="1" w:right="1"/>
              <w:rPr>
                <w:sz w:val="22"/>
              </w:rPr>
            </w:pPr>
            <w:r>
              <w:rPr>
                <w:spacing w:val="-2"/>
                <w:sz w:val="22"/>
              </w:rPr>
              <w:t>0.037</w:t>
            </w:r>
            <w:r>
              <w:rPr>
                <w:spacing w:val="-2"/>
                <w:sz w:val="22"/>
                <w:vertAlign w:val="superscript"/>
              </w:rPr>
              <w:t>*</w:t>
            </w:r>
          </w:p>
        </w:tc>
        <w:tc>
          <w:tcPr>
            <w:tcW w:w="1614" w:type="dxa"/>
          </w:tcPr>
          <w:p>
            <w:pPr>
              <w:pStyle w:val="TableParagraph"/>
              <w:spacing w:before="141"/>
              <w:ind w:left="487"/>
              <w:jc w:val="left"/>
              <w:rPr>
                <w:sz w:val="22"/>
              </w:rPr>
            </w:pPr>
            <w:r>
              <w:rPr>
                <w:spacing w:val="-2"/>
                <w:sz w:val="22"/>
              </w:rPr>
              <w:t>0.306</w:t>
            </w:r>
          </w:p>
        </w:tc>
        <w:tc>
          <w:tcPr>
            <w:tcW w:w="1439" w:type="dxa"/>
          </w:tcPr>
          <w:p>
            <w:pPr>
              <w:pStyle w:val="TableParagraph"/>
              <w:spacing w:before="141"/>
              <w:ind w:left="2" w:right="143"/>
              <w:rPr>
                <w:sz w:val="22"/>
              </w:rPr>
            </w:pPr>
            <w:r>
              <w:rPr>
                <w:spacing w:val="-2"/>
                <w:sz w:val="22"/>
              </w:rPr>
              <w:t>0.233</w:t>
            </w:r>
          </w:p>
        </w:tc>
        <w:tc>
          <w:tcPr>
            <w:tcW w:w="1454" w:type="dxa"/>
          </w:tcPr>
          <w:p>
            <w:pPr>
              <w:pStyle w:val="TableParagraph"/>
              <w:spacing w:before="141"/>
              <w:ind w:left="449"/>
              <w:jc w:val="left"/>
              <w:rPr>
                <w:sz w:val="22"/>
              </w:rPr>
            </w:pPr>
            <w:r>
              <w:rPr>
                <w:spacing w:val="-2"/>
                <w:sz w:val="22"/>
              </w:rPr>
              <w:t>0.001</w:t>
            </w:r>
            <w:r>
              <w:rPr>
                <w:spacing w:val="-2"/>
                <w:sz w:val="22"/>
                <w:vertAlign w:val="superscript"/>
              </w:rPr>
              <w:t>*</w:t>
            </w:r>
          </w:p>
        </w:tc>
      </w:tr>
      <w:tr>
        <w:trPr>
          <w:trHeight w:val="416" w:hRule="atLeast"/>
        </w:trPr>
        <w:tc>
          <w:tcPr>
            <w:tcW w:w="1502" w:type="dxa"/>
          </w:tcPr>
          <w:p>
            <w:pPr>
              <w:pStyle w:val="TableParagraph"/>
              <w:spacing w:before="94"/>
              <w:ind w:left="46" w:right="1"/>
              <w:rPr>
                <w:b/>
                <w:sz w:val="22"/>
              </w:rPr>
            </w:pPr>
            <w:r>
              <w:rPr>
                <w:b/>
                <w:sz w:val="22"/>
              </w:rPr>
              <w:t>G3 vs</w:t>
            </w:r>
            <w:r>
              <w:rPr>
                <w:b/>
                <w:spacing w:val="-2"/>
                <w:sz w:val="22"/>
              </w:rPr>
              <w:t> </w:t>
            </w:r>
            <w:r>
              <w:rPr>
                <w:b/>
                <w:spacing w:val="-5"/>
                <w:sz w:val="22"/>
              </w:rPr>
              <w:t>G5</w:t>
            </w:r>
          </w:p>
        </w:tc>
        <w:tc>
          <w:tcPr>
            <w:tcW w:w="1490" w:type="dxa"/>
          </w:tcPr>
          <w:p>
            <w:pPr>
              <w:pStyle w:val="TableParagraph"/>
              <w:spacing w:before="89"/>
              <w:ind w:left="20" w:right="2"/>
              <w:rPr>
                <w:sz w:val="22"/>
              </w:rPr>
            </w:pPr>
            <w:r>
              <w:rPr>
                <w:spacing w:val="-2"/>
                <w:sz w:val="22"/>
              </w:rPr>
              <w:t>0.001</w:t>
            </w:r>
            <w:r>
              <w:rPr>
                <w:spacing w:val="-2"/>
                <w:sz w:val="22"/>
                <w:vertAlign w:val="superscript"/>
              </w:rPr>
              <w:t>*</w:t>
            </w:r>
          </w:p>
        </w:tc>
        <w:tc>
          <w:tcPr>
            <w:tcW w:w="1581" w:type="dxa"/>
          </w:tcPr>
          <w:p>
            <w:pPr>
              <w:pStyle w:val="TableParagraph"/>
              <w:spacing w:before="89"/>
              <w:ind w:left="1" w:right="1"/>
              <w:rPr>
                <w:sz w:val="22"/>
              </w:rPr>
            </w:pPr>
            <w:r>
              <w:rPr>
                <w:spacing w:val="-2"/>
                <w:sz w:val="22"/>
              </w:rPr>
              <w:t>0.001</w:t>
            </w:r>
            <w:r>
              <w:rPr>
                <w:spacing w:val="-2"/>
                <w:sz w:val="22"/>
                <w:vertAlign w:val="superscript"/>
              </w:rPr>
              <w:t>*</w:t>
            </w:r>
          </w:p>
        </w:tc>
        <w:tc>
          <w:tcPr>
            <w:tcW w:w="1614" w:type="dxa"/>
          </w:tcPr>
          <w:p>
            <w:pPr>
              <w:pStyle w:val="TableParagraph"/>
              <w:spacing w:before="89"/>
              <w:ind w:left="451"/>
              <w:jc w:val="left"/>
              <w:rPr>
                <w:sz w:val="22"/>
              </w:rPr>
            </w:pPr>
            <w:r>
              <w:rPr>
                <w:spacing w:val="-2"/>
                <w:sz w:val="22"/>
              </w:rPr>
              <w:t>0.001</w:t>
            </w:r>
            <w:r>
              <w:rPr>
                <w:spacing w:val="-2"/>
                <w:sz w:val="22"/>
                <w:vertAlign w:val="superscript"/>
              </w:rPr>
              <w:t>*</w:t>
            </w:r>
          </w:p>
        </w:tc>
        <w:tc>
          <w:tcPr>
            <w:tcW w:w="1439" w:type="dxa"/>
          </w:tcPr>
          <w:p>
            <w:pPr>
              <w:pStyle w:val="TableParagraph"/>
              <w:spacing w:before="89"/>
              <w:ind w:left="5" w:right="143"/>
              <w:rPr>
                <w:sz w:val="22"/>
              </w:rPr>
            </w:pPr>
            <w:r>
              <w:rPr>
                <w:spacing w:val="-2"/>
                <w:sz w:val="22"/>
              </w:rPr>
              <w:t>0.001</w:t>
            </w:r>
            <w:r>
              <w:rPr>
                <w:spacing w:val="-2"/>
                <w:sz w:val="22"/>
                <w:vertAlign w:val="superscript"/>
              </w:rPr>
              <w:t>*</w:t>
            </w:r>
          </w:p>
        </w:tc>
        <w:tc>
          <w:tcPr>
            <w:tcW w:w="1454" w:type="dxa"/>
          </w:tcPr>
          <w:p>
            <w:pPr>
              <w:pStyle w:val="TableParagraph"/>
              <w:spacing w:before="89"/>
              <w:ind w:left="449"/>
              <w:jc w:val="left"/>
              <w:rPr>
                <w:sz w:val="22"/>
              </w:rPr>
            </w:pPr>
            <w:r>
              <w:rPr>
                <w:spacing w:val="-2"/>
                <w:sz w:val="22"/>
              </w:rPr>
              <w:t>0.001</w:t>
            </w:r>
            <w:r>
              <w:rPr>
                <w:spacing w:val="-2"/>
                <w:sz w:val="22"/>
                <w:vertAlign w:val="superscript"/>
              </w:rPr>
              <w:t>*</w:t>
            </w:r>
          </w:p>
        </w:tc>
      </w:tr>
      <w:tr>
        <w:trPr>
          <w:trHeight w:val="530" w:hRule="atLeast"/>
        </w:trPr>
        <w:tc>
          <w:tcPr>
            <w:tcW w:w="1502" w:type="dxa"/>
            <w:tcBorders>
              <w:bottom w:val="single" w:sz="8" w:space="0" w:color="000000"/>
            </w:tcBorders>
          </w:tcPr>
          <w:p>
            <w:pPr>
              <w:pStyle w:val="TableParagraph"/>
              <w:spacing w:before="93"/>
              <w:ind w:left="46" w:right="1"/>
              <w:rPr>
                <w:b/>
                <w:sz w:val="22"/>
              </w:rPr>
            </w:pPr>
            <w:r>
              <w:rPr>
                <w:b/>
                <w:sz w:val="22"/>
              </w:rPr>
              <w:t>G4 vs</w:t>
            </w:r>
            <w:r>
              <w:rPr>
                <w:b/>
                <w:spacing w:val="-2"/>
                <w:sz w:val="22"/>
              </w:rPr>
              <w:t> </w:t>
            </w:r>
            <w:r>
              <w:rPr>
                <w:b/>
                <w:spacing w:val="-5"/>
                <w:sz w:val="22"/>
              </w:rPr>
              <w:t>G5</w:t>
            </w:r>
          </w:p>
        </w:tc>
        <w:tc>
          <w:tcPr>
            <w:tcW w:w="1490" w:type="dxa"/>
            <w:tcBorders>
              <w:bottom w:val="single" w:sz="8" w:space="0" w:color="000000"/>
            </w:tcBorders>
          </w:tcPr>
          <w:p>
            <w:pPr>
              <w:pStyle w:val="TableParagraph"/>
              <w:spacing w:before="88"/>
              <w:ind w:left="20"/>
              <w:rPr>
                <w:sz w:val="22"/>
              </w:rPr>
            </w:pPr>
            <w:r>
              <w:rPr>
                <w:spacing w:val="-2"/>
                <w:sz w:val="22"/>
              </w:rPr>
              <w:t>0.730</w:t>
            </w:r>
          </w:p>
        </w:tc>
        <w:tc>
          <w:tcPr>
            <w:tcW w:w="1581" w:type="dxa"/>
            <w:tcBorders>
              <w:bottom w:val="single" w:sz="8" w:space="0" w:color="000000"/>
            </w:tcBorders>
          </w:tcPr>
          <w:p>
            <w:pPr>
              <w:pStyle w:val="TableParagraph"/>
              <w:spacing w:before="88"/>
              <w:ind w:left="1" w:right="1"/>
              <w:rPr>
                <w:sz w:val="22"/>
              </w:rPr>
            </w:pPr>
            <w:r>
              <w:rPr>
                <w:spacing w:val="-2"/>
                <w:sz w:val="22"/>
              </w:rPr>
              <w:t>0.001</w:t>
            </w:r>
            <w:r>
              <w:rPr>
                <w:spacing w:val="-2"/>
                <w:sz w:val="22"/>
                <w:vertAlign w:val="superscript"/>
              </w:rPr>
              <w:t>*</w:t>
            </w:r>
          </w:p>
        </w:tc>
        <w:tc>
          <w:tcPr>
            <w:tcW w:w="1614" w:type="dxa"/>
            <w:tcBorders>
              <w:bottom w:val="single" w:sz="8" w:space="0" w:color="000000"/>
            </w:tcBorders>
          </w:tcPr>
          <w:p>
            <w:pPr>
              <w:pStyle w:val="TableParagraph"/>
              <w:spacing w:before="88"/>
              <w:ind w:left="451"/>
              <w:jc w:val="left"/>
              <w:rPr>
                <w:sz w:val="22"/>
              </w:rPr>
            </w:pPr>
            <w:r>
              <w:rPr>
                <w:spacing w:val="-2"/>
                <w:sz w:val="22"/>
              </w:rPr>
              <w:t>0.001</w:t>
            </w:r>
            <w:r>
              <w:rPr>
                <w:spacing w:val="-2"/>
                <w:sz w:val="22"/>
                <w:vertAlign w:val="superscript"/>
              </w:rPr>
              <w:t>*</w:t>
            </w:r>
          </w:p>
        </w:tc>
        <w:tc>
          <w:tcPr>
            <w:tcW w:w="1439" w:type="dxa"/>
            <w:tcBorders>
              <w:bottom w:val="single" w:sz="8" w:space="0" w:color="000000"/>
            </w:tcBorders>
          </w:tcPr>
          <w:p>
            <w:pPr>
              <w:pStyle w:val="TableParagraph"/>
              <w:spacing w:before="88"/>
              <w:ind w:left="5" w:right="143"/>
              <w:rPr>
                <w:sz w:val="22"/>
              </w:rPr>
            </w:pPr>
            <w:r>
              <w:rPr>
                <w:spacing w:val="-2"/>
                <w:sz w:val="22"/>
              </w:rPr>
              <w:t>0.001</w:t>
            </w:r>
            <w:r>
              <w:rPr>
                <w:spacing w:val="-2"/>
                <w:sz w:val="22"/>
                <w:vertAlign w:val="superscript"/>
              </w:rPr>
              <w:t>*</w:t>
            </w:r>
          </w:p>
        </w:tc>
        <w:tc>
          <w:tcPr>
            <w:tcW w:w="1454" w:type="dxa"/>
            <w:tcBorders>
              <w:bottom w:val="single" w:sz="8" w:space="0" w:color="000000"/>
            </w:tcBorders>
          </w:tcPr>
          <w:p>
            <w:pPr>
              <w:pStyle w:val="TableParagraph"/>
              <w:spacing w:before="88"/>
              <w:ind w:left="449"/>
              <w:jc w:val="left"/>
              <w:rPr>
                <w:sz w:val="22"/>
              </w:rPr>
            </w:pPr>
            <w:r>
              <w:rPr>
                <w:spacing w:val="-2"/>
                <w:sz w:val="22"/>
              </w:rPr>
              <w:t>0.001</w:t>
            </w:r>
            <w:r>
              <w:rPr>
                <w:spacing w:val="-2"/>
                <w:sz w:val="22"/>
                <w:vertAlign w:val="superscript"/>
              </w:rPr>
              <w:t>*</w:t>
            </w:r>
          </w:p>
        </w:tc>
      </w:tr>
    </w:tbl>
    <w:p>
      <w:pPr>
        <w:spacing w:line="227" w:lineRule="exact" w:before="162"/>
        <w:ind w:left="560" w:right="0" w:firstLine="0"/>
        <w:jc w:val="left"/>
        <w:rPr>
          <w:b/>
          <w:sz w:val="20"/>
        </w:rPr>
      </w:pPr>
      <w:r>
        <w:rPr>
          <w:b/>
          <w:spacing w:val="-5"/>
          <w:sz w:val="20"/>
        </w:rPr>
        <w:t>Key</w:t>
      </w:r>
    </w:p>
    <w:p>
      <w:pPr>
        <w:spacing w:line="227" w:lineRule="exact" w:before="0"/>
        <w:ind w:left="560" w:right="0" w:firstLine="0"/>
        <w:jc w:val="left"/>
        <w:rPr>
          <w:sz w:val="20"/>
        </w:rPr>
      </w:pPr>
      <w:r>
        <w:rPr>
          <w:sz w:val="20"/>
        </w:rPr>
        <w:t>α-level</w:t>
      </w:r>
      <w:r>
        <w:rPr>
          <w:spacing w:val="44"/>
          <w:sz w:val="20"/>
        </w:rPr>
        <w:t> </w:t>
      </w:r>
      <w:r>
        <w:rPr>
          <w:sz w:val="20"/>
        </w:rPr>
        <w:t>set</w:t>
      </w:r>
      <w:r>
        <w:rPr>
          <w:spacing w:val="-4"/>
          <w:sz w:val="20"/>
        </w:rPr>
        <w:t> </w:t>
      </w:r>
      <w:r>
        <w:rPr>
          <w:sz w:val="20"/>
        </w:rPr>
        <w:t>at</w:t>
      </w:r>
      <w:r>
        <w:rPr>
          <w:spacing w:val="-4"/>
          <w:sz w:val="20"/>
        </w:rPr>
        <w:t> 0.05</w:t>
      </w:r>
    </w:p>
    <w:p>
      <w:pPr>
        <w:spacing w:before="1"/>
        <w:ind w:left="560" w:right="7678" w:firstLine="0"/>
        <w:jc w:val="left"/>
        <w:rPr>
          <w:sz w:val="20"/>
        </w:rPr>
      </w:pPr>
      <w:r>
        <w:rPr>
          <w:sz w:val="20"/>
        </w:rPr>
        <w:t>*(P&lt; 0.05) = Significant P&gt;</w:t>
      </w:r>
      <w:r>
        <w:rPr>
          <w:spacing w:val="-13"/>
          <w:sz w:val="20"/>
        </w:rPr>
        <w:t> </w:t>
      </w:r>
      <w:r>
        <w:rPr>
          <w:sz w:val="20"/>
        </w:rPr>
        <w:t>0.05=</w:t>
      </w:r>
      <w:r>
        <w:rPr>
          <w:spacing w:val="-12"/>
          <w:sz w:val="20"/>
        </w:rPr>
        <w:t> </w:t>
      </w:r>
      <w:r>
        <w:rPr>
          <w:sz w:val="20"/>
        </w:rPr>
        <w:t>Not</w:t>
      </w:r>
      <w:r>
        <w:rPr>
          <w:spacing w:val="-13"/>
          <w:sz w:val="20"/>
        </w:rPr>
        <w:t> </w:t>
      </w:r>
      <w:r>
        <w:rPr>
          <w:sz w:val="20"/>
        </w:rPr>
        <w:t>Significant</w:t>
      </w:r>
    </w:p>
    <w:p>
      <w:pPr>
        <w:spacing w:before="1"/>
        <w:ind w:left="560" w:right="6132" w:firstLine="0"/>
        <w:jc w:val="left"/>
        <w:rPr>
          <w:sz w:val="20"/>
        </w:rPr>
      </w:pPr>
      <w:r>
        <w:rPr>
          <w:sz w:val="20"/>
        </w:rPr>
        <w:t>G3 = Malaria Infected Post-Partum women G4</w:t>
      </w:r>
      <w:r>
        <w:rPr>
          <w:spacing w:val="-8"/>
          <w:sz w:val="20"/>
        </w:rPr>
        <w:t> </w:t>
      </w:r>
      <w:r>
        <w:rPr>
          <w:sz w:val="20"/>
        </w:rPr>
        <w:t>=</w:t>
      </w:r>
      <w:r>
        <w:rPr>
          <w:spacing w:val="-9"/>
          <w:sz w:val="20"/>
        </w:rPr>
        <w:t> </w:t>
      </w:r>
      <w:r>
        <w:rPr>
          <w:sz w:val="20"/>
        </w:rPr>
        <w:t>Malaria</w:t>
      </w:r>
      <w:r>
        <w:rPr>
          <w:spacing w:val="-8"/>
          <w:sz w:val="20"/>
        </w:rPr>
        <w:t> </w:t>
      </w:r>
      <w:r>
        <w:rPr>
          <w:sz w:val="20"/>
        </w:rPr>
        <w:t>Uninfected</w:t>
      </w:r>
      <w:r>
        <w:rPr>
          <w:spacing w:val="-8"/>
          <w:sz w:val="20"/>
        </w:rPr>
        <w:t> </w:t>
      </w:r>
      <w:r>
        <w:rPr>
          <w:sz w:val="20"/>
        </w:rPr>
        <w:t>Post-Partum</w:t>
      </w:r>
      <w:r>
        <w:rPr>
          <w:spacing w:val="-8"/>
          <w:sz w:val="20"/>
        </w:rPr>
        <w:t> </w:t>
      </w:r>
      <w:r>
        <w:rPr>
          <w:sz w:val="20"/>
        </w:rPr>
        <w:t>women</w:t>
      </w:r>
    </w:p>
    <w:p>
      <w:pPr>
        <w:spacing w:before="1"/>
        <w:ind w:left="560" w:right="0" w:firstLine="0"/>
        <w:jc w:val="left"/>
        <w:rPr>
          <w:sz w:val="20"/>
        </w:rPr>
      </w:pPr>
      <w:r>
        <w:rPr>
          <w:sz w:val="20"/>
        </w:rPr>
        <w:t>G5</w:t>
      </w:r>
      <w:r>
        <w:rPr>
          <w:spacing w:val="-6"/>
          <w:sz w:val="20"/>
        </w:rPr>
        <w:t> </w:t>
      </w:r>
      <w:r>
        <w:rPr>
          <w:sz w:val="20"/>
        </w:rPr>
        <w:t>=</w:t>
      </w:r>
      <w:r>
        <w:rPr>
          <w:spacing w:val="-7"/>
          <w:sz w:val="20"/>
        </w:rPr>
        <w:t> </w:t>
      </w:r>
      <w:r>
        <w:rPr>
          <w:sz w:val="20"/>
        </w:rPr>
        <w:t>Malaria</w:t>
      </w:r>
      <w:r>
        <w:rPr>
          <w:spacing w:val="-6"/>
          <w:sz w:val="20"/>
        </w:rPr>
        <w:t> </w:t>
      </w:r>
      <w:r>
        <w:rPr>
          <w:sz w:val="20"/>
        </w:rPr>
        <w:t>Uninfected</w:t>
      </w:r>
      <w:r>
        <w:rPr>
          <w:spacing w:val="-6"/>
          <w:sz w:val="20"/>
        </w:rPr>
        <w:t> </w:t>
      </w:r>
      <w:r>
        <w:rPr>
          <w:sz w:val="20"/>
        </w:rPr>
        <w:t>Non-Pregnant</w:t>
      </w:r>
      <w:r>
        <w:rPr>
          <w:spacing w:val="-4"/>
          <w:sz w:val="20"/>
        </w:rPr>
        <w:t> women</w:t>
      </w:r>
    </w:p>
    <w:p>
      <w:pPr>
        <w:spacing w:after="0"/>
        <w:jc w:val="left"/>
        <w:rPr>
          <w:sz w:val="20"/>
        </w:rPr>
        <w:sectPr>
          <w:pgSz w:w="11910" w:h="16840"/>
          <w:pgMar w:header="0" w:footer="1067" w:top="1060" w:bottom="1260" w:left="880" w:right="640"/>
        </w:sectPr>
      </w:pPr>
    </w:p>
    <w:p>
      <w:pPr>
        <w:pStyle w:val="BodyText"/>
        <w:spacing w:line="360" w:lineRule="auto" w:before="72"/>
        <w:ind w:left="560" w:right="804"/>
        <w:jc w:val="both"/>
      </w:pPr>
      <w:r>
        <w:rPr/>
        <w:t>Table 4.3 shows comparison of cytokine levels, parasite density</w:t>
      </w:r>
      <w:r>
        <w:rPr>
          <w:spacing w:val="-4"/>
        </w:rPr>
        <w:t> </w:t>
      </w:r>
      <w:r>
        <w:rPr/>
        <w:t>and leucocyte count between peripheral and placental blood among malaria infected pregnant and post-partum women.</w:t>
      </w:r>
    </w:p>
    <w:p>
      <w:pPr>
        <w:pStyle w:val="BodyText"/>
        <w:spacing w:line="360" w:lineRule="auto" w:before="207"/>
        <w:ind w:left="560" w:right="795" w:firstLine="60"/>
        <w:jc w:val="both"/>
      </w:pPr>
      <w:r>
        <w:rPr/>
        <w:t>The mean</w:t>
      </w:r>
      <w:r>
        <w:rPr>
          <w:rFonts w:ascii="Symbol" w:hAnsi="Symbol"/>
        </w:rPr>
        <w:t></w:t>
      </w:r>
      <w:r>
        <w:rPr/>
        <w:t>SD (22.94</w:t>
      </w:r>
      <w:r>
        <w:rPr>
          <w:rFonts w:ascii="Symbol" w:hAnsi="Symbol"/>
        </w:rPr>
        <w:t></w:t>
      </w:r>
      <w:r>
        <w:rPr/>
        <w:t>12.71)of IFN</w:t>
      </w:r>
      <w:r>
        <w:rPr>
          <w:rFonts w:ascii="Symbol" w:hAnsi="Symbol"/>
        </w:rPr>
        <w:t></w:t>
      </w:r>
      <w:r>
        <w:rPr/>
        <w:t> in the peripheral blood was significantly (P&lt;0.05) higher than that of placental blood (11.71</w:t>
      </w:r>
      <w:r>
        <w:rPr>
          <w:rFonts w:ascii="Symbol" w:hAnsi="Symbol"/>
        </w:rPr>
        <w:t></w:t>
      </w:r>
      <w:r>
        <w:rPr/>
        <w:t>6.55). On the other hand, the mean</w:t>
      </w:r>
      <w:r>
        <w:rPr>
          <w:rFonts w:ascii="Symbol" w:hAnsi="Symbol"/>
        </w:rPr>
        <w:t></w:t>
      </w:r>
      <w:r>
        <w:rPr/>
        <w:t>SD (21.12</w:t>
      </w:r>
      <w:r>
        <w:rPr>
          <w:rFonts w:ascii="Symbol" w:hAnsi="Symbol"/>
        </w:rPr>
        <w:t></w:t>
      </w:r>
      <w:r>
        <w:rPr/>
        <w:t>12.57)of TNF</w:t>
      </w:r>
      <w:r>
        <w:rPr>
          <w:rFonts w:ascii="Symbol" w:hAnsi="Symbol"/>
        </w:rPr>
        <w:t></w:t>
      </w:r>
      <w:r>
        <w:rPr/>
        <w:t> in the peripheral blood showed no significant difference (P&gt;0.05) when compared with 19.35</w:t>
      </w:r>
      <w:r>
        <w:rPr>
          <w:rFonts w:ascii="Symbol" w:hAnsi="Symbol"/>
        </w:rPr>
        <w:t></w:t>
      </w:r>
      <w:r>
        <w:rPr/>
        <w:t>10.94 in the placental blood. Values of cytokines were expressed in pg/ml, parasite density as parasite/µl, total leucocytes count and differential leucocyte count as Absolute Values in ×10</w:t>
      </w:r>
      <w:r>
        <w:rPr>
          <w:vertAlign w:val="superscript"/>
        </w:rPr>
        <w:t>9</w:t>
      </w:r>
      <w:r>
        <w:rPr>
          <w:vertAlign w:val="baseline"/>
        </w:rPr>
        <w:t>/l.</w:t>
      </w:r>
    </w:p>
    <w:p>
      <w:pPr>
        <w:pStyle w:val="BodyText"/>
        <w:spacing w:line="360" w:lineRule="auto" w:before="207"/>
        <w:ind w:left="560" w:right="799"/>
        <w:jc w:val="both"/>
      </w:pPr>
      <w:r>
        <w:rPr/>
        <w:t>As for IL-4, the mean</w:t>
      </w:r>
      <w:r>
        <w:rPr>
          <w:rFonts w:ascii="Symbol" w:hAnsi="Symbol"/>
        </w:rPr>
        <w:t></w:t>
      </w:r>
      <w:r>
        <w:rPr/>
        <w:t>SD (9.66</w:t>
      </w:r>
      <w:r>
        <w:rPr>
          <w:rFonts w:ascii="Symbol" w:hAnsi="Symbol"/>
        </w:rPr>
        <w:t></w:t>
      </w:r>
      <w:r>
        <w:rPr/>
        <w:t>7.05)in the peripheral blood was significantly (P&lt;0.05) lower than 14.86</w:t>
      </w:r>
      <w:r>
        <w:rPr>
          <w:rFonts w:ascii="Symbol" w:hAnsi="Symbol"/>
        </w:rPr>
        <w:t></w:t>
      </w:r>
      <w:r>
        <w:rPr/>
        <w:t>6.37 in the placental blood.</w:t>
      </w:r>
    </w:p>
    <w:p>
      <w:pPr>
        <w:pStyle w:val="BodyText"/>
        <w:spacing w:line="360" w:lineRule="auto" w:before="207"/>
        <w:ind w:left="560" w:right="796"/>
        <w:jc w:val="both"/>
      </w:pPr>
      <w:r>
        <w:rPr/>
        <w:t>ForIL-6, the mean</w:t>
      </w:r>
      <w:r>
        <w:rPr>
          <w:rFonts w:ascii="Symbol" w:hAnsi="Symbol"/>
        </w:rPr>
        <w:t></w:t>
      </w:r>
      <w:r>
        <w:rPr/>
        <w:t>SD 32.11</w:t>
      </w:r>
      <w:r>
        <w:rPr>
          <w:rFonts w:ascii="Symbol" w:hAnsi="Symbol"/>
        </w:rPr>
        <w:t></w:t>
      </w:r>
      <w:r>
        <w:rPr/>
        <w:t>27.92 in the peripheral blood showed no significant difference (P&gt;0.05) with 34.27</w:t>
      </w:r>
      <w:r>
        <w:rPr>
          <w:rFonts w:ascii="Symbol" w:hAnsi="Symbol"/>
        </w:rPr>
        <w:t></w:t>
      </w:r>
      <w:r>
        <w:rPr/>
        <w:t>13.78 in the placental blood.</w:t>
      </w:r>
    </w:p>
    <w:p>
      <w:pPr>
        <w:pStyle w:val="BodyText"/>
        <w:spacing w:line="360" w:lineRule="auto" w:before="208"/>
        <w:ind w:left="560" w:right="792"/>
        <w:jc w:val="both"/>
      </w:pPr>
      <w:r>
        <w:rPr/>
        <w:t>However,the mean</w:t>
      </w:r>
      <w:r>
        <w:rPr>
          <w:rFonts w:ascii="Symbol" w:hAnsi="Symbol"/>
        </w:rPr>
        <w:t></w:t>
      </w:r>
      <w:r>
        <w:rPr/>
        <w:t>SD(35.19</w:t>
      </w:r>
      <w:r>
        <w:rPr>
          <w:rFonts w:ascii="Symbol" w:hAnsi="Symbol"/>
        </w:rPr>
        <w:t></w:t>
      </w:r>
      <w:r>
        <w:rPr/>
        <w:t>28.81) of IL-10 in the peripheral blood was significantly (P&lt;0.05) lower than 55.57</w:t>
      </w:r>
      <w:r>
        <w:rPr>
          <w:rFonts w:ascii="Symbol" w:hAnsi="Symbol"/>
        </w:rPr>
        <w:t></w:t>
      </w:r>
      <w:r>
        <w:rPr/>
        <w:t>43.13 in the placental blood.</w:t>
      </w:r>
    </w:p>
    <w:p>
      <w:pPr>
        <w:pStyle w:val="BodyText"/>
        <w:spacing w:line="360" w:lineRule="auto" w:before="208"/>
        <w:ind w:left="560" w:right="796"/>
        <w:jc w:val="both"/>
      </w:pPr>
      <w:r>
        <w:rPr/>
        <w:t>The mean</w:t>
      </w:r>
      <w:r>
        <w:rPr>
          <w:rFonts w:ascii="Symbol" w:hAnsi="Symbol"/>
        </w:rPr>
        <w:t></w:t>
      </w:r>
      <w:r>
        <w:rPr/>
        <w:t>SD (658.56</w:t>
      </w:r>
      <w:r>
        <w:rPr>
          <w:rFonts w:ascii="Symbol" w:hAnsi="Symbol"/>
        </w:rPr>
        <w:t></w:t>
      </w:r>
      <w:r>
        <w:rPr/>
        <w:t>484.55)of the parasite density in the peripheral blood was lower and showed no significant difference (P&gt;0.05) with 762.47</w:t>
      </w:r>
      <w:r>
        <w:rPr>
          <w:rFonts w:ascii="Symbol" w:hAnsi="Symbol"/>
        </w:rPr>
        <w:t></w:t>
      </w:r>
      <w:r>
        <w:rPr/>
        <w:t>459.62 in the placental blood.</w:t>
      </w:r>
    </w:p>
    <w:p>
      <w:pPr>
        <w:pStyle w:val="BodyText"/>
        <w:spacing w:line="357" w:lineRule="auto" w:before="207"/>
        <w:ind w:left="560" w:right="798"/>
        <w:jc w:val="both"/>
      </w:pPr>
      <w:r>
        <w:rPr/>
        <w:t>As for total leucocyte count, the mean</w:t>
      </w:r>
      <w:r>
        <w:rPr>
          <w:rFonts w:ascii="Symbol" w:hAnsi="Symbol"/>
        </w:rPr>
        <w:t></w:t>
      </w:r>
      <w:r>
        <w:rPr/>
        <w:t>SD (7.09</w:t>
      </w:r>
      <w:r>
        <w:rPr>
          <w:rFonts w:ascii="Symbol" w:hAnsi="Symbol"/>
        </w:rPr>
        <w:t></w:t>
      </w:r>
      <w:r>
        <w:rPr/>
        <w:t>2.02)in the peripheral bloodwas significantly (P&lt;0.05) lower than 11.00</w:t>
      </w:r>
      <w:r>
        <w:rPr>
          <w:rFonts w:ascii="Symbol" w:hAnsi="Symbol"/>
        </w:rPr>
        <w:t></w:t>
      </w:r>
      <w:r>
        <w:rPr/>
        <w:t>4.80 in the placental blood.</w:t>
      </w:r>
    </w:p>
    <w:p>
      <w:pPr>
        <w:pStyle w:val="BodyText"/>
        <w:spacing w:line="360" w:lineRule="auto" w:before="211"/>
        <w:ind w:left="560" w:right="792"/>
        <w:jc w:val="both"/>
      </w:pPr>
      <w:r>
        <w:rPr/>
        <w:t>The mean</w:t>
      </w:r>
      <w:r>
        <w:rPr>
          <w:rFonts w:ascii="Symbol" w:hAnsi="Symbol"/>
        </w:rPr>
        <w:t></w:t>
      </w:r>
      <w:r>
        <w:rPr/>
        <w:t>SD (3.9</w:t>
      </w:r>
      <w:r>
        <w:rPr>
          <w:rFonts w:ascii="Symbol" w:hAnsi="Symbol"/>
        </w:rPr>
        <w:t></w:t>
      </w:r>
      <w:r>
        <w:rPr/>
        <w:t>0.91)of neutrophil count in the peripheral blood was significantly (P&lt;0.05) lower than the placental blood (5.0</w:t>
      </w:r>
      <w:r>
        <w:rPr>
          <w:rFonts w:ascii="Symbol" w:hAnsi="Symbol"/>
        </w:rPr>
        <w:t></w:t>
      </w:r>
      <w:r>
        <w:rPr/>
        <w:t>0.78).</w:t>
      </w:r>
    </w:p>
    <w:p>
      <w:pPr>
        <w:pStyle w:val="BodyText"/>
        <w:spacing w:line="360" w:lineRule="auto" w:before="208"/>
        <w:ind w:left="560" w:right="795"/>
        <w:jc w:val="both"/>
      </w:pPr>
      <w:r>
        <w:rPr/>
        <w:t>The mean</w:t>
      </w:r>
      <w:r>
        <w:rPr>
          <w:rFonts w:ascii="Symbol" w:hAnsi="Symbol"/>
        </w:rPr>
        <w:t></w:t>
      </w:r>
      <w:r>
        <w:rPr/>
        <w:t>SD (2.3</w:t>
      </w:r>
      <w:r>
        <w:rPr>
          <w:rFonts w:ascii="Symbol" w:hAnsi="Symbol"/>
        </w:rPr>
        <w:t></w:t>
      </w:r>
      <w:r>
        <w:rPr/>
        <w:t>0.77)of lymphocyte count in the peripheral blood was significantly (P&lt;0.05) lower than 4.9</w:t>
      </w:r>
      <w:r>
        <w:rPr>
          <w:rFonts w:ascii="Symbol" w:hAnsi="Symbol"/>
        </w:rPr>
        <w:t></w:t>
      </w:r>
      <w:r>
        <w:rPr/>
        <w:t>0.89 in the placental blood. Furthermore, the mean</w:t>
      </w:r>
      <w:r>
        <w:rPr>
          <w:rFonts w:ascii="Symbol" w:hAnsi="Symbol"/>
        </w:rPr>
        <w:t></w:t>
      </w:r>
      <w:r>
        <w:rPr/>
        <w:t>SD (0.9</w:t>
      </w:r>
      <w:r>
        <w:rPr>
          <w:rFonts w:ascii="Symbol" w:hAnsi="Symbol"/>
        </w:rPr>
        <w:t></w:t>
      </w:r>
      <w:r>
        <w:rPr/>
        <w:t>0.41)</w:t>
      </w:r>
      <w:r>
        <w:rPr>
          <w:spacing w:val="40"/>
        </w:rPr>
        <w:t> </w:t>
      </w:r>
      <w:r>
        <w:rPr/>
        <w:t>of</w:t>
      </w:r>
      <w:r>
        <w:rPr>
          <w:spacing w:val="-2"/>
        </w:rPr>
        <w:t> </w:t>
      </w:r>
      <w:r>
        <w:rPr/>
        <w:t>mixed</w:t>
      </w:r>
      <w:r>
        <w:rPr>
          <w:spacing w:val="-1"/>
        </w:rPr>
        <w:t> </w:t>
      </w:r>
      <w:r>
        <w:rPr/>
        <w:t>differential</w:t>
      </w:r>
      <w:r>
        <w:rPr>
          <w:spacing w:val="-1"/>
        </w:rPr>
        <w:t> </w:t>
      </w:r>
      <w:r>
        <w:rPr/>
        <w:t>leucocyte count</w:t>
      </w:r>
      <w:r>
        <w:rPr>
          <w:spacing w:val="-1"/>
        </w:rPr>
        <w:t> </w:t>
      </w:r>
      <w:r>
        <w:rPr/>
        <w:t>in</w:t>
      </w:r>
      <w:r>
        <w:rPr>
          <w:spacing w:val="-1"/>
        </w:rPr>
        <w:t> </w:t>
      </w:r>
      <w:r>
        <w:rPr/>
        <w:t>the</w:t>
      </w:r>
      <w:r>
        <w:rPr>
          <w:spacing w:val="-2"/>
        </w:rPr>
        <w:t> </w:t>
      </w:r>
      <w:r>
        <w:rPr/>
        <w:t>peripheral</w:t>
      </w:r>
      <w:r>
        <w:rPr>
          <w:spacing w:val="-1"/>
        </w:rPr>
        <w:t> </w:t>
      </w:r>
      <w:r>
        <w:rPr/>
        <w:t>blood</w:t>
      </w:r>
      <w:r>
        <w:rPr>
          <w:spacing w:val="-1"/>
        </w:rPr>
        <w:t> </w:t>
      </w:r>
      <w:r>
        <w:rPr/>
        <w:t>was</w:t>
      </w:r>
      <w:r>
        <w:rPr>
          <w:spacing w:val="-1"/>
        </w:rPr>
        <w:t> </w:t>
      </w:r>
      <w:r>
        <w:rPr/>
        <w:t>significantly</w:t>
      </w:r>
      <w:r>
        <w:rPr>
          <w:spacing w:val="-6"/>
        </w:rPr>
        <w:t> </w:t>
      </w:r>
      <w:r>
        <w:rPr/>
        <w:t>(P&lt;0.05)</w:t>
      </w:r>
      <w:r>
        <w:rPr>
          <w:spacing w:val="-2"/>
        </w:rPr>
        <w:t> </w:t>
      </w:r>
      <w:r>
        <w:rPr/>
        <w:t>lower than 1.1</w:t>
      </w:r>
      <w:r>
        <w:rPr>
          <w:rFonts w:ascii="Symbol" w:hAnsi="Symbol"/>
        </w:rPr>
        <w:t></w:t>
      </w:r>
      <w:r>
        <w:rPr/>
        <w:t>0.25 from the placental blood.</w:t>
      </w:r>
    </w:p>
    <w:p>
      <w:pPr>
        <w:spacing w:after="0" w:line="360" w:lineRule="auto"/>
        <w:jc w:val="both"/>
        <w:sectPr>
          <w:pgSz w:w="11910" w:h="16840"/>
          <w:pgMar w:header="0" w:footer="1067" w:top="1060" w:bottom="1260" w:left="880" w:right="640"/>
        </w:sectPr>
      </w:pPr>
    </w:p>
    <w:p>
      <w:pPr>
        <w:spacing w:line="480" w:lineRule="auto" w:before="77"/>
        <w:ind w:left="560" w:right="795" w:firstLine="0"/>
        <w:jc w:val="both"/>
        <w:rPr>
          <w:b/>
          <w:sz w:val="22"/>
        </w:rPr>
      </w:pPr>
      <w:r>
        <w:rPr>
          <w:b/>
          <w:sz w:val="22"/>
        </w:rPr>
        <w:t>TABLE</w:t>
      </w:r>
      <w:r>
        <w:rPr>
          <w:b/>
          <w:spacing w:val="-2"/>
          <w:sz w:val="22"/>
        </w:rPr>
        <w:t> </w:t>
      </w:r>
      <w:r>
        <w:rPr>
          <w:b/>
          <w:sz w:val="22"/>
        </w:rPr>
        <w:t>4.3: COMPARISON</w:t>
      </w:r>
      <w:r>
        <w:rPr>
          <w:b/>
          <w:spacing w:val="-4"/>
          <w:sz w:val="22"/>
        </w:rPr>
        <w:t> </w:t>
      </w:r>
      <w:r>
        <w:rPr>
          <w:b/>
          <w:sz w:val="22"/>
        </w:rPr>
        <w:t>OF</w:t>
      </w:r>
      <w:r>
        <w:rPr>
          <w:b/>
          <w:spacing w:val="-2"/>
          <w:sz w:val="22"/>
        </w:rPr>
        <w:t> </w:t>
      </w:r>
      <w:r>
        <w:rPr>
          <w:b/>
          <w:sz w:val="22"/>
        </w:rPr>
        <w:t>MEAN±SD</w:t>
      </w:r>
      <w:r>
        <w:rPr>
          <w:b/>
          <w:spacing w:val="-2"/>
          <w:sz w:val="22"/>
        </w:rPr>
        <w:t> </w:t>
      </w:r>
      <w:r>
        <w:rPr>
          <w:b/>
          <w:sz w:val="22"/>
        </w:rPr>
        <w:t>OF</w:t>
      </w:r>
      <w:r>
        <w:rPr>
          <w:b/>
          <w:spacing w:val="-4"/>
          <w:sz w:val="22"/>
        </w:rPr>
        <w:t> </w:t>
      </w:r>
      <w:r>
        <w:rPr>
          <w:b/>
          <w:sz w:val="22"/>
        </w:rPr>
        <w:t>CYTOKINE</w:t>
      </w:r>
      <w:r>
        <w:rPr>
          <w:b/>
          <w:spacing w:val="-2"/>
          <w:sz w:val="22"/>
        </w:rPr>
        <w:t> </w:t>
      </w:r>
      <w:r>
        <w:rPr>
          <w:b/>
          <w:sz w:val="22"/>
        </w:rPr>
        <w:t>LEVELS,</w:t>
      </w:r>
      <w:r>
        <w:rPr>
          <w:b/>
          <w:spacing w:val="-2"/>
          <w:sz w:val="22"/>
        </w:rPr>
        <w:t> </w:t>
      </w:r>
      <w:r>
        <w:rPr>
          <w:b/>
          <w:sz w:val="22"/>
        </w:rPr>
        <w:t>PARASITE</w:t>
      </w:r>
      <w:r>
        <w:rPr>
          <w:b/>
          <w:spacing w:val="-2"/>
          <w:sz w:val="22"/>
        </w:rPr>
        <w:t> </w:t>
      </w:r>
      <w:r>
        <w:rPr>
          <w:b/>
          <w:sz w:val="22"/>
        </w:rPr>
        <w:t>DENSITY &amp; LEUCOCYTE COUNT BETWEEN PERIPHERAL AND PLACENTAL BLOOD AMONG MALARIA INFECTED PREGNANT AND POST-PARTUM WOMEN.</w:t>
      </w:r>
    </w:p>
    <w:p>
      <w:pPr>
        <w:pStyle w:val="BodyText"/>
        <w:spacing w:before="25"/>
        <w:rPr>
          <w:b/>
          <w:sz w:val="20"/>
        </w:rPr>
      </w:pPr>
    </w:p>
    <w:tbl>
      <w:tblPr>
        <w:tblW w:w="0" w:type="auto"/>
        <w:jc w:val="left"/>
        <w:tblInd w:w="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6"/>
        <w:gridCol w:w="2253"/>
        <w:gridCol w:w="2228"/>
        <w:gridCol w:w="1817"/>
      </w:tblGrid>
      <w:tr>
        <w:trPr>
          <w:trHeight w:val="663" w:hRule="atLeast"/>
        </w:trPr>
        <w:tc>
          <w:tcPr>
            <w:tcW w:w="2126" w:type="dxa"/>
            <w:tcBorders>
              <w:top w:val="single" w:sz="8" w:space="0" w:color="000000"/>
              <w:bottom w:val="single" w:sz="8" w:space="0" w:color="000000"/>
            </w:tcBorders>
          </w:tcPr>
          <w:p>
            <w:pPr>
              <w:pStyle w:val="TableParagraph"/>
              <w:spacing w:line="251" w:lineRule="exact"/>
              <w:ind w:left="556"/>
              <w:jc w:val="left"/>
              <w:rPr>
                <w:b/>
                <w:sz w:val="22"/>
              </w:rPr>
            </w:pPr>
            <w:r>
              <w:rPr>
                <w:b/>
                <w:spacing w:val="-2"/>
                <w:sz w:val="22"/>
              </w:rPr>
              <w:t>Parameters</w:t>
            </w:r>
          </w:p>
        </w:tc>
        <w:tc>
          <w:tcPr>
            <w:tcW w:w="2253" w:type="dxa"/>
            <w:tcBorders>
              <w:top w:val="single" w:sz="8" w:space="0" w:color="000000"/>
              <w:bottom w:val="single" w:sz="8" w:space="0" w:color="000000"/>
            </w:tcBorders>
          </w:tcPr>
          <w:p>
            <w:pPr>
              <w:pStyle w:val="TableParagraph"/>
              <w:ind w:left="732" w:right="139" w:hanging="387"/>
              <w:jc w:val="left"/>
              <w:rPr>
                <w:b/>
                <w:sz w:val="22"/>
              </w:rPr>
            </w:pPr>
            <w:r>
              <w:rPr>
                <w:b/>
                <w:sz w:val="22"/>
              </w:rPr>
              <w:t>Peripheral</w:t>
            </w:r>
            <w:r>
              <w:rPr>
                <w:b/>
                <w:spacing w:val="-14"/>
                <w:sz w:val="22"/>
              </w:rPr>
              <w:t> </w:t>
            </w:r>
            <w:r>
              <w:rPr>
                <w:b/>
                <w:sz w:val="22"/>
              </w:rPr>
              <w:t>Blood (n = 144)</w:t>
            </w:r>
          </w:p>
        </w:tc>
        <w:tc>
          <w:tcPr>
            <w:tcW w:w="2228" w:type="dxa"/>
            <w:tcBorders>
              <w:top w:val="single" w:sz="8" w:space="0" w:color="000000"/>
              <w:bottom w:val="single" w:sz="8" w:space="0" w:color="000000"/>
            </w:tcBorders>
          </w:tcPr>
          <w:p>
            <w:pPr>
              <w:pStyle w:val="TableParagraph"/>
              <w:ind w:left="685" w:right="283" w:hanging="375"/>
              <w:jc w:val="left"/>
              <w:rPr>
                <w:b/>
                <w:sz w:val="22"/>
              </w:rPr>
            </w:pPr>
            <w:r>
              <w:rPr>
                <w:b/>
                <w:sz w:val="22"/>
              </w:rPr>
              <w:t>Placental</w:t>
            </w:r>
            <w:r>
              <w:rPr>
                <w:b/>
                <w:spacing w:val="-14"/>
                <w:sz w:val="22"/>
              </w:rPr>
              <w:t> </w:t>
            </w:r>
            <w:r>
              <w:rPr>
                <w:b/>
                <w:sz w:val="22"/>
              </w:rPr>
              <w:t>Blood (n = 30)</w:t>
            </w:r>
          </w:p>
        </w:tc>
        <w:tc>
          <w:tcPr>
            <w:tcW w:w="1817" w:type="dxa"/>
            <w:tcBorders>
              <w:top w:val="single" w:sz="8" w:space="0" w:color="000000"/>
              <w:bottom w:val="single" w:sz="8" w:space="0" w:color="000000"/>
            </w:tcBorders>
          </w:tcPr>
          <w:p>
            <w:pPr>
              <w:pStyle w:val="TableParagraph"/>
              <w:spacing w:line="251" w:lineRule="exact"/>
              <w:ind w:right="107"/>
              <w:rPr>
                <w:b/>
                <w:sz w:val="22"/>
              </w:rPr>
            </w:pPr>
            <w:r>
              <w:rPr>
                <w:b/>
                <w:sz w:val="22"/>
              </w:rPr>
              <w:t>P- </w:t>
            </w:r>
            <w:r>
              <w:rPr>
                <w:b/>
                <w:spacing w:val="-2"/>
                <w:sz w:val="22"/>
              </w:rPr>
              <w:t>values</w:t>
            </w:r>
          </w:p>
        </w:tc>
      </w:tr>
      <w:tr>
        <w:trPr>
          <w:trHeight w:val="617" w:hRule="atLeast"/>
        </w:trPr>
        <w:tc>
          <w:tcPr>
            <w:tcW w:w="2126" w:type="dxa"/>
            <w:tcBorders>
              <w:top w:val="single" w:sz="8" w:space="0" w:color="000000"/>
            </w:tcBorders>
          </w:tcPr>
          <w:p>
            <w:pPr>
              <w:pStyle w:val="TableParagraph"/>
              <w:spacing w:before="238"/>
              <w:ind w:left="489"/>
              <w:jc w:val="left"/>
              <w:rPr>
                <w:b/>
                <w:sz w:val="22"/>
              </w:rPr>
            </w:pPr>
            <w:r>
              <w:rPr>
                <w:b/>
                <w:sz w:val="22"/>
              </w:rPr>
              <w:t>IFNγ</w:t>
            </w:r>
            <w:r>
              <w:rPr>
                <w:b/>
                <w:spacing w:val="-4"/>
                <w:sz w:val="22"/>
              </w:rPr>
              <w:t> </w:t>
            </w:r>
            <w:r>
              <w:rPr>
                <w:b/>
                <w:spacing w:val="-2"/>
                <w:sz w:val="22"/>
              </w:rPr>
              <w:t>(pg/ml)</w:t>
            </w:r>
          </w:p>
        </w:tc>
        <w:tc>
          <w:tcPr>
            <w:tcW w:w="2253" w:type="dxa"/>
            <w:tcBorders>
              <w:top w:val="single" w:sz="8" w:space="0" w:color="000000"/>
            </w:tcBorders>
          </w:tcPr>
          <w:p>
            <w:pPr>
              <w:pStyle w:val="TableParagraph"/>
              <w:spacing w:before="233"/>
              <w:ind w:left="509"/>
              <w:jc w:val="left"/>
              <w:rPr>
                <w:sz w:val="22"/>
              </w:rPr>
            </w:pPr>
            <w:r>
              <w:rPr>
                <w:sz w:val="22"/>
              </w:rPr>
              <w:t>22.94 ±</w:t>
            </w:r>
            <w:r>
              <w:rPr>
                <w:spacing w:val="-2"/>
                <w:sz w:val="22"/>
              </w:rPr>
              <w:t> 12.71</w:t>
            </w:r>
            <w:r>
              <w:rPr>
                <w:spacing w:val="-2"/>
                <w:sz w:val="22"/>
                <w:vertAlign w:val="superscript"/>
              </w:rPr>
              <w:t>a</w:t>
            </w:r>
          </w:p>
        </w:tc>
        <w:tc>
          <w:tcPr>
            <w:tcW w:w="2228" w:type="dxa"/>
            <w:tcBorders>
              <w:top w:val="single" w:sz="8" w:space="0" w:color="000000"/>
            </w:tcBorders>
          </w:tcPr>
          <w:p>
            <w:pPr>
              <w:pStyle w:val="TableParagraph"/>
              <w:spacing w:before="233"/>
              <w:ind w:left="457"/>
              <w:jc w:val="left"/>
              <w:rPr>
                <w:sz w:val="22"/>
              </w:rPr>
            </w:pPr>
            <w:r>
              <w:rPr>
                <w:sz w:val="22"/>
              </w:rPr>
              <w:t>11.71 ±</w:t>
            </w:r>
            <w:r>
              <w:rPr>
                <w:spacing w:val="-2"/>
                <w:sz w:val="22"/>
              </w:rPr>
              <w:t> 6.55</w:t>
            </w:r>
            <w:r>
              <w:rPr>
                <w:spacing w:val="-2"/>
                <w:sz w:val="22"/>
                <w:vertAlign w:val="superscript"/>
              </w:rPr>
              <w:t>b</w:t>
            </w:r>
          </w:p>
        </w:tc>
        <w:tc>
          <w:tcPr>
            <w:tcW w:w="1817" w:type="dxa"/>
            <w:tcBorders>
              <w:top w:val="single" w:sz="8" w:space="0" w:color="000000"/>
            </w:tcBorders>
          </w:tcPr>
          <w:p>
            <w:pPr>
              <w:pStyle w:val="TableParagraph"/>
              <w:spacing w:before="233"/>
              <w:ind w:left="1" w:right="107"/>
              <w:rPr>
                <w:sz w:val="22"/>
              </w:rPr>
            </w:pPr>
            <w:r>
              <w:rPr>
                <w:spacing w:val="-2"/>
                <w:sz w:val="22"/>
              </w:rPr>
              <w:t>0.001</w:t>
            </w:r>
          </w:p>
        </w:tc>
      </w:tr>
      <w:tr>
        <w:trPr>
          <w:trHeight w:val="535" w:hRule="atLeast"/>
        </w:trPr>
        <w:tc>
          <w:tcPr>
            <w:tcW w:w="2126" w:type="dxa"/>
          </w:tcPr>
          <w:p>
            <w:pPr>
              <w:pStyle w:val="TableParagraph"/>
              <w:spacing w:before="150"/>
              <w:ind w:right="372"/>
              <w:jc w:val="right"/>
              <w:rPr>
                <w:b/>
                <w:sz w:val="22"/>
              </w:rPr>
            </w:pPr>
            <w:r>
              <w:rPr>
                <w:b/>
                <w:sz w:val="22"/>
              </w:rPr>
              <w:t>TNFα</w:t>
            </w:r>
            <w:r>
              <w:rPr>
                <w:b/>
                <w:spacing w:val="-4"/>
                <w:sz w:val="22"/>
              </w:rPr>
              <w:t> </w:t>
            </w:r>
            <w:r>
              <w:rPr>
                <w:b/>
                <w:spacing w:val="-2"/>
                <w:sz w:val="22"/>
              </w:rPr>
              <w:t>(pg/ml)</w:t>
            </w:r>
          </w:p>
        </w:tc>
        <w:tc>
          <w:tcPr>
            <w:tcW w:w="2253" w:type="dxa"/>
          </w:tcPr>
          <w:p>
            <w:pPr>
              <w:pStyle w:val="TableParagraph"/>
              <w:spacing w:before="146"/>
              <w:ind w:left="509"/>
              <w:jc w:val="left"/>
              <w:rPr>
                <w:sz w:val="22"/>
              </w:rPr>
            </w:pPr>
            <w:r>
              <w:rPr>
                <w:sz w:val="22"/>
              </w:rPr>
              <w:t>21.12 ±</w:t>
            </w:r>
            <w:r>
              <w:rPr>
                <w:spacing w:val="-2"/>
                <w:sz w:val="22"/>
              </w:rPr>
              <w:t> 12.57</w:t>
            </w:r>
            <w:r>
              <w:rPr>
                <w:spacing w:val="-2"/>
                <w:sz w:val="22"/>
                <w:vertAlign w:val="superscript"/>
              </w:rPr>
              <w:t>a</w:t>
            </w:r>
          </w:p>
        </w:tc>
        <w:tc>
          <w:tcPr>
            <w:tcW w:w="2228" w:type="dxa"/>
          </w:tcPr>
          <w:p>
            <w:pPr>
              <w:pStyle w:val="TableParagraph"/>
              <w:spacing w:before="146"/>
              <w:ind w:left="404"/>
              <w:jc w:val="left"/>
              <w:rPr>
                <w:sz w:val="22"/>
              </w:rPr>
            </w:pPr>
            <w:r>
              <w:rPr>
                <w:sz w:val="22"/>
              </w:rPr>
              <w:t>19.35 ±</w:t>
            </w:r>
            <w:r>
              <w:rPr>
                <w:spacing w:val="-2"/>
                <w:sz w:val="22"/>
              </w:rPr>
              <w:t> 10.94</w:t>
            </w:r>
            <w:r>
              <w:rPr>
                <w:spacing w:val="-2"/>
                <w:sz w:val="22"/>
                <w:vertAlign w:val="superscript"/>
              </w:rPr>
              <w:t>a</w:t>
            </w:r>
          </w:p>
        </w:tc>
        <w:tc>
          <w:tcPr>
            <w:tcW w:w="1817" w:type="dxa"/>
          </w:tcPr>
          <w:p>
            <w:pPr>
              <w:pStyle w:val="TableParagraph"/>
              <w:spacing w:before="146"/>
              <w:ind w:left="1" w:right="107"/>
              <w:rPr>
                <w:sz w:val="22"/>
              </w:rPr>
            </w:pPr>
            <w:r>
              <w:rPr>
                <w:spacing w:val="-2"/>
                <w:sz w:val="22"/>
              </w:rPr>
              <w:t>0.862</w:t>
            </w:r>
          </w:p>
        </w:tc>
      </w:tr>
      <w:tr>
        <w:trPr>
          <w:trHeight w:val="516" w:hRule="atLeast"/>
        </w:trPr>
        <w:tc>
          <w:tcPr>
            <w:tcW w:w="2126" w:type="dxa"/>
          </w:tcPr>
          <w:p>
            <w:pPr>
              <w:pStyle w:val="TableParagraph"/>
              <w:spacing w:before="156"/>
              <w:ind w:left="523"/>
              <w:jc w:val="left"/>
              <w:rPr>
                <w:b/>
                <w:sz w:val="22"/>
              </w:rPr>
            </w:pPr>
            <w:r>
              <w:rPr>
                <w:b/>
                <w:sz w:val="22"/>
              </w:rPr>
              <w:t>IL-4</w:t>
            </w:r>
            <w:r>
              <w:rPr>
                <w:b/>
                <w:spacing w:val="-3"/>
                <w:sz w:val="22"/>
              </w:rPr>
              <w:t> </w:t>
            </w:r>
            <w:r>
              <w:rPr>
                <w:b/>
                <w:spacing w:val="-2"/>
                <w:sz w:val="22"/>
              </w:rPr>
              <w:t>(pg/ml)</w:t>
            </w:r>
          </w:p>
        </w:tc>
        <w:tc>
          <w:tcPr>
            <w:tcW w:w="2253" w:type="dxa"/>
          </w:tcPr>
          <w:p>
            <w:pPr>
              <w:pStyle w:val="TableParagraph"/>
              <w:spacing w:before="151"/>
              <w:ind w:left="620"/>
              <w:jc w:val="left"/>
              <w:rPr>
                <w:sz w:val="22"/>
              </w:rPr>
            </w:pPr>
            <w:r>
              <w:rPr>
                <w:sz w:val="22"/>
              </w:rPr>
              <w:t>9.66 ±</w:t>
            </w:r>
            <w:r>
              <w:rPr>
                <w:spacing w:val="-2"/>
                <w:sz w:val="22"/>
              </w:rPr>
              <w:t> 7.05</w:t>
            </w:r>
            <w:r>
              <w:rPr>
                <w:spacing w:val="-2"/>
                <w:sz w:val="22"/>
                <w:vertAlign w:val="superscript"/>
              </w:rPr>
              <w:t>a</w:t>
            </w:r>
          </w:p>
        </w:tc>
        <w:tc>
          <w:tcPr>
            <w:tcW w:w="2228" w:type="dxa"/>
          </w:tcPr>
          <w:p>
            <w:pPr>
              <w:pStyle w:val="TableParagraph"/>
              <w:spacing w:before="151"/>
              <w:ind w:left="457"/>
              <w:jc w:val="left"/>
              <w:rPr>
                <w:sz w:val="22"/>
              </w:rPr>
            </w:pPr>
            <w:r>
              <w:rPr>
                <w:sz w:val="22"/>
              </w:rPr>
              <w:t>14.86 ±</w:t>
            </w:r>
            <w:r>
              <w:rPr>
                <w:spacing w:val="-2"/>
                <w:sz w:val="22"/>
              </w:rPr>
              <w:t> 6.37</w:t>
            </w:r>
            <w:r>
              <w:rPr>
                <w:spacing w:val="-2"/>
                <w:sz w:val="22"/>
                <w:vertAlign w:val="superscript"/>
              </w:rPr>
              <w:t>b</w:t>
            </w:r>
          </w:p>
        </w:tc>
        <w:tc>
          <w:tcPr>
            <w:tcW w:w="1817" w:type="dxa"/>
          </w:tcPr>
          <w:p>
            <w:pPr>
              <w:pStyle w:val="TableParagraph"/>
              <w:spacing w:before="151"/>
              <w:ind w:left="1" w:right="107"/>
              <w:rPr>
                <w:sz w:val="22"/>
              </w:rPr>
            </w:pPr>
            <w:r>
              <w:rPr>
                <w:spacing w:val="-2"/>
                <w:sz w:val="22"/>
              </w:rPr>
              <w:t>0.001</w:t>
            </w:r>
          </w:p>
        </w:tc>
      </w:tr>
      <w:tr>
        <w:trPr>
          <w:trHeight w:val="511" w:hRule="atLeast"/>
        </w:trPr>
        <w:tc>
          <w:tcPr>
            <w:tcW w:w="2126" w:type="dxa"/>
          </w:tcPr>
          <w:p>
            <w:pPr>
              <w:pStyle w:val="TableParagraph"/>
              <w:spacing w:before="131"/>
              <w:ind w:left="523"/>
              <w:jc w:val="left"/>
              <w:rPr>
                <w:b/>
                <w:sz w:val="22"/>
              </w:rPr>
            </w:pPr>
            <w:r>
              <w:rPr>
                <w:b/>
                <w:sz w:val="22"/>
              </w:rPr>
              <w:t>IL-6</w:t>
            </w:r>
            <w:r>
              <w:rPr>
                <w:b/>
                <w:spacing w:val="-3"/>
                <w:sz w:val="22"/>
              </w:rPr>
              <w:t> </w:t>
            </w:r>
            <w:r>
              <w:rPr>
                <w:b/>
                <w:spacing w:val="-2"/>
                <w:sz w:val="22"/>
              </w:rPr>
              <w:t>(pg/ml)</w:t>
            </w:r>
          </w:p>
        </w:tc>
        <w:tc>
          <w:tcPr>
            <w:tcW w:w="2253" w:type="dxa"/>
          </w:tcPr>
          <w:p>
            <w:pPr>
              <w:pStyle w:val="TableParagraph"/>
              <w:spacing w:before="126"/>
              <w:ind w:left="509"/>
              <w:jc w:val="left"/>
              <w:rPr>
                <w:sz w:val="22"/>
              </w:rPr>
            </w:pPr>
            <w:r>
              <w:rPr>
                <w:sz w:val="22"/>
              </w:rPr>
              <w:t>32.11 ±</w:t>
            </w:r>
            <w:r>
              <w:rPr>
                <w:spacing w:val="-2"/>
                <w:sz w:val="22"/>
              </w:rPr>
              <w:t> 27.92</w:t>
            </w:r>
            <w:r>
              <w:rPr>
                <w:spacing w:val="-2"/>
                <w:sz w:val="22"/>
                <w:vertAlign w:val="superscript"/>
              </w:rPr>
              <w:t>a</w:t>
            </w:r>
          </w:p>
        </w:tc>
        <w:tc>
          <w:tcPr>
            <w:tcW w:w="2228" w:type="dxa"/>
          </w:tcPr>
          <w:p>
            <w:pPr>
              <w:pStyle w:val="TableParagraph"/>
              <w:spacing w:before="126"/>
              <w:ind w:left="404"/>
              <w:jc w:val="left"/>
              <w:rPr>
                <w:sz w:val="22"/>
              </w:rPr>
            </w:pPr>
            <w:r>
              <w:rPr>
                <w:sz w:val="22"/>
              </w:rPr>
              <w:t>34.27 ±</w:t>
            </w:r>
            <w:r>
              <w:rPr>
                <w:spacing w:val="-2"/>
                <w:sz w:val="22"/>
              </w:rPr>
              <w:t> 13.78</w:t>
            </w:r>
            <w:r>
              <w:rPr>
                <w:spacing w:val="-2"/>
                <w:sz w:val="22"/>
                <w:vertAlign w:val="superscript"/>
              </w:rPr>
              <w:t>a</w:t>
            </w:r>
          </w:p>
        </w:tc>
        <w:tc>
          <w:tcPr>
            <w:tcW w:w="1817" w:type="dxa"/>
          </w:tcPr>
          <w:p>
            <w:pPr>
              <w:pStyle w:val="TableParagraph"/>
              <w:spacing w:before="126"/>
              <w:ind w:left="1" w:right="107"/>
              <w:rPr>
                <w:sz w:val="22"/>
              </w:rPr>
            </w:pPr>
            <w:r>
              <w:rPr>
                <w:spacing w:val="-2"/>
                <w:sz w:val="22"/>
              </w:rPr>
              <w:t>0.922</w:t>
            </w:r>
          </w:p>
        </w:tc>
      </w:tr>
      <w:tr>
        <w:trPr>
          <w:trHeight w:val="521" w:hRule="atLeast"/>
        </w:trPr>
        <w:tc>
          <w:tcPr>
            <w:tcW w:w="2126" w:type="dxa"/>
          </w:tcPr>
          <w:p>
            <w:pPr>
              <w:pStyle w:val="TableParagraph"/>
              <w:spacing w:before="150"/>
              <w:ind w:right="390"/>
              <w:jc w:val="right"/>
              <w:rPr>
                <w:b/>
                <w:sz w:val="22"/>
              </w:rPr>
            </w:pPr>
            <w:r>
              <w:rPr>
                <w:b/>
                <w:sz w:val="22"/>
              </w:rPr>
              <w:t>IL-10</w:t>
            </w:r>
            <w:r>
              <w:rPr>
                <w:b/>
                <w:spacing w:val="-4"/>
                <w:sz w:val="22"/>
              </w:rPr>
              <w:t> </w:t>
            </w:r>
            <w:r>
              <w:rPr>
                <w:b/>
                <w:spacing w:val="-2"/>
                <w:sz w:val="22"/>
              </w:rPr>
              <w:t>(pg/ml)</w:t>
            </w:r>
          </w:p>
        </w:tc>
        <w:tc>
          <w:tcPr>
            <w:tcW w:w="2253" w:type="dxa"/>
          </w:tcPr>
          <w:p>
            <w:pPr>
              <w:pStyle w:val="TableParagraph"/>
              <w:spacing w:before="146"/>
              <w:ind w:left="509"/>
              <w:jc w:val="left"/>
              <w:rPr>
                <w:sz w:val="22"/>
              </w:rPr>
            </w:pPr>
            <w:r>
              <w:rPr>
                <w:sz w:val="22"/>
              </w:rPr>
              <w:t>35.19 ±</w:t>
            </w:r>
            <w:r>
              <w:rPr>
                <w:spacing w:val="-2"/>
                <w:sz w:val="22"/>
              </w:rPr>
              <w:t> 28.81</w:t>
            </w:r>
            <w:r>
              <w:rPr>
                <w:spacing w:val="-2"/>
                <w:sz w:val="22"/>
                <w:vertAlign w:val="superscript"/>
              </w:rPr>
              <w:t>a</w:t>
            </w:r>
          </w:p>
        </w:tc>
        <w:tc>
          <w:tcPr>
            <w:tcW w:w="2228" w:type="dxa"/>
          </w:tcPr>
          <w:p>
            <w:pPr>
              <w:pStyle w:val="TableParagraph"/>
              <w:spacing w:before="146"/>
              <w:ind w:left="404"/>
              <w:jc w:val="left"/>
              <w:rPr>
                <w:sz w:val="22"/>
              </w:rPr>
            </w:pPr>
            <w:r>
              <w:rPr>
                <w:sz w:val="22"/>
              </w:rPr>
              <w:t>55.57 ±</w:t>
            </w:r>
            <w:r>
              <w:rPr>
                <w:spacing w:val="-2"/>
                <w:sz w:val="22"/>
              </w:rPr>
              <w:t> 43.13</w:t>
            </w:r>
            <w:r>
              <w:rPr>
                <w:spacing w:val="-2"/>
                <w:sz w:val="22"/>
                <w:vertAlign w:val="superscript"/>
              </w:rPr>
              <w:t>a</w:t>
            </w:r>
          </w:p>
        </w:tc>
        <w:tc>
          <w:tcPr>
            <w:tcW w:w="1817" w:type="dxa"/>
          </w:tcPr>
          <w:p>
            <w:pPr>
              <w:pStyle w:val="TableParagraph"/>
              <w:spacing w:before="146"/>
              <w:ind w:left="1" w:right="107"/>
              <w:rPr>
                <w:sz w:val="22"/>
              </w:rPr>
            </w:pPr>
            <w:r>
              <w:rPr>
                <w:spacing w:val="-2"/>
                <w:sz w:val="22"/>
              </w:rPr>
              <w:t>0.082</w:t>
            </w:r>
          </w:p>
        </w:tc>
      </w:tr>
      <w:tr>
        <w:trPr>
          <w:trHeight w:val="502" w:hRule="atLeast"/>
        </w:trPr>
        <w:tc>
          <w:tcPr>
            <w:tcW w:w="2126" w:type="dxa"/>
          </w:tcPr>
          <w:p>
            <w:pPr>
              <w:pStyle w:val="TableParagraph"/>
              <w:spacing w:before="142"/>
              <w:ind w:left="645"/>
              <w:jc w:val="left"/>
              <w:rPr>
                <w:b/>
                <w:sz w:val="22"/>
              </w:rPr>
            </w:pPr>
            <w:r>
              <w:rPr>
                <w:b/>
                <w:sz w:val="22"/>
              </w:rPr>
              <w:t>MP</w:t>
            </w:r>
            <w:r>
              <w:rPr>
                <w:b/>
                <w:spacing w:val="-2"/>
                <w:sz w:val="22"/>
              </w:rPr>
              <w:t> (p/ul)</w:t>
            </w:r>
          </w:p>
        </w:tc>
        <w:tc>
          <w:tcPr>
            <w:tcW w:w="2253" w:type="dxa"/>
          </w:tcPr>
          <w:p>
            <w:pPr>
              <w:pStyle w:val="TableParagraph"/>
              <w:spacing w:before="137"/>
              <w:ind w:left="399"/>
              <w:jc w:val="left"/>
              <w:rPr>
                <w:sz w:val="22"/>
              </w:rPr>
            </w:pPr>
            <w:r>
              <w:rPr>
                <w:sz w:val="22"/>
              </w:rPr>
              <w:t>658.56 ±</w:t>
            </w:r>
            <w:r>
              <w:rPr>
                <w:spacing w:val="-2"/>
                <w:sz w:val="22"/>
              </w:rPr>
              <w:t> 484.55</w:t>
            </w:r>
            <w:r>
              <w:rPr>
                <w:spacing w:val="-2"/>
                <w:sz w:val="22"/>
                <w:vertAlign w:val="superscript"/>
              </w:rPr>
              <w:t>a</w:t>
            </w:r>
          </w:p>
        </w:tc>
        <w:tc>
          <w:tcPr>
            <w:tcW w:w="2228" w:type="dxa"/>
          </w:tcPr>
          <w:p>
            <w:pPr>
              <w:pStyle w:val="TableParagraph"/>
              <w:spacing w:before="137"/>
              <w:ind w:left="296"/>
              <w:jc w:val="left"/>
              <w:rPr>
                <w:sz w:val="22"/>
              </w:rPr>
            </w:pPr>
            <w:r>
              <w:rPr>
                <w:sz w:val="22"/>
              </w:rPr>
              <w:t>762.47 ±</w:t>
            </w:r>
            <w:r>
              <w:rPr>
                <w:spacing w:val="-2"/>
                <w:sz w:val="22"/>
              </w:rPr>
              <w:t> 459.62</w:t>
            </w:r>
            <w:r>
              <w:rPr>
                <w:spacing w:val="-2"/>
                <w:sz w:val="22"/>
                <w:vertAlign w:val="superscript"/>
              </w:rPr>
              <w:t>a</w:t>
            </w:r>
          </w:p>
        </w:tc>
        <w:tc>
          <w:tcPr>
            <w:tcW w:w="1817" w:type="dxa"/>
          </w:tcPr>
          <w:p>
            <w:pPr>
              <w:pStyle w:val="TableParagraph"/>
              <w:spacing w:before="137"/>
              <w:ind w:left="1" w:right="107"/>
              <w:rPr>
                <w:sz w:val="22"/>
              </w:rPr>
            </w:pPr>
            <w:r>
              <w:rPr>
                <w:spacing w:val="-2"/>
                <w:sz w:val="22"/>
              </w:rPr>
              <w:t>0.082</w:t>
            </w:r>
          </w:p>
        </w:tc>
      </w:tr>
      <w:tr>
        <w:trPr>
          <w:trHeight w:val="489" w:hRule="atLeast"/>
        </w:trPr>
        <w:tc>
          <w:tcPr>
            <w:tcW w:w="2126" w:type="dxa"/>
          </w:tcPr>
          <w:p>
            <w:pPr>
              <w:pStyle w:val="TableParagraph"/>
              <w:spacing w:before="131"/>
              <w:ind w:right="353"/>
              <w:jc w:val="right"/>
              <w:rPr>
                <w:b/>
                <w:sz w:val="22"/>
              </w:rPr>
            </w:pPr>
            <w:r>
              <w:rPr>
                <w:b/>
                <w:sz w:val="22"/>
              </w:rPr>
              <w:t>WBC</w:t>
            </w:r>
            <w:r>
              <w:rPr>
                <w:b/>
                <w:spacing w:val="-2"/>
                <w:sz w:val="22"/>
              </w:rPr>
              <w:t> (x10</w:t>
            </w:r>
            <w:r>
              <w:rPr>
                <w:b/>
                <w:spacing w:val="-2"/>
                <w:sz w:val="22"/>
                <w:vertAlign w:val="superscript"/>
              </w:rPr>
              <w:t>9</w:t>
            </w:r>
            <w:r>
              <w:rPr>
                <w:b/>
                <w:spacing w:val="-2"/>
                <w:sz w:val="22"/>
                <w:vertAlign w:val="baseline"/>
              </w:rPr>
              <w:t>/L)</w:t>
            </w:r>
          </w:p>
        </w:tc>
        <w:tc>
          <w:tcPr>
            <w:tcW w:w="2253" w:type="dxa"/>
          </w:tcPr>
          <w:p>
            <w:pPr>
              <w:pStyle w:val="TableParagraph"/>
              <w:spacing w:before="126"/>
              <w:ind w:left="620"/>
              <w:jc w:val="left"/>
              <w:rPr>
                <w:sz w:val="22"/>
              </w:rPr>
            </w:pPr>
            <w:r>
              <w:rPr>
                <w:sz w:val="22"/>
              </w:rPr>
              <w:t>7.09 ±</w:t>
            </w:r>
            <w:r>
              <w:rPr>
                <w:spacing w:val="-2"/>
                <w:sz w:val="22"/>
              </w:rPr>
              <w:t> 2.02</w:t>
            </w:r>
            <w:r>
              <w:rPr>
                <w:spacing w:val="-2"/>
                <w:sz w:val="22"/>
                <w:vertAlign w:val="superscript"/>
              </w:rPr>
              <w:t>a</w:t>
            </w:r>
          </w:p>
        </w:tc>
        <w:tc>
          <w:tcPr>
            <w:tcW w:w="2228" w:type="dxa"/>
          </w:tcPr>
          <w:p>
            <w:pPr>
              <w:pStyle w:val="TableParagraph"/>
              <w:spacing w:before="126"/>
              <w:ind w:left="457"/>
              <w:jc w:val="left"/>
              <w:rPr>
                <w:sz w:val="22"/>
              </w:rPr>
            </w:pPr>
            <w:r>
              <w:rPr>
                <w:sz w:val="22"/>
              </w:rPr>
              <w:t>11.00 ±</w:t>
            </w:r>
            <w:r>
              <w:rPr>
                <w:spacing w:val="-2"/>
                <w:sz w:val="22"/>
              </w:rPr>
              <w:t> 4.80</w:t>
            </w:r>
            <w:r>
              <w:rPr>
                <w:spacing w:val="-2"/>
                <w:sz w:val="22"/>
                <w:vertAlign w:val="superscript"/>
              </w:rPr>
              <w:t>b</w:t>
            </w:r>
          </w:p>
        </w:tc>
        <w:tc>
          <w:tcPr>
            <w:tcW w:w="1817" w:type="dxa"/>
          </w:tcPr>
          <w:p>
            <w:pPr>
              <w:pStyle w:val="TableParagraph"/>
              <w:spacing w:before="126"/>
              <w:ind w:left="1" w:right="107"/>
              <w:rPr>
                <w:sz w:val="22"/>
              </w:rPr>
            </w:pPr>
            <w:r>
              <w:rPr>
                <w:spacing w:val="-2"/>
                <w:sz w:val="22"/>
              </w:rPr>
              <w:t>0.001</w:t>
            </w:r>
          </w:p>
        </w:tc>
      </w:tr>
      <w:tr>
        <w:trPr>
          <w:trHeight w:val="532" w:hRule="atLeast"/>
        </w:trPr>
        <w:tc>
          <w:tcPr>
            <w:tcW w:w="2126" w:type="dxa"/>
          </w:tcPr>
          <w:p>
            <w:pPr>
              <w:pStyle w:val="TableParagraph"/>
              <w:spacing w:before="134"/>
              <w:ind w:right="344"/>
              <w:jc w:val="right"/>
              <w:rPr>
                <w:b/>
                <w:sz w:val="22"/>
              </w:rPr>
            </w:pPr>
            <w:r>
              <w:rPr>
                <w:b/>
                <w:spacing w:val="-2"/>
                <w:sz w:val="22"/>
              </w:rPr>
              <w:t>NEUT</w:t>
            </w:r>
            <w:r>
              <w:rPr>
                <w:b/>
                <w:spacing w:val="-2"/>
                <w:sz w:val="24"/>
              </w:rPr>
              <w:t>(×10</w:t>
            </w:r>
            <w:r>
              <w:rPr>
                <w:b/>
                <w:spacing w:val="-2"/>
                <w:sz w:val="24"/>
                <w:vertAlign w:val="superscript"/>
              </w:rPr>
              <w:t>9</w:t>
            </w:r>
            <w:r>
              <w:rPr>
                <w:b/>
                <w:spacing w:val="-2"/>
                <w:sz w:val="24"/>
                <w:vertAlign w:val="baseline"/>
              </w:rPr>
              <w:t>/l</w:t>
            </w:r>
            <w:r>
              <w:rPr>
                <w:b/>
                <w:spacing w:val="-2"/>
                <w:sz w:val="22"/>
                <w:vertAlign w:val="baseline"/>
              </w:rPr>
              <w:t>)</w:t>
            </w:r>
          </w:p>
        </w:tc>
        <w:tc>
          <w:tcPr>
            <w:tcW w:w="2253" w:type="dxa"/>
          </w:tcPr>
          <w:p>
            <w:pPr>
              <w:pStyle w:val="TableParagraph"/>
              <w:spacing w:before="132"/>
              <w:ind w:left="49"/>
              <w:rPr>
                <w:sz w:val="24"/>
              </w:rPr>
            </w:pPr>
            <w:r>
              <w:rPr>
                <w:spacing w:val="-2"/>
                <w:sz w:val="24"/>
              </w:rPr>
              <w:t>3.9</w:t>
            </w:r>
            <w:r>
              <w:rPr>
                <w:rFonts w:ascii="Symbol" w:hAnsi="Symbol"/>
                <w:spacing w:val="-2"/>
                <w:sz w:val="24"/>
              </w:rPr>
              <w:t></w:t>
            </w:r>
            <w:r>
              <w:rPr>
                <w:spacing w:val="-2"/>
                <w:sz w:val="24"/>
              </w:rPr>
              <w:t>0.91</w:t>
            </w:r>
            <w:r>
              <w:rPr>
                <w:spacing w:val="-2"/>
                <w:sz w:val="24"/>
                <w:vertAlign w:val="superscript"/>
              </w:rPr>
              <w:t>a</w:t>
            </w:r>
          </w:p>
        </w:tc>
        <w:tc>
          <w:tcPr>
            <w:tcW w:w="2228" w:type="dxa"/>
          </w:tcPr>
          <w:p>
            <w:pPr>
              <w:pStyle w:val="TableParagraph"/>
              <w:spacing w:before="132"/>
              <w:ind w:right="128"/>
              <w:rPr>
                <w:sz w:val="24"/>
              </w:rPr>
            </w:pPr>
            <w:r>
              <w:rPr>
                <w:spacing w:val="-2"/>
                <w:sz w:val="24"/>
              </w:rPr>
              <w:t>5.0</w:t>
            </w:r>
            <w:r>
              <w:rPr>
                <w:rFonts w:ascii="Symbol" w:hAnsi="Symbol"/>
                <w:spacing w:val="-2"/>
                <w:sz w:val="24"/>
              </w:rPr>
              <w:t></w:t>
            </w:r>
            <w:r>
              <w:rPr>
                <w:spacing w:val="-2"/>
                <w:sz w:val="24"/>
              </w:rPr>
              <w:t>0.78</w:t>
            </w:r>
            <w:r>
              <w:rPr>
                <w:spacing w:val="-2"/>
                <w:sz w:val="24"/>
                <w:vertAlign w:val="superscript"/>
              </w:rPr>
              <w:t>b</w:t>
            </w:r>
          </w:p>
        </w:tc>
        <w:tc>
          <w:tcPr>
            <w:tcW w:w="1817" w:type="dxa"/>
          </w:tcPr>
          <w:p>
            <w:pPr>
              <w:pStyle w:val="TableParagraph"/>
              <w:spacing w:before="131"/>
              <w:ind w:left="1" w:right="107"/>
              <w:rPr>
                <w:sz w:val="22"/>
              </w:rPr>
            </w:pPr>
            <w:r>
              <w:rPr>
                <w:spacing w:val="-2"/>
                <w:sz w:val="22"/>
              </w:rPr>
              <w:t>0.001</w:t>
            </w:r>
          </w:p>
        </w:tc>
      </w:tr>
      <w:tr>
        <w:trPr>
          <w:trHeight w:val="533" w:hRule="atLeast"/>
        </w:trPr>
        <w:tc>
          <w:tcPr>
            <w:tcW w:w="2126" w:type="dxa"/>
          </w:tcPr>
          <w:p>
            <w:pPr>
              <w:pStyle w:val="TableParagraph"/>
              <w:spacing w:before="135"/>
              <w:ind w:left="115"/>
              <w:jc w:val="left"/>
              <w:rPr>
                <w:b/>
                <w:sz w:val="22"/>
              </w:rPr>
            </w:pPr>
            <w:r>
              <w:rPr>
                <w:b/>
                <w:spacing w:val="-2"/>
                <w:sz w:val="22"/>
              </w:rPr>
              <w:t>LYMP</w:t>
            </w:r>
            <w:r>
              <w:rPr>
                <w:b/>
                <w:spacing w:val="-2"/>
                <w:sz w:val="24"/>
              </w:rPr>
              <w:t>(×10</w:t>
            </w:r>
            <w:r>
              <w:rPr>
                <w:b/>
                <w:spacing w:val="-2"/>
                <w:sz w:val="24"/>
                <w:vertAlign w:val="superscript"/>
              </w:rPr>
              <w:t>9</w:t>
            </w:r>
            <w:r>
              <w:rPr>
                <w:b/>
                <w:spacing w:val="-2"/>
                <w:sz w:val="24"/>
                <w:vertAlign w:val="baseline"/>
              </w:rPr>
              <w:t>/l</w:t>
            </w:r>
            <w:r>
              <w:rPr>
                <w:b/>
                <w:spacing w:val="-2"/>
                <w:sz w:val="22"/>
                <w:vertAlign w:val="baseline"/>
              </w:rPr>
              <w:t>)</w:t>
            </w:r>
          </w:p>
        </w:tc>
        <w:tc>
          <w:tcPr>
            <w:tcW w:w="2253" w:type="dxa"/>
          </w:tcPr>
          <w:p>
            <w:pPr>
              <w:pStyle w:val="TableParagraph"/>
              <w:spacing w:before="132"/>
              <w:ind w:left="49"/>
              <w:rPr>
                <w:sz w:val="24"/>
              </w:rPr>
            </w:pPr>
            <w:r>
              <w:rPr>
                <w:spacing w:val="-2"/>
                <w:sz w:val="24"/>
              </w:rPr>
              <w:t>2.3</w:t>
            </w:r>
            <w:r>
              <w:rPr>
                <w:rFonts w:ascii="Symbol" w:hAnsi="Symbol"/>
                <w:spacing w:val="-2"/>
                <w:sz w:val="24"/>
              </w:rPr>
              <w:t></w:t>
            </w:r>
            <w:r>
              <w:rPr>
                <w:spacing w:val="-2"/>
                <w:sz w:val="24"/>
              </w:rPr>
              <w:t>0.77</w:t>
            </w:r>
            <w:r>
              <w:rPr>
                <w:spacing w:val="-2"/>
                <w:sz w:val="24"/>
                <w:vertAlign w:val="superscript"/>
              </w:rPr>
              <w:t>a</w:t>
            </w:r>
          </w:p>
        </w:tc>
        <w:tc>
          <w:tcPr>
            <w:tcW w:w="2228" w:type="dxa"/>
          </w:tcPr>
          <w:p>
            <w:pPr>
              <w:pStyle w:val="TableParagraph"/>
              <w:spacing w:before="132"/>
              <w:ind w:right="128"/>
              <w:rPr>
                <w:sz w:val="24"/>
              </w:rPr>
            </w:pPr>
            <w:r>
              <w:rPr>
                <w:spacing w:val="-2"/>
                <w:sz w:val="24"/>
              </w:rPr>
              <w:t>4.9</w:t>
            </w:r>
            <w:r>
              <w:rPr>
                <w:rFonts w:ascii="Symbol" w:hAnsi="Symbol"/>
                <w:spacing w:val="-2"/>
                <w:sz w:val="24"/>
              </w:rPr>
              <w:t></w:t>
            </w:r>
            <w:r>
              <w:rPr>
                <w:spacing w:val="-2"/>
                <w:sz w:val="24"/>
              </w:rPr>
              <w:t>0.89</w:t>
            </w:r>
            <w:r>
              <w:rPr>
                <w:spacing w:val="-2"/>
                <w:sz w:val="24"/>
                <w:vertAlign w:val="superscript"/>
              </w:rPr>
              <w:t>b</w:t>
            </w:r>
          </w:p>
        </w:tc>
        <w:tc>
          <w:tcPr>
            <w:tcW w:w="1817" w:type="dxa"/>
          </w:tcPr>
          <w:p>
            <w:pPr>
              <w:pStyle w:val="TableParagraph"/>
              <w:spacing w:before="132"/>
              <w:ind w:left="1" w:right="107"/>
              <w:rPr>
                <w:sz w:val="22"/>
              </w:rPr>
            </w:pPr>
            <w:r>
              <w:rPr>
                <w:spacing w:val="-2"/>
                <w:sz w:val="22"/>
              </w:rPr>
              <w:t>0.009</w:t>
            </w:r>
          </w:p>
        </w:tc>
      </w:tr>
      <w:tr>
        <w:trPr>
          <w:trHeight w:val="552" w:hRule="atLeast"/>
        </w:trPr>
        <w:tc>
          <w:tcPr>
            <w:tcW w:w="2126" w:type="dxa"/>
            <w:tcBorders>
              <w:bottom w:val="single" w:sz="8" w:space="0" w:color="000000"/>
            </w:tcBorders>
          </w:tcPr>
          <w:p>
            <w:pPr>
              <w:pStyle w:val="TableParagraph"/>
              <w:spacing w:before="137"/>
              <w:ind w:right="387"/>
              <w:jc w:val="right"/>
              <w:rPr>
                <w:b/>
                <w:sz w:val="22"/>
              </w:rPr>
            </w:pPr>
            <w:r>
              <w:rPr>
                <w:b/>
                <w:spacing w:val="-2"/>
                <w:sz w:val="22"/>
              </w:rPr>
              <w:t>MXD</w:t>
            </w:r>
            <w:r>
              <w:rPr>
                <w:b/>
                <w:spacing w:val="-2"/>
                <w:sz w:val="24"/>
              </w:rPr>
              <w:t>(×10</w:t>
            </w:r>
            <w:r>
              <w:rPr>
                <w:b/>
                <w:spacing w:val="-2"/>
                <w:sz w:val="24"/>
                <w:vertAlign w:val="superscript"/>
              </w:rPr>
              <w:t>9</w:t>
            </w:r>
            <w:r>
              <w:rPr>
                <w:b/>
                <w:spacing w:val="-2"/>
                <w:sz w:val="24"/>
                <w:vertAlign w:val="baseline"/>
              </w:rPr>
              <w:t>/l</w:t>
            </w:r>
            <w:r>
              <w:rPr>
                <w:b/>
                <w:spacing w:val="-2"/>
                <w:sz w:val="22"/>
                <w:vertAlign w:val="baseline"/>
              </w:rPr>
              <w:t>)</w:t>
            </w:r>
          </w:p>
        </w:tc>
        <w:tc>
          <w:tcPr>
            <w:tcW w:w="2253" w:type="dxa"/>
            <w:tcBorders>
              <w:bottom w:val="single" w:sz="8" w:space="0" w:color="000000"/>
            </w:tcBorders>
          </w:tcPr>
          <w:p>
            <w:pPr>
              <w:pStyle w:val="TableParagraph"/>
              <w:spacing w:before="134"/>
              <w:ind w:left="49"/>
              <w:rPr>
                <w:sz w:val="24"/>
              </w:rPr>
            </w:pPr>
            <w:r>
              <w:rPr>
                <w:spacing w:val="-2"/>
                <w:sz w:val="24"/>
              </w:rPr>
              <w:t>0.9</w:t>
            </w:r>
            <w:r>
              <w:rPr>
                <w:rFonts w:ascii="Symbol" w:hAnsi="Symbol"/>
                <w:spacing w:val="-2"/>
                <w:sz w:val="24"/>
              </w:rPr>
              <w:t></w:t>
            </w:r>
            <w:r>
              <w:rPr>
                <w:spacing w:val="-2"/>
                <w:sz w:val="24"/>
              </w:rPr>
              <w:t>0.41</w:t>
            </w:r>
            <w:r>
              <w:rPr>
                <w:spacing w:val="-2"/>
                <w:sz w:val="24"/>
                <w:vertAlign w:val="superscript"/>
              </w:rPr>
              <w:t>a</w:t>
            </w:r>
          </w:p>
        </w:tc>
        <w:tc>
          <w:tcPr>
            <w:tcW w:w="2228" w:type="dxa"/>
            <w:tcBorders>
              <w:bottom w:val="single" w:sz="8" w:space="0" w:color="000000"/>
            </w:tcBorders>
          </w:tcPr>
          <w:p>
            <w:pPr>
              <w:pStyle w:val="TableParagraph"/>
              <w:spacing w:before="134"/>
              <w:ind w:right="128"/>
              <w:rPr>
                <w:sz w:val="24"/>
              </w:rPr>
            </w:pPr>
            <w:r>
              <w:rPr>
                <w:spacing w:val="-2"/>
                <w:sz w:val="24"/>
              </w:rPr>
              <w:t>1.1</w:t>
            </w:r>
            <w:r>
              <w:rPr>
                <w:rFonts w:ascii="Symbol" w:hAnsi="Symbol"/>
                <w:spacing w:val="-2"/>
                <w:sz w:val="24"/>
              </w:rPr>
              <w:t></w:t>
            </w:r>
            <w:r>
              <w:rPr>
                <w:spacing w:val="-2"/>
                <w:sz w:val="24"/>
              </w:rPr>
              <w:t>0.25</w:t>
            </w:r>
            <w:r>
              <w:rPr>
                <w:spacing w:val="-2"/>
                <w:sz w:val="24"/>
                <w:vertAlign w:val="superscript"/>
              </w:rPr>
              <w:t>b</w:t>
            </w:r>
          </w:p>
        </w:tc>
        <w:tc>
          <w:tcPr>
            <w:tcW w:w="1817" w:type="dxa"/>
            <w:tcBorders>
              <w:bottom w:val="single" w:sz="8" w:space="0" w:color="000000"/>
            </w:tcBorders>
          </w:tcPr>
          <w:p>
            <w:pPr>
              <w:pStyle w:val="TableParagraph"/>
              <w:spacing w:before="134"/>
              <w:ind w:left="1" w:right="107"/>
              <w:rPr>
                <w:sz w:val="22"/>
              </w:rPr>
            </w:pPr>
            <w:r>
              <w:rPr>
                <w:spacing w:val="-2"/>
                <w:sz w:val="22"/>
              </w:rPr>
              <w:t>0.001</w:t>
            </w:r>
          </w:p>
        </w:tc>
      </w:tr>
    </w:tbl>
    <w:p>
      <w:pPr>
        <w:spacing w:before="229"/>
        <w:ind w:left="560" w:right="0" w:firstLine="0"/>
        <w:jc w:val="left"/>
        <w:rPr>
          <w:sz w:val="20"/>
        </w:rPr>
      </w:pPr>
      <w:r>
        <w:rPr>
          <w:spacing w:val="-5"/>
          <w:sz w:val="20"/>
        </w:rPr>
        <w:t>KEY</w:t>
      </w:r>
    </w:p>
    <w:p>
      <w:pPr>
        <w:spacing w:before="1"/>
        <w:ind w:left="560" w:right="0" w:firstLine="0"/>
        <w:jc w:val="left"/>
        <w:rPr>
          <w:sz w:val="20"/>
        </w:rPr>
      </w:pPr>
      <w:r>
        <w:rPr>
          <w:sz w:val="20"/>
        </w:rPr>
        <w:t>α-level</w:t>
      </w:r>
      <w:r>
        <w:rPr>
          <w:spacing w:val="44"/>
          <w:sz w:val="20"/>
        </w:rPr>
        <w:t> </w:t>
      </w:r>
      <w:r>
        <w:rPr>
          <w:sz w:val="20"/>
        </w:rPr>
        <w:t>set</w:t>
      </w:r>
      <w:r>
        <w:rPr>
          <w:spacing w:val="-4"/>
          <w:sz w:val="20"/>
        </w:rPr>
        <w:t> </w:t>
      </w:r>
      <w:r>
        <w:rPr>
          <w:sz w:val="20"/>
        </w:rPr>
        <w:t>at</w:t>
      </w:r>
      <w:r>
        <w:rPr>
          <w:spacing w:val="-4"/>
          <w:sz w:val="20"/>
        </w:rPr>
        <w:t> 0.05</w:t>
      </w:r>
    </w:p>
    <w:p>
      <w:pPr>
        <w:spacing w:before="0"/>
        <w:ind w:left="560" w:right="0" w:firstLine="0"/>
        <w:jc w:val="left"/>
        <w:rPr>
          <w:sz w:val="20"/>
        </w:rPr>
      </w:pPr>
      <w:r>
        <w:rPr>
          <w:sz w:val="20"/>
        </w:rPr>
        <w:t>a</w:t>
      </w:r>
      <w:r>
        <w:rPr>
          <w:spacing w:val="-5"/>
          <w:sz w:val="20"/>
        </w:rPr>
        <w:t> </w:t>
      </w:r>
      <w:r>
        <w:rPr>
          <w:sz w:val="20"/>
        </w:rPr>
        <w:t>and</w:t>
      </w:r>
      <w:r>
        <w:rPr>
          <w:spacing w:val="-3"/>
          <w:sz w:val="20"/>
        </w:rPr>
        <w:t> </w:t>
      </w:r>
      <w:r>
        <w:rPr>
          <w:sz w:val="20"/>
        </w:rPr>
        <w:t>b</w:t>
      </w:r>
      <w:r>
        <w:rPr>
          <w:spacing w:val="-4"/>
          <w:sz w:val="20"/>
        </w:rPr>
        <w:t> </w:t>
      </w:r>
      <w:r>
        <w:rPr>
          <w:sz w:val="20"/>
        </w:rPr>
        <w:t>are</w:t>
      </w:r>
      <w:r>
        <w:rPr>
          <w:spacing w:val="-4"/>
          <w:sz w:val="20"/>
        </w:rPr>
        <w:t> </w:t>
      </w:r>
      <w:r>
        <w:rPr>
          <w:sz w:val="20"/>
        </w:rPr>
        <w:t>superscripts</w:t>
      </w:r>
      <w:r>
        <w:rPr>
          <w:spacing w:val="-6"/>
          <w:sz w:val="20"/>
        </w:rPr>
        <w:t> </w:t>
      </w:r>
      <w:r>
        <w:rPr>
          <w:sz w:val="20"/>
        </w:rPr>
        <w:t>used</w:t>
      </w:r>
      <w:r>
        <w:rPr>
          <w:spacing w:val="-3"/>
          <w:sz w:val="20"/>
        </w:rPr>
        <w:t> </w:t>
      </w:r>
      <w:r>
        <w:rPr>
          <w:sz w:val="20"/>
        </w:rPr>
        <w:t>to</w:t>
      </w:r>
      <w:r>
        <w:rPr>
          <w:spacing w:val="-4"/>
          <w:sz w:val="20"/>
        </w:rPr>
        <w:t> </w:t>
      </w:r>
      <w:r>
        <w:rPr>
          <w:sz w:val="20"/>
        </w:rPr>
        <w:t>show</w:t>
      </w:r>
      <w:r>
        <w:rPr>
          <w:spacing w:val="-6"/>
          <w:sz w:val="20"/>
        </w:rPr>
        <w:t> </w:t>
      </w:r>
      <w:r>
        <w:rPr>
          <w:sz w:val="20"/>
        </w:rPr>
        <w:t>significant</w:t>
      </w:r>
      <w:r>
        <w:rPr>
          <w:spacing w:val="-5"/>
          <w:sz w:val="20"/>
        </w:rPr>
        <w:t> </w:t>
      </w:r>
      <w:r>
        <w:rPr>
          <w:spacing w:val="-2"/>
          <w:sz w:val="20"/>
        </w:rPr>
        <w:t>difference.</w:t>
      </w:r>
    </w:p>
    <w:p>
      <w:pPr>
        <w:spacing w:before="1"/>
        <w:ind w:left="560" w:right="3345" w:firstLine="0"/>
        <w:jc w:val="left"/>
        <w:rPr>
          <w:sz w:val="20"/>
        </w:rPr>
      </w:pPr>
      <w:r>
        <w:rPr>
          <w:sz w:val="20"/>
        </w:rPr>
        <w:t>Values</w:t>
      </w:r>
      <w:r>
        <w:rPr>
          <w:spacing w:val="-3"/>
          <w:sz w:val="20"/>
        </w:rPr>
        <w:t> </w:t>
      </w:r>
      <w:r>
        <w:rPr>
          <w:sz w:val="20"/>
        </w:rPr>
        <w:t>not</w:t>
      </w:r>
      <w:r>
        <w:rPr>
          <w:spacing w:val="-5"/>
          <w:sz w:val="20"/>
        </w:rPr>
        <w:t> </w:t>
      </w:r>
      <w:r>
        <w:rPr>
          <w:sz w:val="20"/>
        </w:rPr>
        <w:t>sharing</w:t>
      </w:r>
      <w:r>
        <w:rPr>
          <w:spacing w:val="-5"/>
          <w:sz w:val="20"/>
        </w:rPr>
        <w:t> </w:t>
      </w:r>
      <w:r>
        <w:rPr>
          <w:sz w:val="20"/>
        </w:rPr>
        <w:t>the</w:t>
      </w:r>
      <w:r>
        <w:rPr>
          <w:spacing w:val="-4"/>
          <w:sz w:val="20"/>
        </w:rPr>
        <w:t> </w:t>
      </w:r>
      <w:r>
        <w:rPr>
          <w:sz w:val="20"/>
        </w:rPr>
        <w:t>same</w:t>
      </w:r>
      <w:r>
        <w:rPr>
          <w:spacing w:val="-4"/>
          <w:sz w:val="20"/>
        </w:rPr>
        <w:t> </w:t>
      </w:r>
      <w:r>
        <w:rPr>
          <w:sz w:val="20"/>
        </w:rPr>
        <w:t>superscript</w:t>
      </w:r>
      <w:r>
        <w:rPr>
          <w:spacing w:val="-3"/>
          <w:sz w:val="20"/>
        </w:rPr>
        <w:t> </w:t>
      </w:r>
      <w:r>
        <w:rPr>
          <w:sz w:val="20"/>
        </w:rPr>
        <w:t>means</w:t>
      </w:r>
      <w:r>
        <w:rPr>
          <w:spacing w:val="-2"/>
          <w:sz w:val="20"/>
        </w:rPr>
        <w:t> </w:t>
      </w:r>
      <w:r>
        <w:rPr>
          <w:sz w:val="20"/>
        </w:rPr>
        <w:t>there</w:t>
      </w:r>
      <w:r>
        <w:rPr>
          <w:spacing w:val="-4"/>
          <w:sz w:val="20"/>
        </w:rPr>
        <w:t> </w:t>
      </w:r>
      <w:r>
        <w:rPr>
          <w:sz w:val="20"/>
        </w:rPr>
        <w:t>is</w:t>
      </w:r>
      <w:r>
        <w:rPr>
          <w:spacing w:val="-5"/>
          <w:sz w:val="20"/>
        </w:rPr>
        <w:t> </w:t>
      </w:r>
      <w:r>
        <w:rPr>
          <w:sz w:val="20"/>
        </w:rPr>
        <w:t>a</w:t>
      </w:r>
      <w:r>
        <w:rPr>
          <w:spacing w:val="-4"/>
          <w:sz w:val="20"/>
        </w:rPr>
        <w:t> </w:t>
      </w:r>
      <w:r>
        <w:rPr>
          <w:sz w:val="20"/>
        </w:rPr>
        <w:t>significant</w:t>
      </w:r>
      <w:r>
        <w:rPr>
          <w:spacing w:val="-5"/>
          <w:sz w:val="20"/>
        </w:rPr>
        <w:t> </w:t>
      </w:r>
      <w:r>
        <w:rPr>
          <w:sz w:val="20"/>
        </w:rPr>
        <w:t>difference Values sharing the same superscript means there is no significant difference</w:t>
      </w:r>
    </w:p>
    <w:p>
      <w:pPr>
        <w:spacing w:after="0"/>
        <w:jc w:val="left"/>
        <w:rPr>
          <w:sz w:val="20"/>
        </w:rPr>
        <w:sectPr>
          <w:pgSz w:w="11910" w:h="16840"/>
          <w:pgMar w:header="0" w:footer="1067" w:top="1060" w:bottom="1260" w:left="880" w:right="640"/>
        </w:sectPr>
      </w:pPr>
    </w:p>
    <w:p>
      <w:pPr>
        <w:pStyle w:val="BodyText"/>
        <w:spacing w:line="480" w:lineRule="auto" w:before="70"/>
        <w:ind w:left="560" w:right="795"/>
        <w:jc w:val="both"/>
      </w:pPr>
      <w:r>
        <w:rPr/>
        <w:t>Table 4.4 shows the comparison of influence of age on cytokine level of malaria infected pregnant women. Five age groups: G1, G2, G3, G4 and G5 were designated to represent 20- 24, 25-29, 31-34, 35-39 and 40-44 years respectively. Values of cytokines were expressed in </w:t>
      </w:r>
      <w:r>
        <w:rPr>
          <w:spacing w:val="-2"/>
        </w:rPr>
        <w:t>pg/ml.</w:t>
      </w:r>
    </w:p>
    <w:p>
      <w:pPr>
        <w:pStyle w:val="BodyText"/>
        <w:spacing w:line="480" w:lineRule="auto" w:before="3"/>
        <w:ind w:left="560" w:right="792"/>
        <w:jc w:val="both"/>
      </w:pPr>
      <w:r>
        <w:rPr/>
        <w:t>For IFN</w:t>
      </w:r>
      <w:r>
        <w:rPr>
          <w:rFonts w:ascii="Symbol" w:hAnsi="Symbol"/>
        </w:rPr>
        <w:t></w:t>
      </w:r>
      <w:r>
        <w:rPr/>
        <w:t>, the mean</w:t>
      </w:r>
      <w:r>
        <w:rPr>
          <w:rFonts w:ascii="Symbol" w:hAnsi="Symbol"/>
        </w:rPr>
        <w:t></w:t>
      </w:r>
      <w:r>
        <w:rPr/>
        <w:t>SD (21.00</w:t>
      </w:r>
      <w:r>
        <w:rPr>
          <w:rFonts w:ascii="Symbol" w:hAnsi="Symbol"/>
        </w:rPr>
        <w:t></w:t>
      </w:r>
      <w:r>
        <w:rPr/>
        <w:t>10.25) for Group 1 showed no significant difference</w:t>
      </w:r>
      <w:r>
        <w:rPr>
          <w:spacing w:val="40"/>
        </w:rPr>
        <w:t> </w:t>
      </w:r>
      <w:r>
        <w:rPr/>
        <w:t>(P&gt;0.05) when compared to 22.83</w:t>
      </w:r>
      <w:r>
        <w:rPr>
          <w:rFonts w:ascii="Symbol" w:hAnsi="Symbol"/>
        </w:rPr>
        <w:t></w:t>
      </w:r>
      <w:r>
        <w:rPr/>
        <w:t>13.80, 22.94</w:t>
      </w:r>
      <w:r>
        <w:rPr>
          <w:rFonts w:ascii="Symbol" w:hAnsi="Symbol"/>
        </w:rPr>
        <w:t></w:t>
      </w:r>
      <w:r>
        <w:rPr/>
        <w:t>12.63, 26.28</w:t>
      </w:r>
      <w:r>
        <w:rPr>
          <w:rFonts w:ascii="Symbol" w:hAnsi="Symbol"/>
        </w:rPr>
        <w:t></w:t>
      </w:r>
      <w:r>
        <w:rPr/>
        <w:t>13.86 and 21.37</w:t>
      </w:r>
      <w:r>
        <w:rPr>
          <w:rFonts w:ascii="Symbol" w:hAnsi="Symbol"/>
        </w:rPr>
        <w:t></w:t>
      </w:r>
      <w:r>
        <w:rPr/>
        <w:t>10.33for Groups</w:t>
      </w:r>
      <w:r>
        <w:rPr>
          <w:spacing w:val="-1"/>
        </w:rPr>
        <w:t> </w:t>
      </w:r>
      <w:r>
        <w:rPr/>
        <w:t>2,</w:t>
      </w:r>
      <w:r>
        <w:rPr>
          <w:spacing w:val="-1"/>
        </w:rPr>
        <w:t> </w:t>
      </w:r>
      <w:r>
        <w:rPr/>
        <w:t>3,4</w:t>
      </w:r>
      <w:r>
        <w:rPr>
          <w:spacing w:val="-1"/>
        </w:rPr>
        <w:t> </w:t>
      </w:r>
      <w:r>
        <w:rPr/>
        <w:t>and</w:t>
      </w:r>
      <w:r>
        <w:rPr>
          <w:spacing w:val="-1"/>
        </w:rPr>
        <w:t> </w:t>
      </w:r>
      <w:r>
        <w:rPr/>
        <w:t>5</w:t>
      </w:r>
      <w:r>
        <w:rPr>
          <w:spacing w:val="-1"/>
        </w:rPr>
        <w:t> </w:t>
      </w:r>
      <w:r>
        <w:rPr/>
        <w:t>respectively. Overall</w:t>
      </w:r>
      <w:r>
        <w:rPr>
          <w:spacing w:val="-1"/>
        </w:rPr>
        <w:t> </w:t>
      </w:r>
      <w:r>
        <w:rPr/>
        <w:t>different values</w:t>
      </w:r>
      <w:r>
        <w:rPr>
          <w:spacing w:val="-2"/>
        </w:rPr>
        <w:t> </w:t>
      </w:r>
      <w:r>
        <w:rPr/>
        <w:t>of</w:t>
      </w:r>
      <w:r>
        <w:rPr>
          <w:spacing w:val="-2"/>
        </w:rPr>
        <w:t> </w:t>
      </w:r>
      <w:r>
        <w:rPr/>
        <w:t>mean</w:t>
      </w:r>
      <w:r>
        <w:rPr>
          <w:rFonts w:ascii="Symbol" w:hAnsi="Symbol"/>
        </w:rPr>
        <w:t></w:t>
      </w:r>
      <w:r>
        <w:rPr/>
        <w:t>SD</w:t>
      </w:r>
      <w:r>
        <w:rPr>
          <w:spacing w:val="-2"/>
        </w:rPr>
        <w:t> </w:t>
      </w:r>
      <w:r>
        <w:rPr/>
        <w:t>for</w:t>
      </w:r>
      <w:r>
        <w:rPr>
          <w:spacing w:val="-3"/>
        </w:rPr>
        <w:t> </w:t>
      </w:r>
      <w:r>
        <w:rPr/>
        <w:t>IFN</w:t>
      </w:r>
      <w:r>
        <w:rPr>
          <w:rFonts w:ascii="Symbol" w:hAnsi="Symbol"/>
        </w:rPr>
        <w:t></w:t>
      </w:r>
      <w:r>
        <w:rPr>
          <w:spacing w:val="-1"/>
        </w:rPr>
        <w:t> </w:t>
      </w:r>
      <w:r>
        <w:rPr/>
        <w:t>was</w:t>
      </w:r>
      <w:r>
        <w:rPr>
          <w:spacing w:val="-1"/>
        </w:rPr>
        <w:t> </w:t>
      </w:r>
      <w:r>
        <w:rPr/>
        <w:t>recorded for</w:t>
      </w:r>
      <w:r>
        <w:rPr>
          <w:spacing w:val="-4"/>
        </w:rPr>
        <w:t> </w:t>
      </w:r>
      <w:r>
        <w:rPr/>
        <w:t>various</w:t>
      </w:r>
      <w:r>
        <w:rPr>
          <w:spacing w:val="-3"/>
        </w:rPr>
        <w:t> </w:t>
      </w:r>
      <w:r>
        <w:rPr/>
        <w:t>groups</w:t>
      </w:r>
      <w:r>
        <w:rPr>
          <w:spacing w:val="-3"/>
        </w:rPr>
        <w:t> </w:t>
      </w:r>
      <w:r>
        <w:rPr/>
        <w:t>however,</w:t>
      </w:r>
      <w:r>
        <w:rPr>
          <w:spacing w:val="-3"/>
        </w:rPr>
        <w:t> </w:t>
      </w:r>
      <w:r>
        <w:rPr/>
        <w:t>within</w:t>
      </w:r>
      <w:r>
        <w:rPr>
          <w:spacing w:val="-3"/>
        </w:rPr>
        <w:t> </w:t>
      </w:r>
      <w:r>
        <w:rPr/>
        <w:t>the</w:t>
      </w:r>
      <w:r>
        <w:rPr>
          <w:spacing w:val="-3"/>
        </w:rPr>
        <w:t> </w:t>
      </w:r>
      <w:r>
        <w:rPr/>
        <w:t>groups</w:t>
      </w:r>
      <w:r>
        <w:rPr>
          <w:spacing w:val="-3"/>
        </w:rPr>
        <w:t> </w:t>
      </w:r>
      <w:r>
        <w:rPr/>
        <w:t>they</w:t>
      </w:r>
      <w:r>
        <w:rPr>
          <w:spacing w:val="-7"/>
        </w:rPr>
        <w:t> </w:t>
      </w:r>
      <w:r>
        <w:rPr/>
        <w:t>showed</w:t>
      </w:r>
      <w:r>
        <w:rPr>
          <w:spacing w:val="-3"/>
        </w:rPr>
        <w:t> </w:t>
      </w:r>
      <w:r>
        <w:rPr/>
        <w:t>no</w:t>
      </w:r>
      <w:r>
        <w:rPr>
          <w:spacing w:val="-3"/>
        </w:rPr>
        <w:t> </w:t>
      </w:r>
      <w:r>
        <w:rPr/>
        <w:t>significant</w:t>
      </w:r>
      <w:r>
        <w:rPr>
          <w:spacing w:val="-1"/>
        </w:rPr>
        <w:t> </w:t>
      </w:r>
      <w:r>
        <w:rPr/>
        <w:t>difference</w:t>
      </w:r>
      <w:r>
        <w:rPr>
          <w:spacing w:val="-2"/>
        </w:rPr>
        <w:t> </w:t>
      </w:r>
      <w:r>
        <w:rPr/>
        <w:t>(P&gt;0.05) ForTNF</w:t>
      </w:r>
      <w:r>
        <w:rPr>
          <w:rFonts w:ascii="Symbol" w:hAnsi="Symbol"/>
        </w:rPr>
        <w:t></w:t>
      </w:r>
      <w:r>
        <w:rPr/>
        <w:t>, the mean</w:t>
      </w:r>
      <w:r>
        <w:rPr>
          <w:rFonts w:ascii="Symbol" w:hAnsi="Symbol"/>
        </w:rPr>
        <w:t></w:t>
      </w:r>
      <w:r>
        <w:rPr/>
        <w:t>SD (19.49</w:t>
      </w:r>
      <w:r>
        <w:rPr>
          <w:rFonts w:ascii="Symbol" w:hAnsi="Symbol"/>
        </w:rPr>
        <w:t></w:t>
      </w:r>
      <w:r>
        <w:rPr/>
        <w:t>7.99)for Group 1</w:t>
      </w:r>
      <w:r>
        <w:rPr>
          <w:spacing w:val="40"/>
        </w:rPr>
        <w:t> </w:t>
      </w:r>
      <w:r>
        <w:rPr/>
        <w:t>showed no significant difference (P&gt;0.05) when compared with 19.19</w:t>
      </w:r>
      <w:r>
        <w:rPr>
          <w:rFonts w:ascii="Symbol" w:hAnsi="Symbol"/>
        </w:rPr>
        <w:t></w:t>
      </w:r>
      <w:r>
        <w:rPr/>
        <w:t>10.69 for group 2 and also was insignificantly lower when compared to 21.38</w:t>
      </w:r>
      <w:r>
        <w:rPr>
          <w:rFonts w:ascii="Symbol" w:hAnsi="Symbol"/>
        </w:rPr>
        <w:t></w:t>
      </w:r>
      <w:r>
        <w:rPr/>
        <w:t>13.89, 23.16</w:t>
      </w:r>
      <w:r>
        <w:rPr>
          <w:rFonts w:ascii="Symbol" w:hAnsi="Symbol"/>
        </w:rPr>
        <w:t></w:t>
      </w:r>
      <w:r>
        <w:rPr/>
        <w:t>12.89 and 28.84</w:t>
      </w:r>
      <w:r>
        <w:rPr>
          <w:rFonts w:ascii="Symbol" w:hAnsi="Symbol"/>
        </w:rPr>
        <w:t></w:t>
      </w:r>
      <w:r>
        <w:rPr/>
        <w:t>16.37 for groups 3, 4 and 5 respectively.Different values of mean</w:t>
      </w:r>
      <w:r>
        <w:rPr>
          <w:rFonts w:ascii="Symbol" w:hAnsi="Symbol"/>
        </w:rPr>
        <w:t></w:t>
      </w:r>
      <w:r>
        <w:rPr/>
        <w:t>SD for TNF</w:t>
      </w:r>
      <w:r>
        <w:rPr>
          <w:rFonts w:ascii="Symbol" w:hAnsi="Symbol"/>
        </w:rPr>
        <w:t></w:t>
      </w:r>
      <w:r>
        <w:rPr/>
        <w:t> was recorded for various groups however within the group they showed no significant difference (P&gt;0.05)</w:t>
      </w:r>
    </w:p>
    <w:p>
      <w:pPr>
        <w:pStyle w:val="BodyText"/>
        <w:spacing w:line="480" w:lineRule="auto"/>
        <w:ind w:left="560" w:right="794"/>
        <w:jc w:val="both"/>
      </w:pPr>
      <w:r>
        <w:rPr/>
        <w:t>As for IL-4, the mean</w:t>
      </w:r>
      <w:r>
        <w:rPr>
          <w:rFonts w:ascii="Symbol" w:hAnsi="Symbol"/>
        </w:rPr>
        <w:t></w:t>
      </w:r>
      <w:r>
        <w:rPr/>
        <w:t>SD (6.94</w:t>
      </w:r>
      <w:r>
        <w:rPr>
          <w:rFonts w:ascii="Symbol" w:hAnsi="Symbol"/>
        </w:rPr>
        <w:t></w:t>
      </w:r>
      <w:r>
        <w:rPr/>
        <w:t>4.38) for group 1 was lower but statistically insignificant (P&gt;0.05) on comparison with8.46</w:t>
      </w:r>
      <w:r>
        <w:rPr>
          <w:rFonts w:ascii="Symbol" w:hAnsi="Symbol"/>
        </w:rPr>
        <w:t></w:t>
      </w:r>
      <w:r>
        <w:rPr/>
        <w:t>5.53, 10.94</w:t>
      </w:r>
      <w:r>
        <w:rPr>
          <w:rFonts w:ascii="Symbol" w:hAnsi="Symbol"/>
        </w:rPr>
        <w:t></w:t>
      </w:r>
      <w:r>
        <w:rPr/>
        <w:t>6.56, 10.77</w:t>
      </w:r>
      <w:r>
        <w:rPr>
          <w:rFonts w:ascii="Symbol" w:hAnsi="Symbol"/>
        </w:rPr>
        <w:t></w:t>
      </w:r>
      <w:r>
        <w:rPr/>
        <w:t>13.03 and 9.96</w:t>
      </w:r>
      <w:r>
        <w:rPr>
          <w:rFonts w:ascii="Symbol" w:hAnsi="Symbol"/>
        </w:rPr>
        <w:t></w:t>
      </w:r>
      <w:r>
        <w:rPr/>
        <w:t>7.33 for group 2, 3, 4 and 5respectively. Different values of mean</w:t>
      </w:r>
      <w:r>
        <w:rPr>
          <w:rFonts w:ascii="Symbol" w:hAnsi="Symbol"/>
        </w:rPr>
        <w:t></w:t>
      </w:r>
      <w:r>
        <w:rPr/>
        <w:t> SD for IL-4 was recorded for various groups and within the group however they showed no statistical difference (P&gt;0.05)</w:t>
      </w:r>
    </w:p>
    <w:p>
      <w:pPr>
        <w:pStyle w:val="BodyText"/>
        <w:spacing w:line="480" w:lineRule="auto" w:before="1"/>
        <w:ind w:left="560" w:right="795"/>
        <w:jc w:val="both"/>
      </w:pPr>
      <w:r>
        <w:rPr/>
        <w:t>Similarly with IL-6, the mean</w:t>
      </w:r>
      <w:r>
        <w:rPr>
          <w:rFonts w:ascii="Symbol" w:hAnsi="Symbol"/>
        </w:rPr>
        <w:t></w:t>
      </w:r>
      <w:r>
        <w:rPr/>
        <w:t>SD (32.64</w:t>
      </w:r>
      <w:r>
        <w:rPr>
          <w:rFonts w:ascii="Symbol" w:hAnsi="Symbol"/>
        </w:rPr>
        <w:t></w:t>
      </w:r>
      <w:r>
        <w:rPr/>
        <w:t>29.43)for malaria infected group 1 pregnant women showed no significant difference (P&gt;0.05) when compared to 29.60</w:t>
      </w:r>
      <w:r>
        <w:rPr>
          <w:rFonts w:ascii="Symbol" w:hAnsi="Symbol"/>
        </w:rPr>
        <w:t></w:t>
      </w:r>
      <w:r>
        <w:rPr/>
        <w:t>23.40, 33.36</w:t>
      </w:r>
      <w:r>
        <w:rPr>
          <w:rFonts w:ascii="Symbol" w:hAnsi="Symbol"/>
        </w:rPr>
        <w:t></w:t>
      </w:r>
      <w:r>
        <w:rPr/>
        <w:t> 29.83,</w:t>
      </w:r>
      <w:r>
        <w:rPr>
          <w:spacing w:val="-1"/>
        </w:rPr>
        <w:t> </w:t>
      </w:r>
      <w:r>
        <w:rPr/>
        <w:t>26.33</w:t>
      </w:r>
      <w:r>
        <w:rPr>
          <w:rFonts w:ascii="Symbol" w:hAnsi="Symbol"/>
        </w:rPr>
        <w:t></w:t>
      </w:r>
      <w:r>
        <w:rPr>
          <w:spacing w:val="-1"/>
        </w:rPr>
        <w:t> </w:t>
      </w:r>
      <w:r>
        <w:rPr/>
        <w:t>24.15</w:t>
      </w:r>
      <w:r>
        <w:rPr>
          <w:spacing w:val="-1"/>
        </w:rPr>
        <w:t> </w:t>
      </w:r>
      <w:r>
        <w:rPr/>
        <w:t>and</w:t>
      </w:r>
      <w:r>
        <w:rPr>
          <w:spacing w:val="-1"/>
        </w:rPr>
        <w:t> </w:t>
      </w:r>
      <w:r>
        <w:rPr/>
        <w:t>45.12</w:t>
      </w:r>
      <w:r>
        <w:rPr>
          <w:rFonts w:ascii="Symbol" w:hAnsi="Symbol"/>
        </w:rPr>
        <w:t></w:t>
      </w:r>
      <w:r>
        <w:rPr/>
        <w:t>39.70</w:t>
      </w:r>
      <w:r>
        <w:rPr>
          <w:spacing w:val="-1"/>
        </w:rPr>
        <w:t> </w:t>
      </w:r>
      <w:r>
        <w:rPr/>
        <w:t>for</w:t>
      </w:r>
      <w:r>
        <w:rPr>
          <w:spacing w:val="-3"/>
        </w:rPr>
        <w:t> </w:t>
      </w:r>
      <w:r>
        <w:rPr/>
        <w:t>groups</w:t>
      </w:r>
      <w:r>
        <w:rPr>
          <w:spacing w:val="-1"/>
        </w:rPr>
        <w:t> </w:t>
      </w:r>
      <w:r>
        <w:rPr/>
        <w:t>2,</w:t>
      </w:r>
      <w:r>
        <w:rPr>
          <w:spacing w:val="-1"/>
        </w:rPr>
        <w:t> </w:t>
      </w:r>
      <w:r>
        <w:rPr/>
        <w:t>3,</w:t>
      </w:r>
      <w:r>
        <w:rPr>
          <w:spacing w:val="-1"/>
        </w:rPr>
        <w:t> </w:t>
      </w:r>
      <w:r>
        <w:rPr/>
        <w:t>4</w:t>
      </w:r>
      <w:r>
        <w:rPr>
          <w:spacing w:val="-1"/>
        </w:rPr>
        <w:t> </w:t>
      </w:r>
      <w:r>
        <w:rPr/>
        <w:t>and</w:t>
      </w:r>
      <w:r>
        <w:rPr>
          <w:spacing w:val="-1"/>
        </w:rPr>
        <w:t> </w:t>
      </w:r>
      <w:r>
        <w:rPr/>
        <w:t>5</w:t>
      </w:r>
      <w:r>
        <w:rPr>
          <w:spacing w:val="-1"/>
        </w:rPr>
        <w:t> </w:t>
      </w:r>
      <w:r>
        <w:rPr/>
        <w:t>respectively.Different values</w:t>
      </w:r>
      <w:r>
        <w:rPr>
          <w:spacing w:val="-2"/>
        </w:rPr>
        <w:t> </w:t>
      </w:r>
      <w:r>
        <w:rPr/>
        <w:t>of mean</w:t>
      </w:r>
      <w:r>
        <w:rPr>
          <w:rFonts w:ascii="Symbol" w:hAnsi="Symbol"/>
        </w:rPr>
        <w:t></w:t>
      </w:r>
      <w:r>
        <w:rPr/>
        <w:t>SD for IL-6 was recorded and within groups, however they showed no statistical significant difference (P&gt;0.05).</w:t>
      </w:r>
    </w:p>
    <w:p>
      <w:pPr>
        <w:pStyle w:val="BodyText"/>
        <w:spacing w:line="480" w:lineRule="auto"/>
        <w:ind w:left="560" w:right="798"/>
        <w:jc w:val="both"/>
      </w:pPr>
      <w:r>
        <w:rPr/>
        <w:t>For IL-10, the mean</w:t>
      </w:r>
      <w:r>
        <w:rPr>
          <w:rFonts w:ascii="Symbol" w:hAnsi="Symbol"/>
        </w:rPr>
        <w:t></w:t>
      </w:r>
      <w:r>
        <w:rPr/>
        <w:t>SD (17.55</w:t>
      </w:r>
      <w:r>
        <w:rPr>
          <w:rFonts w:ascii="Symbol" w:hAnsi="Symbol"/>
        </w:rPr>
        <w:t></w:t>
      </w:r>
      <w:r>
        <w:rPr/>
        <w:t>7.73) for group 1 of malaria infected pregnant womenshowed significant difference (P&lt;0.05) when compared to 34.26</w:t>
      </w:r>
      <w:r>
        <w:rPr>
          <w:rFonts w:ascii="Symbol" w:hAnsi="Symbol"/>
        </w:rPr>
        <w:t></w:t>
      </w:r>
      <w:r>
        <w:rPr/>
        <w:t>26.99 and 40.74</w:t>
      </w:r>
      <w:r>
        <w:rPr>
          <w:rFonts w:ascii="Symbol" w:hAnsi="Symbol"/>
        </w:rPr>
        <w:t></w:t>
      </w:r>
      <w:r>
        <w:rPr/>
        <w:t>31.46</w:t>
      </w:r>
      <w:r>
        <w:rPr>
          <w:spacing w:val="1"/>
        </w:rPr>
        <w:t> </w:t>
      </w:r>
      <w:r>
        <w:rPr/>
        <w:t>for</w:t>
      </w:r>
      <w:r>
        <w:rPr>
          <w:spacing w:val="2"/>
        </w:rPr>
        <w:t> </w:t>
      </w:r>
      <w:r>
        <w:rPr/>
        <w:t>groups</w:t>
      </w:r>
      <w:r>
        <w:rPr>
          <w:spacing w:val="3"/>
        </w:rPr>
        <w:t> </w:t>
      </w:r>
      <w:r>
        <w:rPr/>
        <w:t>2</w:t>
      </w:r>
      <w:r>
        <w:rPr>
          <w:spacing w:val="4"/>
        </w:rPr>
        <w:t> </w:t>
      </w:r>
      <w:r>
        <w:rPr/>
        <w:t>and</w:t>
      </w:r>
      <w:r>
        <w:rPr>
          <w:spacing w:val="4"/>
        </w:rPr>
        <w:t> </w:t>
      </w:r>
      <w:r>
        <w:rPr/>
        <w:t>3</w:t>
      </w:r>
      <w:r>
        <w:rPr>
          <w:spacing w:val="3"/>
        </w:rPr>
        <w:t> </w:t>
      </w:r>
      <w:r>
        <w:rPr/>
        <w:t>respectively</w:t>
      </w:r>
      <w:r>
        <w:rPr>
          <w:spacing w:val="-1"/>
        </w:rPr>
        <w:t> </w:t>
      </w:r>
      <w:r>
        <w:rPr/>
        <w:t>but</w:t>
      </w:r>
      <w:r>
        <w:rPr>
          <w:spacing w:val="7"/>
        </w:rPr>
        <w:t> </w:t>
      </w:r>
      <w:r>
        <w:rPr/>
        <w:t>showed</w:t>
      </w:r>
      <w:r>
        <w:rPr>
          <w:spacing w:val="3"/>
        </w:rPr>
        <w:t> </w:t>
      </w:r>
      <w:r>
        <w:rPr/>
        <w:t>no</w:t>
      </w:r>
      <w:r>
        <w:rPr>
          <w:spacing w:val="4"/>
        </w:rPr>
        <w:t> </w:t>
      </w:r>
      <w:r>
        <w:rPr/>
        <w:t>significant</w:t>
      </w:r>
      <w:r>
        <w:rPr>
          <w:spacing w:val="4"/>
        </w:rPr>
        <w:t> </w:t>
      </w:r>
      <w:r>
        <w:rPr/>
        <w:t>difference</w:t>
      </w:r>
      <w:r>
        <w:rPr>
          <w:spacing w:val="2"/>
        </w:rPr>
        <w:t> </w:t>
      </w:r>
      <w:r>
        <w:rPr/>
        <w:t>(P&gt;0.05)</w:t>
      </w:r>
      <w:r>
        <w:rPr>
          <w:spacing w:val="3"/>
        </w:rPr>
        <w:t> </w:t>
      </w:r>
      <w:r>
        <w:rPr>
          <w:spacing w:val="-5"/>
        </w:rPr>
        <w:t>to</w:t>
      </w:r>
    </w:p>
    <w:p>
      <w:pPr>
        <w:spacing w:after="0" w:line="480" w:lineRule="auto"/>
        <w:jc w:val="both"/>
        <w:sectPr>
          <w:pgSz w:w="11910" w:h="16840"/>
          <w:pgMar w:header="0" w:footer="1067" w:top="1060" w:bottom="1260" w:left="880" w:right="640"/>
        </w:sectPr>
      </w:pPr>
    </w:p>
    <w:p>
      <w:pPr>
        <w:pStyle w:val="BodyText"/>
        <w:spacing w:line="480" w:lineRule="auto" w:before="72"/>
        <w:ind w:left="560" w:right="795"/>
        <w:jc w:val="both"/>
      </w:pPr>
      <w:r>
        <w:rPr/>
        <w:t>30.89</w:t>
      </w:r>
      <w:r>
        <w:rPr>
          <w:rFonts w:ascii="Symbol" w:hAnsi="Symbol"/>
        </w:rPr>
        <w:t></w:t>
      </w:r>
      <w:r>
        <w:rPr/>
        <w:t>29.82 and 37.10</w:t>
      </w:r>
      <w:r>
        <w:rPr>
          <w:rFonts w:ascii="Symbol" w:hAnsi="Symbol"/>
        </w:rPr>
        <w:t></w:t>
      </w:r>
      <w:r>
        <w:rPr/>
        <w:t>31.65 for groups 4 and 5 respectively.Overall, different values of mean</w:t>
      </w:r>
      <w:r>
        <w:rPr>
          <w:rFonts w:ascii="Symbol" w:hAnsi="Symbol"/>
        </w:rPr>
        <w:t></w:t>
      </w:r>
      <w:r>
        <w:rPr/>
        <w:t>SD of IL-10 for groups 2, 3, 4 and 5 showed no significant difference (P&gt;0.05) when compared within groups.(See appendix IIIa)</w:t>
      </w:r>
    </w:p>
    <w:p>
      <w:pPr>
        <w:pStyle w:val="BodyText"/>
        <w:spacing w:line="480" w:lineRule="auto"/>
        <w:ind w:left="560" w:right="555"/>
        <w:jc w:val="both"/>
      </w:pPr>
      <w:r>
        <w:rPr/>
        <w:t>Table 4.5shows comparison of the inflence of age on cytokine levels of malaria uninfected pregnant women. Five groups namely G1, G2, G3, G4 and G5 were designated to represent 20- 24yrs,</w:t>
      </w:r>
      <w:r>
        <w:rPr>
          <w:spacing w:val="-2"/>
        </w:rPr>
        <w:t> </w:t>
      </w:r>
      <w:r>
        <w:rPr/>
        <w:t>25-29yrs,</w:t>
      </w:r>
      <w:r>
        <w:rPr>
          <w:spacing w:val="-2"/>
        </w:rPr>
        <w:t> </w:t>
      </w:r>
      <w:r>
        <w:rPr/>
        <w:t>30-34yrs,</w:t>
      </w:r>
      <w:r>
        <w:rPr>
          <w:spacing w:val="-3"/>
        </w:rPr>
        <w:t> </w:t>
      </w:r>
      <w:r>
        <w:rPr/>
        <w:t>35-39</w:t>
      </w:r>
      <w:r>
        <w:rPr>
          <w:spacing w:val="-1"/>
        </w:rPr>
        <w:t> </w:t>
      </w:r>
      <w:r>
        <w:rPr/>
        <w:t>and</w:t>
      </w:r>
      <w:r>
        <w:rPr>
          <w:spacing w:val="-3"/>
        </w:rPr>
        <w:t> </w:t>
      </w:r>
      <w:r>
        <w:rPr/>
        <w:t>40-44yrs</w:t>
      </w:r>
      <w:r>
        <w:rPr>
          <w:spacing w:val="-3"/>
        </w:rPr>
        <w:t> </w:t>
      </w:r>
      <w:r>
        <w:rPr/>
        <w:t>respectively.</w:t>
      </w:r>
      <w:r>
        <w:rPr>
          <w:spacing w:val="-1"/>
        </w:rPr>
        <w:t> </w:t>
      </w:r>
      <w:r>
        <w:rPr/>
        <w:t>Values</w:t>
      </w:r>
      <w:r>
        <w:rPr>
          <w:spacing w:val="-3"/>
        </w:rPr>
        <w:t> </w:t>
      </w:r>
      <w:r>
        <w:rPr/>
        <w:t>of</w:t>
      </w:r>
      <w:r>
        <w:rPr>
          <w:spacing w:val="-2"/>
        </w:rPr>
        <w:t> </w:t>
      </w:r>
      <w:r>
        <w:rPr/>
        <w:t>cytokines</w:t>
      </w:r>
      <w:r>
        <w:rPr>
          <w:spacing w:val="-3"/>
        </w:rPr>
        <w:t> </w:t>
      </w:r>
      <w:r>
        <w:rPr/>
        <w:t>were</w:t>
      </w:r>
      <w:r>
        <w:rPr>
          <w:spacing w:val="-2"/>
        </w:rPr>
        <w:t> </w:t>
      </w:r>
      <w:r>
        <w:rPr/>
        <w:t>expressed in pg/ml.</w:t>
      </w:r>
    </w:p>
    <w:p>
      <w:pPr>
        <w:pStyle w:val="BodyText"/>
        <w:spacing w:before="1"/>
        <w:ind w:left="560"/>
        <w:jc w:val="both"/>
      </w:pPr>
      <w:r>
        <w:rPr/>
        <w:t>For</w:t>
      </w:r>
      <w:r>
        <w:rPr>
          <w:spacing w:val="63"/>
        </w:rPr>
        <w:t> </w:t>
      </w:r>
      <w:r>
        <w:rPr/>
        <w:t>to</w:t>
      </w:r>
      <w:r>
        <w:rPr>
          <w:spacing w:val="65"/>
        </w:rPr>
        <w:t> </w:t>
      </w:r>
      <w:r>
        <w:rPr/>
        <w:t>IFN</w:t>
      </w:r>
      <w:r>
        <w:rPr>
          <w:rFonts w:ascii="Symbol" w:hAnsi="Symbol"/>
        </w:rPr>
        <w:t></w:t>
      </w:r>
      <w:r>
        <w:rPr/>
        <w:t>,</w:t>
      </w:r>
      <w:r>
        <w:rPr>
          <w:spacing w:val="64"/>
        </w:rPr>
        <w:t> </w:t>
      </w:r>
      <w:r>
        <w:rPr/>
        <w:t>mean</w:t>
      </w:r>
      <w:r>
        <w:rPr>
          <w:rFonts w:ascii="Symbol" w:hAnsi="Symbol"/>
        </w:rPr>
        <w:t></w:t>
      </w:r>
      <w:r>
        <w:rPr/>
        <w:t>SD</w:t>
      </w:r>
      <w:r>
        <w:rPr>
          <w:spacing w:val="65"/>
        </w:rPr>
        <w:t> </w:t>
      </w:r>
      <w:r>
        <w:rPr/>
        <w:t>4.67</w:t>
      </w:r>
      <w:r>
        <w:rPr>
          <w:rFonts w:ascii="Symbol" w:hAnsi="Symbol"/>
        </w:rPr>
        <w:t></w:t>
      </w:r>
      <w:r>
        <w:rPr/>
        <w:t>3.41,</w:t>
      </w:r>
      <w:r>
        <w:rPr>
          <w:spacing w:val="63"/>
        </w:rPr>
        <w:t> </w:t>
      </w:r>
      <w:r>
        <w:rPr/>
        <w:t>5.92</w:t>
      </w:r>
      <w:r>
        <w:rPr>
          <w:rFonts w:ascii="Symbol" w:hAnsi="Symbol"/>
        </w:rPr>
        <w:t></w:t>
      </w:r>
      <w:r>
        <w:rPr/>
        <w:t>2.76,</w:t>
      </w:r>
      <w:r>
        <w:rPr>
          <w:spacing w:val="63"/>
        </w:rPr>
        <w:t> </w:t>
      </w:r>
      <w:r>
        <w:rPr/>
        <w:t>5.70</w:t>
      </w:r>
      <w:r>
        <w:rPr>
          <w:rFonts w:ascii="Symbol" w:hAnsi="Symbol"/>
        </w:rPr>
        <w:t></w:t>
      </w:r>
      <w:r>
        <w:rPr/>
        <w:t>3.11,</w:t>
      </w:r>
      <w:r>
        <w:rPr>
          <w:spacing w:val="63"/>
        </w:rPr>
        <w:t> </w:t>
      </w:r>
      <w:r>
        <w:rPr/>
        <w:t>7.40</w:t>
      </w:r>
      <w:r>
        <w:rPr>
          <w:rFonts w:ascii="Symbol" w:hAnsi="Symbol"/>
        </w:rPr>
        <w:t></w:t>
      </w:r>
      <w:r>
        <w:rPr/>
        <w:t>3.54</w:t>
      </w:r>
      <w:r>
        <w:rPr>
          <w:spacing w:val="64"/>
        </w:rPr>
        <w:t> </w:t>
      </w:r>
      <w:r>
        <w:rPr/>
        <w:t>and</w:t>
      </w:r>
      <w:r>
        <w:rPr>
          <w:spacing w:val="63"/>
        </w:rPr>
        <w:t> </w:t>
      </w:r>
      <w:r>
        <w:rPr/>
        <w:t>8.33</w:t>
      </w:r>
      <w:r>
        <w:rPr>
          <w:rFonts w:ascii="Symbol" w:hAnsi="Symbol"/>
        </w:rPr>
        <w:t></w:t>
      </w:r>
      <w:r>
        <w:rPr/>
        <w:t>2.12</w:t>
      </w:r>
      <w:r>
        <w:rPr>
          <w:spacing w:val="63"/>
        </w:rPr>
        <w:t> </w:t>
      </w:r>
      <w:r>
        <w:rPr>
          <w:spacing w:val="-5"/>
        </w:rPr>
        <w:t>was</w:t>
      </w:r>
    </w:p>
    <w:p>
      <w:pPr>
        <w:pStyle w:val="BodyText"/>
        <w:spacing w:before="16"/>
      </w:pPr>
    </w:p>
    <w:p>
      <w:pPr>
        <w:pStyle w:val="BodyText"/>
        <w:spacing w:line="480" w:lineRule="auto"/>
        <w:ind w:left="560" w:right="795"/>
        <w:jc w:val="both"/>
      </w:pPr>
      <w:r>
        <w:rPr/>
        <w:t>recorded for Groups 1 - 5 respectively andthey showed no statistical difference (P&gt;0.05) within the groups.</w:t>
      </w:r>
    </w:p>
    <w:p>
      <w:pPr>
        <w:pStyle w:val="BodyText"/>
        <w:spacing w:line="480" w:lineRule="auto" w:before="2"/>
        <w:ind w:left="560" w:right="793"/>
        <w:jc w:val="both"/>
      </w:pPr>
      <w:r>
        <w:rPr/>
        <w:t>As for TNF</w:t>
      </w:r>
      <w:r>
        <w:rPr>
          <w:rFonts w:ascii="Symbol" w:hAnsi="Symbol"/>
        </w:rPr>
        <w:t></w:t>
      </w:r>
      <w:r>
        <w:rPr/>
        <w:t>, the mean</w:t>
      </w:r>
      <w:r>
        <w:rPr>
          <w:rFonts w:ascii="Symbol" w:hAnsi="Symbol"/>
        </w:rPr>
        <w:t></w:t>
      </w:r>
      <w:r>
        <w:rPr/>
        <w:t>SD (7.39</w:t>
      </w:r>
      <w:r>
        <w:rPr>
          <w:rFonts w:ascii="Symbol" w:hAnsi="Symbol"/>
        </w:rPr>
        <w:t></w:t>
      </w:r>
      <w:r>
        <w:rPr/>
        <w:t>2.12) of group 1 was lower (P&lt;0.05) when compared to 9.75</w:t>
      </w:r>
      <w:r>
        <w:rPr>
          <w:rFonts w:ascii="Symbol" w:hAnsi="Symbol"/>
        </w:rPr>
        <w:t></w:t>
      </w:r>
      <w:r>
        <w:rPr/>
        <w:t>2.36, 10.75</w:t>
      </w:r>
      <w:r>
        <w:rPr>
          <w:rFonts w:ascii="Symbol" w:hAnsi="Symbol"/>
        </w:rPr>
        <w:t></w:t>
      </w:r>
      <w:r>
        <w:rPr/>
        <w:t>3.39, 10.33</w:t>
      </w:r>
      <w:r>
        <w:rPr>
          <w:rFonts w:ascii="Symbol" w:hAnsi="Symbol"/>
        </w:rPr>
        <w:t></w:t>
      </w:r>
      <w:r>
        <w:rPr/>
        <w:t>2.53 and 9.90</w:t>
      </w:r>
      <w:r>
        <w:rPr>
          <w:rFonts w:ascii="Symbol" w:hAnsi="Symbol"/>
        </w:rPr>
        <w:t></w:t>
      </w:r>
      <w:r>
        <w:rPr/>
        <w:t>3.61 for groups 2, 3, 4, and 5 respectively. However, it was significantly different (P&lt;0.05) when compared with group 2 and</w:t>
      </w:r>
      <w:r>
        <w:rPr>
          <w:spacing w:val="40"/>
        </w:rPr>
        <w:t> </w:t>
      </w:r>
      <w:r>
        <w:rPr/>
        <w:t>statistically insignificant when compared with the rest of the groups (P&gt;0.05). Overall, no significant difference (P&gt;0.05) was recorded within the other groups.</w:t>
      </w:r>
    </w:p>
    <w:p>
      <w:pPr>
        <w:pStyle w:val="BodyText"/>
        <w:spacing w:line="480" w:lineRule="auto" w:before="1"/>
        <w:ind w:left="560" w:right="795"/>
        <w:jc w:val="both"/>
      </w:pPr>
      <w:r>
        <w:rPr/>
        <w:t>Considering IL-4, the</w:t>
      </w:r>
      <w:r>
        <w:rPr>
          <w:spacing w:val="-1"/>
        </w:rPr>
        <w:t> </w:t>
      </w:r>
      <w:r>
        <w:rPr/>
        <w:t>mean</w:t>
      </w:r>
      <w:r>
        <w:rPr>
          <w:rFonts w:ascii="Symbol" w:hAnsi="Symbol"/>
        </w:rPr>
        <w:t></w:t>
      </w:r>
      <w:r>
        <w:rPr/>
        <w:t>SD (9.30</w:t>
      </w:r>
      <w:r>
        <w:rPr>
          <w:rFonts w:ascii="Symbol" w:hAnsi="Symbol"/>
        </w:rPr>
        <w:t></w:t>
      </w:r>
      <w:r>
        <w:rPr/>
        <w:t>1.87)</w:t>
      </w:r>
      <w:r>
        <w:rPr>
          <w:spacing w:val="-1"/>
        </w:rPr>
        <w:t> </w:t>
      </w:r>
      <w:r>
        <w:rPr/>
        <w:t>of</w:t>
      </w:r>
      <w:r>
        <w:rPr>
          <w:spacing w:val="-1"/>
        </w:rPr>
        <w:t> </w:t>
      </w:r>
      <w:r>
        <w:rPr/>
        <w:t>group 1 was higher</w:t>
      </w:r>
      <w:r>
        <w:rPr>
          <w:spacing w:val="-2"/>
        </w:rPr>
        <w:t> </w:t>
      </w:r>
      <w:r>
        <w:rPr/>
        <w:t>and significantly</w:t>
      </w:r>
      <w:r>
        <w:rPr>
          <w:spacing w:val="-5"/>
        </w:rPr>
        <w:t> </w:t>
      </w:r>
      <w:r>
        <w:rPr/>
        <w:t>different (P&lt;0.05)</w:t>
      </w:r>
      <w:r>
        <w:rPr>
          <w:spacing w:val="-2"/>
        </w:rPr>
        <w:t> </w:t>
      </w:r>
      <w:r>
        <w:rPr/>
        <w:t>when compared with</w:t>
      </w:r>
      <w:r>
        <w:rPr>
          <w:spacing w:val="-1"/>
        </w:rPr>
        <w:t> </w:t>
      </w:r>
      <w:r>
        <w:rPr/>
        <w:t>5.90</w:t>
      </w:r>
      <w:r>
        <w:rPr>
          <w:rFonts w:ascii="Symbol" w:hAnsi="Symbol"/>
        </w:rPr>
        <w:t></w:t>
      </w:r>
      <w:r>
        <w:rPr/>
        <w:t>3.00</w:t>
      </w:r>
      <w:r>
        <w:rPr>
          <w:spacing w:val="-1"/>
        </w:rPr>
        <w:t> </w:t>
      </w:r>
      <w:r>
        <w:rPr/>
        <w:t>for</w:t>
      </w:r>
      <w:r>
        <w:rPr>
          <w:spacing w:val="-3"/>
        </w:rPr>
        <w:t> </w:t>
      </w:r>
      <w:r>
        <w:rPr/>
        <w:t>Group</w:t>
      </w:r>
      <w:r>
        <w:rPr>
          <w:spacing w:val="-1"/>
        </w:rPr>
        <w:t> </w:t>
      </w:r>
      <w:r>
        <w:rPr/>
        <w:t>2. Similarly,</w:t>
      </w:r>
      <w:r>
        <w:rPr>
          <w:spacing w:val="-1"/>
        </w:rPr>
        <w:t> </w:t>
      </w:r>
      <w:r>
        <w:rPr/>
        <w:t>it</w:t>
      </w:r>
      <w:r>
        <w:rPr>
          <w:spacing w:val="-1"/>
        </w:rPr>
        <w:t> </w:t>
      </w:r>
      <w:r>
        <w:rPr/>
        <w:t>was</w:t>
      </w:r>
      <w:r>
        <w:rPr>
          <w:spacing w:val="-1"/>
        </w:rPr>
        <w:t> </w:t>
      </w:r>
      <w:r>
        <w:rPr/>
        <w:t>higher</w:t>
      </w:r>
      <w:r>
        <w:rPr>
          <w:spacing w:val="-2"/>
        </w:rPr>
        <w:t> </w:t>
      </w:r>
      <w:r>
        <w:rPr/>
        <w:t>on</w:t>
      </w:r>
      <w:r>
        <w:rPr>
          <w:spacing w:val="-1"/>
        </w:rPr>
        <w:t> </w:t>
      </w:r>
      <w:r>
        <w:rPr/>
        <w:t>comparison with</w:t>
      </w:r>
      <w:r>
        <w:rPr>
          <w:spacing w:val="-2"/>
        </w:rPr>
        <w:t> </w:t>
      </w:r>
      <w:r>
        <w:rPr/>
        <w:t>7.79±4.37,</w:t>
      </w:r>
      <w:r>
        <w:rPr>
          <w:spacing w:val="-2"/>
        </w:rPr>
        <w:t> </w:t>
      </w:r>
      <w:r>
        <w:rPr/>
        <w:t>5.65±3.95,</w:t>
      </w:r>
      <w:r>
        <w:rPr>
          <w:spacing w:val="-2"/>
        </w:rPr>
        <w:t> </w:t>
      </w:r>
      <w:r>
        <w:rPr/>
        <w:t>6.63±5.35</w:t>
      </w:r>
      <w:r>
        <w:rPr>
          <w:spacing w:val="-2"/>
        </w:rPr>
        <w:t> </w:t>
      </w:r>
      <w:r>
        <w:rPr/>
        <w:t>forgroups</w:t>
      </w:r>
      <w:r>
        <w:rPr>
          <w:spacing w:val="-2"/>
        </w:rPr>
        <w:t> </w:t>
      </w:r>
      <w:r>
        <w:rPr/>
        <w:t>G3,</w:t>
      </w:r>
      <w:r>
        <w:rPr>
          <w:spacing w:val="-3"/>
        </w:rPr>
        <w:t> </w:t>
      </w:r>
      <w:r>
        <w:rPr/>
        <w:t>G4</w:t>
      </w:r>
      <w:r>
        <w:rPr>
          <w:spacing w:val="-3"/>
        </w:rPr>
        <w:t> </w:t>
      </w:r>
      <w:r>
        <w:rPr/>
        <w:t>and</w:t>
      </w:r>
      <w:r>
        <w:rPr>
          <w:spacing w:val="-2"/>
        </w:rPr>
        <w:t> </w:t>
      </w:r>
      <w:r>
        <w:rPr/>
        <w:t>G5</w:t>
      </w:r>
      <w:r>
        <w:rPr>
          <w:spacing w:val="-3"/>
        </w:rPr>
        <w:t> </w:t>
      </w:r>
      <w:r>
        <w:rPr/>
        <w:t>respectively</w:t>
      </w:r>
      <w:r>
        <w:rPr>
          <w:spacing w:val="-4"/>
        </w:rPr>
        <w:t> </w:t>
      </w:r>
      <w:r>
        <w:rPr/>
        <w:t>but no</w:t>
      </w:r>
      <w:r>
        <w:rPr>
          <w:spacing w:val="-2"/>
        </w:rPr>
        <w:t> </w:t>
      </w:r>
      <w:r>
        <w:rPr/>
        <w:t>statistical difference (P&gt;0.05) was recorded within the group.</w:t>
      </w:r>
    </w:p>
    <w:p>
      <w:pPr>
        <w:pStyle w:val="BodyText"/>
        <w:spacing w:line="480" w:lineRule="auto"/>
        <w:ind w:left="560" w:right="794"/>
        <w:jc w:val="both"/>
      </w:pPr>
      <w:r>
        <w:rPr/>
        <w:t>Considering IL-6, the mean</w:t>
      </w:r>
      <w:r>
        <w:rPr>
          <w:rFonts w:ascii="Symbol" w:hAnsi="Symbol"/>
        </w:rPr>
        <w:t></w:t>
      </w:r>
      <w:r>
        <w:rPr/>
        <w:t>SD(11.49</w:t>
      </w:r>
      <w:r>
        <w:rPr>
          <w:rFonts w:ascii="Symbol" w:hAnsi="Symbol"/>
        </w:rPr>
        <w:t></w:t>
      </w:r>
      <w:r>
        <w:rPr/>
        <w:t>2.94) for group 1 was slightly</w:t>
      </w:r>
      <w:r>
        <w:rPr>
          <w:spacing w:val="-2"/>
        </w:rPr>
        <w:t> </w:t>
      </w:r>
      <w:r>
        <w:rPr/>
        <w:t>higher when compared with 7.18</w:t>
      </w:r>
      <w:r>
        <w:rPr>
          <w:rFonts w:ascii="Symbol" w:hAnsi="Symbol"/>
        </w:rPr>
        <w:t></w:t>
      </w:r>
      <w:r>
        <w:rPr/>
        <w:t>5.27, 10.10</w:t>
      </w:r>
      <w:r>
        <w:rPr>
          <w:rFonts w:ascii="Symbol" w:hAnsi="Symbol"/>
        </w:rPr>
        <w:t></w:t>
      </w:r>
      <w:r>
        <w:rPr/>
        <w:t>11.07, 4.44</w:t>
      </w:r>
      <w:r>
        <w:rPr>
          <w:rFonts w:ascii="Symbol" w:hAnsi="Symbol"/>
        </w:rPr>
        <w:t></w:t>
      </w:r>
      <w:r>
        <w:rPr/>
        <w:t>3.87 and 7.40</w:t>
      </w:r>
      <w:r>
        <w:rPr>
          <w:rFonts w:ascii="Symbol" w:hAnsi="Symbol"/>
        </w:rPr>
        <w:t></w:t>
      </w:r>
      <w:r>
        <w:rPr/>
        <w:t>4.59 for groups 2, 3, 4 and 5 respectively. However, significant difference (P&lt;0.05) existedwhen compared with group 4. Comparison with the rest of the groups yielded no significant difference (P&gt;0.05).</w:t>
      </w:r>
    </w:p>
    <w:p>
      <w:pPr>
        <w:spacing w:after="0" w:line="480" w:lineRule="auto"/>
        <w:jc w:val="both"/>
        <w:sectPr>
          <w:pgSz w:w="11910" w:h="16840"/>
          <w:pgMar w:header="0" w:footer="1067" w:top="1060" w:bottom="1260" w:left="880" w:right="640"/>
        </w:sectPr>
      </w:pPr>
    </w:p>
    <w:p>
      <w:pPr>
        <w:pStyle w:val="BodyText"/>
        <w:spacing w:line="480" w:lineRule="auto" w:before="72"/>
        <w:ind w:left="560" w:right="792"/>
        <w:jc w:val="both"/>
      </w:pPr>
      <w:r>
        <w:rPr/>
        <w:t>On IL-10, group 2 recoreded the highest mean</w:t>
      </w:r>
      <w:r>
        <w:rPr>
          <w:rFonts w:ascii="Symbol" w:hAnsi="Symbol"/>
        </w:rPr>
        <w:t></w:t>
      </w:r>
      <w:r>
        <w:rPr/>
        <w:t>SD value (15.88</w:t>
      </w:r>
      <w:r>
        <w:rPr>
          <w:rFonts w:ascii="Symbol" w:hAnsi="Symbol"/>
        </w:rPr>
        <w:t></w:t>
      </w:r>
      <w:r>
        <w:rPr/>
        <w:t>8.14) but was statistically insignificantly (P&gt;0.05) when compared with the rest of the groups. The mean</w:t>
      </w:r>
      <w:r>
        <w:rPr>
          <w:rFonts w:ascii="Symbol" w:hAnsi="Symbol"/>
        </w:rPr>
        <w:t></w:t>
      </w:r>
      <w:r>
        <w:rPr/>
        <w:t>SD (15.61</w:t>
      </w:r>
      <w:r>
        <w:rPr>
          <w:rFonts w:ascii="Symbol" w:hAnsi="Symbol"/>
        </w:rPr>
        <w:t></w:t>
      </w:r>
      <w:r>
        <w:rPr/>
        <w:t>5.84)</w:t>
      </w:r>
      <w:r>
        <w:rPr>
          <w:spacing w:val="28"/>
        </w:rPr>
        <w:t> </w:t>
      </w:r>
      <w:r>
        <w:rPr/>
        <w:t>of</w:t>
      </w:r>
      <w:r>
        <w:rPr>
          <w:spacing w:val="31"/>
        </w:rPr>
        <w:t> </w:t>
      </w:r>
      <w:r>
        <w:rPr/>
        <w:t>group</w:t>
      </w:r>
      <w:r>
        <w:rPr>
          <w:spacing w:val="32"/>
        </w:rPr>
        <w:t> </w:t>
      </w:r>
      <w:r>
        <w:rPr/>
        <w:t>3</w:t>
      </w:r>
      <w:r>
        <w:rPr>
          <w:spacing w:val="34"/>
        </w:rPr>
        <w:t> </w:t>
      </w:r>
      <w:r>
        <w:rPr/>
        <w:t>however,</w:t>
      </w:r>
      <w:r>
        <w:rPr>
          <w:spacing w:val="34"/>
        </w:rPr>
        <w:t> </w:t>
      </w:r>
      <w:r>
        <w:rPr/>
        <w:t>was</w:t>
      </w:r>
      <w:r>
        <w:rPr>
          <w:spacing w:val="32"/>
        </w:rPr>
        <w:t> </w:t>
      </w:r>
      <w:r>
        <w:rPr/>
        <w:t>statistically</w:t>
      </w:r>
      <w:r>
        <w:rPr>
          <w:spacing w:val="27"/>
        </w:rPr>
        <w:t> </w:t>
      </w:r>
      <w:r>
        <w:rPr/>
        <w:t>significant</w:t>
      </w:r>
      <w:r>
        <w:rPr>
          <w:spacing w:val="32"/>
        </w:rPr>
        <w:t> </w:t>
      </w:r>
      <w:r>
        <w:rPr/>
        <w:t>(P&lt;0.05)</w:t>
      </w:r>
      <w:r>
        <w:rPr>
          <w:spacing w:val="34"/>
        </w:rPr>
        <w:t> </w:t>
      </w:r>
      <w:r>
        <w:rPr/>
        <w:t>when</w:t>
      </w:r>
      <w:r>
        <w:rPr>
          <w:spacing w:val="32"/>
        </w:rPr>
        <w:t> </w:t>
      </w:r>
      <w:r>
        <w:rPr/>
        <w:t>compared</w:t>
      </w:r>
      <w:r>
        <w:rPr>
          <w:spacing w:val="32"/>
        </w:rPr>
        <w:t> </w:t>
      </w:r>
      <w:r>
        <w:rPr>
          <w:spacing w:val="-5"/>
        </w:rPr>
        <w:t>to</w:t>
      </w:r>
    </w:p>
    <w:p>
      <w:pPr>
        <w:pStyle w:val="BodyText"/>
        <w:spacing w:line="477" w:lineRule="auto"/>
        <w:ind w:left="560" w:right="796"/>
        <w:jc w:val="both"/>
      </w:pPr>
      <w:r>
        <w:rPr/>
        <w:t>11.19</w:t>
      </w:r>
      <w:r>
        <w:rPr>
          <w:rFonts w:ascii="Symbol" w:hAnsi="Symbol"/>
        </w:rPr>
        <w:t></w:t>
      </w:r>
      <w:r>
        <w:rPr/>
        <w:t>1.95 for group 4. On the other hand, the values of mean</w:t>
      </w:r>
      <w:r>
        <w:rPr>
          <w:rFonts w:ascii="Symbol" w:hAnsi="Symbol"/>
        </w:rPr>
        <w:t></w:t>
      </w:r>
      <w:r>
        <w:rPr/>
        <w:t>SDfor all the other groups showed no significant difference when compared with each other (P&gt;0.05).</w:t>
      </w:r>
    </w:p>
    <w:p>
      <w:pPr>
        <w:pStyle w:val="BodyText"/>
        <w:spacing w:before="4"/>
        <w:ind w:left="560"/>
        <w:jc w:val="both"/>
      </w:pPr>
      <w:r>
        <w:rPr/>
        <w:t>(See</w:t>
      </w:r>
      <w:r>
        <w:rPr>
          <w:spacing w:val="-5"/>
        </w:rPr>
        <w:t> </w:t>
      </w:r>
      <w:r>
        <w:rPr/>
        <w:t>appendix</w:t>
      </w:r>
      <w:r>
        <w:rPr>
          <w:spacing w:val="4"/>
        </w:rPr>
        <w:t> </w:t>
      </w:r>
      <w:r>
        <w:rPr>
          <w:spacing w:val="-4"/>
        </w:rPr>
        <w:t>IIIb)</w:t>
      </w:r>
    </w:p>
    <w:p>
      <w:pPr>
        <w:pStyle w:val="BodyText"/>
      </w:pPr>
    </w:p>
    <w:p>
      <w:pPr>
        <w:pStyle w:val="BodyText"/>
        <w:spacing w:line="480" w:lineRule="auto" w:before="1"/>
        <w:ind w:left="560" w:right="795"/>
        <w:jc w:val="both"/>
      </w:pPr>
      <w:r>
        <w:rPr/>
        <w:t>Table</w:t>
      </w:r>
      <w:r>
        <w:rPr>
          <w:spacing w:val="-2"/>
        </w:rPr>
        <w:t> </w:t>
      </w:r>
      <w:r>
        <w:rPr/>
        <w:t>4.6</w:t>
      </w:r>
      <w:r>
        <w:rPr>
          <w:spacing w:val="-1"/>
        </w:rPr>
        <w:t> </w:t>
      </w:r>
      <w:r>
        <w:rPr/>
        <w:t>shows</w:t>
      </w:r>
      <w:r>
        <w:rPr>
          <w:spacing w:val="-1"/>
        </w:rPr>
        <w:t> </w:t>
      </w:r>
      <w:r>
        <w:rPr/>
        <w:t>comparisonof</w:t>
      </w:r>
      <w:r>
        <w:rPr>
          <w:spacing w:val="-2"/>
        </w:rPr>
        <w:t> </w:t>
      </w:r>
      <w:r>
        <w:rPr/>
        <w:t>the</w:t>
      </w:r>
      <w:r>
        <w:rPr>
          <w:spacing w:val="-1"/>
        </w:rPr>
        <w:t> </w:t>
      </w:r>
      <w:r>
        <w:rPr/>
        <w:t>influence</w:t>
      </w:r>
      <w:r>
        <w:rPr>
          <w:spacing w:val="-2"/>
        </w:rPr>
        <w:t> </w:t>
      </w:r>
      <w:r>
        <w:rPr/>
        <w:t>of</w:t>
      </w:r>
      <w:r>
        <w:rPr>
          <w:spacing w:val="-2"/>
        </w:rPr>
        <w:t> </w:t>
      </w:r>
      <w:r>
        <w:rPr/>
        <w:t>gestational</w:t>
      </w:r>
      <w:r>
        <w:rPr>
          <w:spacing w:val="-1"/>
        </w:rPr>
        <w:t> </w:t>
      </w:r>
      <w:r>
        <w:rPr/>
        <w:t>age</w:t>
      </w:r>
      <w:r>
        <w:rPr>
          <w:spacing w:val="-2"/>
        </w:rPr>
        <w:t> </w:t>
      </w:r>
      <w:r>
        <w:rPr/>
        <w:t>(by</w:t>
      </w:r>
      <w:r>
        <w:rPr>
          <w:spacing w:val="-6"/>
        </w:rPr>
        <w:t> </w:t>
      </w:r>
      <w:r>
        <w:rPr/>
        <w:t>trimesters)</w:t>
      </w:r>
      <w:r>
        <w:rPr>
          <w:spacing w:val="-3"/>
        </w:rPr>
        <w:t> </w:t>
      </w:r>
      <w:r>
        <w:rPr/>
        <w:t>on</w:t>
      </w:r>
      <w:r>
        <w:rPr>
          <w:spacing w:val="-1"/>
        </w:rPr>
        <w:t> </w:t>
      </w:r>
      <w:r>
        <w:rPr/>
        <w:t>the</w:t>
      </w:r>
      <w:r>
        <w:rPr>
          <w:spacing w:val="-2"/>
        </w:rPr>
        <w:t> </w:t>
      </w:r>
      <w:r>
        <w:rPr/>
        <w:t>cytokine levels of uninfected pregnant women. Group1 represents women in their first trimester while groups 2 and 3 represent women in their second and third trimesters respectively. Values of cytokines were expressed in pg/ml.</w:t>
      </w:r>
    </w:p>
    <w:p>
      <w:pPr>
        <w:pStyle w:val="BodyText"/>
        <w:spacing w:line="480" w:lineRule="auto" w:before="2"/>
        <w:ind w:left="560" w:right="792"/>
        <w:jc w:val="both"/>
      </w:pPr>
      <w:r>
        <w:rPr/>
        <w:t>With respect to IFN</w:t>
      </w:r>
      <w:r>
        <w:rPr>
          <w:rFonts w:ascii="Symbol" w:hAnsi="Symbol"/>
        </w:rPr>
        <w:t></w:t>
      </w:r>
      <w:r>
        <w:rPr/>
        <w:t>, the mean</w:t>
      </w:r>
      <w:r>
        <w:rPr>
          <w:rFonts w:ascii="Symbol" w:hAnsi="Symbol"/>
        </w:rPr>
        <w:t></w:t>
      </w:r>
      <w:r>
        <w:rPr/>
        <w:t>SD(8.80</w:t>
      </w:r>
      <w:r>
        <w:rPr>
          <w:rFonts w:ascii="Symbol" w:hAnsi="Symbol"/>
        </w:rPr>
        <w:t></w:t>
      </w:r>
      <w:r>
        <w:rPr/>
        <w:t>1.46) for group 1 was higher than 6.78</w:t>
      </w:r>
      <w:r>
        <w:rPr>
          <w:rFonts w:ascii="Symbol" w:hAnsi="Symbol"/>
        </w:rPr>
        <w:t></w:t>
      </w:r>
      <w:r>
        <w:rPr/>
        <w:t>2.96 and 4.40</w:t>
      </w:r>
      <w:r>
        <w:rPr>
          <w:rFonts w:ascii="Symbol" w:hAnsi="Symbol"/>
        </w:rPr>
        <w:t></w:t>
      </w:r>
      <w:r>
        <w:rPr/>
        <w:t>2.81 for groups 2 and 3 respectively. But while group 1 showed no significant</w:t>
      </w:r>
      <w:r>
        <w:rPr>
          <w:spacing w:val="40"/>
        </w:rPr>
        <w:t> </w:t>
      </w:r>
      <w:r>
        <w:rPr/>
        <w:t>difference on comparison with group 2 women (P&gt;0.05), it however showed significant difference on comparison with group 3 subjects (P&lt;0.05). Again, the mean</w:t>
      </w:r>
      <w:r>
        <w:rPr>
          <w:rFonts w:ascii="Symbol" w:hAnsi="Symbol"/>
        </w:rPr>
        <w:t></w:t>
      </w:r>
      <w:r>
        <w:rPr/>
        <w:t>SD (6.78</w:t>
      </w:r>
      <w:r>
        <w:rPr>
          <w:rFonts w:ascii="Symbol" w:hAnsi="Symbol"/>
        </w:rPr>
        <w:t></w:t>
      </w:r>
      <w:r>
        <w:rPr/>
        <w:t>2.96) for group 2 women was significantly different (P&lt;0.05) when compared with 4.40</w:t>
      </w:r>
      <w:r>
        <w:rPr>
          <w:rFonts w:ascii="Symbol" w:hAnsi="Symbol"/>
        </w:rPr>
        <w:t></w:t>
      </w:r>
      <w:r>
        <w:rPr/>
        <w:t>2.81 for group 3.</w:t>
      </w:r>
    </w:p>
    <w:p>
      <w:pPr>
        <w:pStyle w:val="BodyText"/>
        <w:spacing w:line="480" w:lineRule="auto"/>
        <w:ind w:left="560" w:right="796"/>
        <w:jc w:val="both"/>
      </w:pPr>
      <w:r>
        <w:rPr/>
        <w:t>For</w:t>
      </w:r>
      <w:r>
        <w:rPr>
          <w:spacing w:val="-4"/>
        </w:rPr>
        <w:t> </w:t>
      </w:r>
      <w:r>
        <w:rPr/>
        <w:t>TNF</w:t>
      </w:r>
      <w:r>
        <w:rPr>
          <w:rFonts w:ascii="Symbol" w:hAnsi="Symbol"/>
        </w:rPr>
        <w:t></w:t>
      </w:r>
      <w:r>
        <w:rPr/>
        <w:t>,</w:t>
      </w:r>
      <w:r>
        <w:rPr>
          <w:spacing w:val="-3"/>
        </w:rPr>
        <w:t> </w:t>
      </w:r>
      <w:r>
        <w:rPr/>
        <w:t>the</w:t>
      </w:r>
      <w:r>
        <w:rPr>
          <w:spacing w:val="-3"/>
        </w:rPr>
        <w:t> </w:t>
      </w:r>
      <w:r>
        <w:rPr/>
        <w:t>mean</w:t>
      </w:r>
      <w:r>
        <w:rPr>
          <w:rFonts w:ascii="Symbol" w:hAnsi="Symbol"/>
        </w:rPr>
        <w:t></w:t>
      </w:r>
      <w:r>
        <w:rPr/>
        <w:t>SD</w:t>
      </w:r>
      <w:r>
        <w:rPr>
          <w:spacing w:val="-1"/>
        </w:rPr>
        <w:t> </w:t>
      </w:r>
      <w:r>
        <w:rPr/>
        <w:t>(11.98</w:t>
      </w:r>
      <w:r>
        <w:rPr>
          <w:rFonts w:ascii="Symbol" w:hAnsi="Symbol"/>
        </w:rPr>
        <w:t></w:t>
      </w:r>
      <w:r>
        <w:rPr/>
        <w:t>1.60)</w:t>
      </w:r>
      <w:r>
        <w:rPr>
          <w:spacing w:val="-4"/>
        </w:rPr>
        <w:t> </w:t>
      </w:r>
      <w:r>
        <w:rPr/>
        <w:t>for</w:t>
      </w:r>
      <w:r>
        <w:rPr>
          <w:spacing w:val="-5"/>
        </w:rPr>
        <w:t> </w:t>
      </w:r>
      <w:r>
        <w:rPr/>
        <w:t>group</w:t>
      </w:r>
      <w:r>
        <w:rPr>
          <w:spacing w:val="-4"/>
        </w:rPr>
        <w:t> </w:t>
      </w:r>
      <w:r>
        <w:rPr/>
        <w:t>1</w:t>
      </w:r>
      <w:r>
        <w:rPr>
          <w:spacing w:val="-1"/>
        </w:rPr>
        <w:t> </w:t>
      </w:r>
      <w:r>
        <w:rPr/>
        <w:t>women</w:t>
      </w:r>
      <w:r>
        <w:rPr>
          <w:spacing w:val="-3"/>
        </w:rPr>
        <w:t> </w:t>
      </w:r>
      <w:r>
        <w:rPr/>
        <w:t>was</w:t>
      </w:r>
      <w:r>
        <w:rPr>
          <w:spacing w:val="-3"/>
        </w:rPr>
        <w:t> </w:t>
      </w:r>
      <w:r>
        <w:rPr/>
        <w:t>higher</w:t>
      </w:r>
      <w:r>
        <w:rPr>
          <w:spacing w:val="-3"/>
        </w:rPr>
        <w:t> </w:t>
      </w:r>
      <w:r>
        <w:rPr/>
        <w:t>than</w:t>
      </w:r>
      <w:r>
        <w:rPr>
          <w:spacing w:val="-1"/>
        </w:rPr>
        <w:t> </w:t>
      </w:r>
      <w:r>
        <w:rPr/>
        <w:t>those</w:t>
      </w:r>
      <w:r>
        <w:rPr>
          <w:spacing w:val="-3"/>
        </w:rPr>
        <w:t> </w:t>
      </w:r>
      <w:r>
        <w:rPr/>
        <w:t>for</w:t>
      </w:r>
      <w:r>
        <w:rPr>
          <w:spacing w:val="-4"/>
        </w:rPr>
        <w:t> </w:t>
      </w:r>
      <w:r>
        <w:rPr/>
        <w:t>groups</w:t>
      </w:r>
      <w:r>
        <w:rPr>
          <w:spacing w:val="-3"/>
        </w:rPr>
        <w:t> </w:t>
      </w:r>
      <w:r>
        <w:rPr/>
        <w:t>2 and</w:t>
      </w:r>
      <w:r>
        <w:rPr>
          <w:spacing w:val="-3"/>
        </w:rPr>
        <w:t> </w:t>
      </w:r>
      <w:r>
        <w:rPr/>
        <w:t>3</w:t>
      </w:r>
      <w:r>
        <w:rPr>
          <w:spacing w:val="-3"/>
        </w:rPr>
        <w:t> </w:t>
      </w:r>
      <w:r>
        <w:rPr/>
        <w:t>women</w:t>
      </w:r>
      <w:r>
        <w:rPr>
          <w:spacing w:val="-3"/>
        </w:rPr>
        <w:t> </w:t>
      </w:r>
      <w:r>
        <w:rPr/>
        <w:t>but</w:t>
      </w:r>
      <w:r>
        <w:rPr>
          <w:spacing w:val="-3"/>
        </w:rPr>
        <w:t> </w:t>
      </w:r>
      <w:r>
        <w:rPr/>
        <w:t>wasnot</w:t>
      </w:r>
      <w:r>
        <w:rPr>
          <w:spacing w:val="-2"/>
        </w:rPr>
        <w:t> </w:t>
      </w:r>
      <w:r>
        <w:rPr/>
        <w:t>significantly</w:t>
      </w:r>
      <w:r>
        <w:rPr>
          <w:spacing w:val="-6"/>
        </w:rPr>
        <w:t> </w:t>
      </w:r>
      <w:r>
        <w:rPr/>
        <w:t>different (P&gt;0.05)</w:t>
      </w:r>
      <w:r>
        <w:rPr>
          <w:spacing w:val="-4"/>
        </w:rPr>
        <w:t> </w:t>
      </w:r>
      <w:r>
        <w:rPr/>
        <w:t>when</w:t>
      </w:r>
      <w:r>
        <w:rPr>
          <w:spacing w:val="-3"/>
        </w:rPr>
        <w:t> </w:t>
      </w:r>
      <w:r>
        <w:rPr/>
        <w:t>compared with</w:t>
      </w:r>
      <w:r>
        <w:rPr>
          <w:spacing w:val="-2"/>
        </w:rPr>
        <w:t> </w:t>
      </w:r>
      <w:r>
        <w:rPr/>
        <w:t>11.20±2.92</w:t>
      </w:r>
      <w:r>
        <w:rPr>
          <w:spacing w:val="-3"/>
        </w:rPr>
        <w:t> </w:t>
      </w:r>
      <w:r>
        <w:rPr/>
        <w:t>for group 2 andthere was a significant difference in comparison with 8.15±2.40 for group 3. Again statistical difference (P&lt;0.05) existed between the mean values for groups 2 and 3.</w:t>
      </w:r>
    </w:p>
    <w:p>
      <w:pPr>
        <w:pStyle w:val="BodyText"/>
        <w:spacing w:line="480" w:lineRule="auto" w:before="1"/>
        <w:ind w:left="560" w:right="795"/>
        <w:jc w:val="both"/>
      </w:pPr>
      <w:r>
        <w:rPr/>
        <w:t>As for IL-4, mean</w:t>
      </w:r>
      <w:r>
        <w:rPr>
          <w:rFonts w:ascii="Symbol" w:hAnsi="Symbol"/>
        </w:rPr>
        <w:t></w:t>
      </w:r>
      <w:r>
        <w:rPr/>
        <w:t>SD (4.74</w:t>
      </w:r>
      <w:r>
        <w:rPr>
          <w:rFonts w:ascii="Symbol" w:hAnsi="Symbol"/>
        </w:rPr>
        <w:t></w:t>
      </w:r>
      <w:r>
        <w:rPr/>
        <w:t>4.82) of group 1 women was lower and showed no significant difference (P&gt;0.05) when compared to 6.96</w:t>
      </w:r>
      <w:r>
        <w:rPr>
          <w:rFonts w:ascii="Symbol" w:hAnsi="Symbol"/>
        </w:rPr>
        <w:t></w:t>
      </w:r>
      <w:r>
        <w:rPr/>
        <w:t>4.60 and 7.93</w:t>
      </w:r>
      <w:r>
        <w:rPr>
          <w:rFonts w:ascii="Symbol" w:hAnsi="Symbol"/>
        </w:rPr>
        <w:t></w:t>
      </w:r>
      <w:r>
        <w:rPr/>
        <w:t>2.40 for groups 2 and 3 </w:t>
      </w:r>
      <w:r>
        <w:rPr>
          <w:spacing w:val="-2"/>
        </w:rPr>
        <w:t>respectively.</w:t>
      </w:r>
    </w:p>
    <w:p>
      <w:pPr>
        <w:spacing w:after="0" w:line="480" w:lineRule="auto"/>
        <w:jc w:val="both"/>
        <w:sectPr>
          <w:pgSz w:w="11910" w:h="16840"/>
          <w:pgMar w:header="0" w:footer="1067" w:top="1060" w:bottom="1260" w:left="880" w:right="640"/>
        </w:sectPr>
      </w:pPr>
    </w:p>
    <w:p>
      <w:pPr>
        <w:pStyle w:val="BodyText"/>
        <w:spacing w:line="480" w:lineRule="auto" w:before="72"/>
        <w:ind w:left="560" w:right="797"/>
        <w:jc w:val="both"/>
      </w:pPr>
      <w:r>
        <w:rPr/>
        <w:t>The mean</w:t>
      </w:r>
      <w:r>
        <w:rPr>
          <w:rFonts w:ascii="Symbol" w:hAnsi="Symbol"/>
        </w:rPr>
        <w:t></w:t>
      </w:r>
      <w:r>
        <w:rPr/>
        <w:t>SD (4.50 </w:t>
      </w:r>
      <w:r>
        <w:rPr>
          <w:rFonts w:ascii="Symbol" w:hAnsi="Symbol"/>
        </w:rPr>
        <w:t></w:t>
      </w:r>
      <w:r>
        <w:rPr/>
        <w:t> 4.77)of IL-6for group 1 was lower and showed no significant different (P&gt;0.05) with 5.79 </w:t>
      </w:r>
      <w:r>
        <w:rPr>
          <w:rFonts w:ascii="Symbol" w:hAnsi="Symbol"/>
        </w:rPr>
        <w:t></w:t>
      </w:r>
      <w:r>
        <w:rPr/>
        <w:t> 4.94 and 13.23 </w:t>
      </w:r>
      <w:r>
        <w:rPr>
          <w:rFonts w:ascii="Symbol" w:hAnsi="Symbol"/>
        </w:rPr>
        <w:t></w:t>
      </w:r>
      <w:r>
        <w:rPr/>
        <w:t> 10.40 for groups 2 and 3 respectively.</w:t>
      </w:r>
      <w:r>
        <w:rPr>
          <w:spacing w:val="40"/>
        </w:rPr>
        <w:t> </w:t>
      </w:r>
      <w:r>
        <w:rPr/>
        <w:t>On the other hand, significant difference (P&lt;0.05) existed on comparison with groups 2 and 3 women.</w:t>
      </w:r>
    </w:p>
    <w:p>
      <w:pPr>
        <w:pStyle w:val="BodyText"/>
        <w:spacing w:line="480" w:lineRule="auto"/>
        <w:ind w:left="560" w:right="798"/>
        <w:jc w:val="both"/>
      </w:pPr>
      <w:r>
        <w:rPr/>
        <w:t>Considering IL-10,</w:t>
      </w:r>
      <w:r>
        <w:rPr>
          <w:spacing w:val="-2"/>
        </w:rPr>
        <w:t> </w:t>
      </w:r>
      <w:r>
        <w:rPr/>
        <w:t>the</w:t>
      </w:r>
      <w:r>
        <w:rPr>
          <w:spacing w:val="-2"/>
        </w:rPr>
        <w:t> </w:t>
      </w:r>
      <w:r>
        <w:rPr/>
        <w:t>mean</w:t>
      </w:r>
      <w:r>
        <w:rPr>
          <w:rFonts w:ascii="Symbol" w:hAnsi="Symbol"/>
        </w:rPr>
        <w:t></w:t>
      </w:r>
      <w:r>
        <w:rPr/>
        <w:t>SD</w:t>
      </w:r>
      <w:r>
        <w:rPr>
          <w:spacing w:val="-2"/>
        </w:rPr>
        <w:t> </w:t>
      </w:r>
      <w:r>
        <w:rPr/>
        <w:t>11.86</w:t>
      </w:r>
      <w:r>
        <w:rPr>
          <w:rFonts w:ascii="Symbol" w:hAnsi="Symbol"/>
        </w:rPr>
        <w:t></w:t>
      </w:r>
      <w:r>
        <w:rPr/>
        <w:t>6.61,</w:t>
      </w:r>
      <w:r>
        <w:rPr>
          <w:spacing w:val="-2"/>
        </w:rPr>
        <w:t> </w:t>
      </w:r>
      <w:r>
        <w:rPr/>
        <w:t>14.41</w:t>
      </w:r>
      <w:r>
        <w:rPr>
          <w:rFonts w:ascii="Symbol" w:hAnsi="Symbol"/>
        </w:rPr>
        <w:t></w:t>
      </w:r>
      <w:r>
        <w:rPr/>
        <w:t>6.64</w:t>
      </w:r>
      <w:r>
        <w:rPr>
          <w:spacing w:val="-2"/>
        </w:rPr>
        <w:t> </w:t>
      </w:r>
      <w:r>
        <w:rPr/>
        <w:t>and</w:t>
      </w:r>
      <w:r>
        <w:rPr>
          <w:spacing w:val="-2"/>
        </w:rPr>
        <w:t> </w:t>
      </w:r>
      <w:r>
        <w:rPr/>
        <w:t>15.79</w:t>
      </w:r>
      <w:r>
        <w:rPr>
          <w:rFonts w:ascii="Symbol" w:hAnsi="Symbol"/>
        </w:rPr>
        <w:t></w:t>
      </w:r>
      <w:r>
        <w:rPr/>
        <w:t>5.42</w:t>
      </w:r>
      <w:r>
        <w:rPr>
          <w:spacing w:val="-2"/>
        </w:rPr>
        <w:t> </w:t>
      </w:r>
      <w:r>
        <w:rPr/>
        <w:t>forGroups</w:t>
      </w:r>
      <w:r>
        <w:rPr>
          <w:spacing w:val="-2"/>
        </w:rPr>
        <w:t> </w:t>
      </w:r>
      <w:r>
        <w:rPr/>
        <w:t>1,</w:t>
      </w:r>
      <w:r>
        <w:rPr>
          <w:spacing w:val="-2"/>
        </w:rPr>
        <w:t> </w:t>
      </w:r>
      <w:r>
        <w:rPr/>
        <w:t>2</w:t>
      </w:r>
      <w:r>
        <w:rPr>
          <w:spacing w:val="-2"/>
        </w:rPr>
        <w:t> </w:t>
      </w:r>
      <w:r>
        <w:rPr/>
        <w:t>and 3 respectivelyshowed no statistical significant difference (P&gt;0.05) on comparison within and between the groups.</w:t>
      </w:r>
    </w:p>
    <w:p>
      <w:pPr>
        <w:spacing w:after="0" w:line="480" w:lineRule="auto"/>
        <w:jc w:val="both"/>
        <w:sectPr>
          <w:pgSz w:w="11910" w:h="16840"/>
          <w:pgMar w:header="0" w:footer="1067" w:top="1060" w:bottom="1260" w:left="880" w:right="640"/>
        </w:sectPr>
      </w:pPr>
    </w:p>
    <w:p>
      <w:pPr>
        <w:spacing w:line="273" w:lineRule="auto" w:before="77"/>
        <w:ind w:left="2000" w:right="797" w:hanging="1440"/>
        <w:jc w:val="both"/>
        <w:rPr>
          <w:sz w:val="22"/>
        </w:rPr>
      </w:pPr>
      <w:r>
        <w:rPr>
          <w:b/>
          <w:sz w:val="22"/>
        </w:rPr>
        <w:t>TABLE 4.6:COMPARISON MEAN±SD OF THE INFLUENCE OF GESTATIONAL AGE</w:t>
      </w:r>
      <w:r>
        <w:rPr>
          <w:b/>
          <w:spacing w:val="80"/>
          <w:sz w:val="22"/>
        </w:rPr>
        <w:t> </w:t>
      </w:r>
      <w:r>
        <w:rPr>
          <w:b/>
          <w:sz w:val="22"/>
        </w:rPr>
        <w:t>(BY TRIMESTER) ON THE CYTOKINE LEVELSOF UNINFECTED PREGNANT WOMEN</w:t>
      </w:r>
      <w:r>
        <w:rPr>
          <w:sz w:val="22"/>
        </w:rPr>
        <w:t>.</w:t>
      </w:r>
    </w:p>
    <w:p>
      <w:pPr>
        <w:pStyle w:val="BodyText"/>
        <w:spacing w:before="116"/>
        <w:rPr>
          <w:sz w:val="20"/>
        </w:rPr>
      </w:pPr>
    </w:p>
    <w:tbl>
      <w:tblPr>
        <w:tblW w:w="0" w:type="auto"/>
        <w:jc w:val="lef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1"/>
        <w:gridCol w:w="1385"/>
        <w:gridCol w:w="1530"/>
        <w:gridCol w:w="1436"/>
        <w:gridCol w:w="1663"/>
        <w:gridCol w:w="1547"/>
      </w:tblGrid>
      <w:tr>
        <w:trPr>
          <w:trHeight w:val="627" w:hRule="atLeast"/>
        </w:trPr>
        <w:tc>
          <w:tcPr>
            <w:tcW w:w="1391" w:type="dxa"/>
            <w:tcBorders>
              <w:top w:val="single" w:sz="4" w:space="0" w:color="000000"/>
              <w:bottom w:val="single" w:sz="4" w:space="0" w:color="000000"/>
            </w:tcBorders>
          </w:tcPr>
          <w:p>
            <w:pPr>
              <w:pStyle w:val="TableParagraph"/>
              <w:spacing w:line="265" w:lineRule="exact"/>
              <w:ind w:left="1" w:right="8"/>
              <w:rPr>
                <w:rFonts w:ascii="Calibri"/>
                <w:b/>
                <w:sz w:val="22"/>
              </w:rPr>
            </w:pPr>
            <w:r>
              <w:rPr>
                <w:rFonts w:ascii="Calibri"/>
                <w:b/>
                <w:spacing w:val="-5"/>
                <w:sz w:val="22"/>
              </w:rPr>
              <w:t>AGE</w:t>
            </w:r>
          </w:p>
          <w:p>
            <w:pPr>
              <w:pStyle w:val="TableParagraph"/>
              <w:spacing w:before="38"/>
              <w:ind w:left="6" w:right="8"/>
              <w:rPr>
                <w:rFonts w:ascii="Calibri"/>
                <w:b/>
                <w:sz w:val="22"/>
              </w:rPr>
            </w:pPr>
            <w:r>
              <w:rPr>
                <w:rFonts w:ascii="Calibri"/>
                <w:b/>
                <w:spacing w:val="-2"/>
                <w:sz w:val="22"/>
              </w:rPr>
              <w:t>GROUPS</w:t>
            </w:r>
          </w:p>
        </w:tc>
        <w:tc>
          <w:tcPr>
            <w:tcW w:w="1385" w:type="dxa"/>
            <w:tcBorders>
              <w:top w:val="single" w:sz="4" w:space="0" w:color="000000"/>
              <w:bottom w:val="single" w:sz="4" w:space="0" w:color="000000"/>
            </w:tcBorders>
          </w:tcPr>
          <w:p>
            <w:pPr>
              <w:pStyle w:val="TableParagraph"/>
              <w:spacing w:line="277" w:lineRule="exact"/>
              <w:ind w:right="25"/>
              <w:rPr>
                <w:rFonts w:ascii="Symbol" w:hAnsi="Symbol"/>
                <w:sz w:val="22"/>
              </w:rPr>
            </w:pPr>
            <w:r>
              <w:rPr>
                <w:rFonts w:ascii="Calibri" w:hAnsi="Calibri"/>
                <w:b/>
                <w:spacing w:val="-4"/>
                <w:sz w:val="22"/>
              </w:rPr>
              <w:t>IFN</w:t>
            </w:r>
            <w:r>
              <w:rPr>
                <w:rFonts w:ascii="Symbol" w:hAnsi="Symbol"/>
                <w:spacing w:val="-4"/>
                <w:sz w:val="22"/>
              </w:rPr>
              <w:t></w:t>
            </w:r>
          </w:p>
          <w:p>
            <w:pPr>
              <w:pStyle w:val="TableParagraph"/>
              <w:spacing w:before="38"/>
              <w:ind w:left="4" w:right="25"/>
              <w:rPr>
                <w:rFonts w:ascii="Calibri"/>
                <w:b/>
                <w:sz w:val="22"/>
              </w:rPr>
            </w:pPr>
            <w:r>
              <w:rPr>
                <w:rFonts w:ascii="Calibri"/>
                <w:b/>
                <w:spacing w:val="-2"/>
                <w:sz w:val="22"/>
              </w:rPr>
              <w:t>(pg/ml)</w:t>
            </w:r>
          </w:p>
        </w:tc>
        <w:tc>
          <w:tcPr>
            <w:tcW w:w="1530" w:type="dxa"/>
            <w:tcBorders>
              <w:top w:val="single" w:sz="4" w:space="0" w:color="000000"/>
              <w:bottom w:val="single" w:sz="4" w:space="0" w:color="000000"/>
            </w:tcBorders>
          </w:tcPr>
          <w:p>
            <w:pPr>
              <w:pStyle w:val="TableParagraph"/>
              <w:spacing w:line="277" w:lineRule="exact"/>
              <w:ind w:left="2" w:right="12"/>
              <w:rPr>
                <w:rFonts w:ascii="Symbol" w:hAnsi="Symbol"/>
                <w:sz w:val="22"/>
              </w:rPr>
            </w:pPr>
            <w:r>
              <w:rPr>
                <w:rFonts w:ascii="Calibri" w:hAnsi="Calibri"/>
                <w:b/>
                <w:spacing w:val="-4"/>
                <w:sz w:val="22"/>
              </w:rPr>
              <w:t>TNF</w:t>
            </w:r>
            <w:r>
              <w:rPr>
                <w:rFonts w:ascii="Symbol" w:hAnsi="Symbol"/>
                <w:spacing w:val="-4"/>
                <w:sz w:val="22"/>
              </w:rPr>
              <w:t></w:t>
            </w:r>
          </w:p>
          <w:p>
            <w:pPr>
              <w:pStyle w:val="TableParagraph"/>
              <w:spacing w:before="38"/>
              <w:ind w:right="12"/>
              <w:rPr>
                <w:rFonts w:ascii="Calibri"/>
                <w:b/>
                <w:sz w:val="22"/>
              </w:rPr>
            </w:pPr>
            <w:r>
              <w:rPr>
                <w:rFonts w:ascii="Calibri"/>
                <w:b/>
                <w:spacing w:val="-2"/>
                <w:sz w:val="22"/>
              </w:rPr>
              <w:t>(pg/ml)</w:t>
            </w:r>
          </w:p>
        </w:tc>
        <w:tc>
          <w:tcPr>
            <w:tcW w:w="1436" w:type="dxa"/>
            <w:tcBorders>
              <w:top w:val="single" w:sz="4" w:space="0" w:color="000000"/>
              <w:bottom w:val="single" w:sz="4" w:space="0" w:color="000000"/>
            </w:tcBorders>
          </w:tcPr>
          <w:p>
            <w:pPr>
              <w:pStyle w:val="TableParagraph"/>
              <w:spacing w:line="265" w:lineRule="exact"/>
              <w:ind w:left="352"/>
              <w:jc w:val="left"/>
              <w:rPr>
                <w:rFonts w:ascii="Calibri"/>
                <w:b/>
                <w:sz w:val="22"/>
              </w:rPr>
            </w:pPr>
            <w:r>
              <w:rPr>
                <w:rFonts w:ascii="Calibri"/>
                <w:b/>
                <w:sz w:val="22"/>
              </w:rPr>
              <w:t>IL-</w:t>
            </w:r>
            <w:r>
              <w:rPr>
                <w:rFonts w:ascii="Calibri"/>
                <w:b/>
                <w:spacing w:val="-10"/>
                <w:sz w:val="22"/>
              </w:rPr>
              <w:t>4</w:t>
            </w:r>
          </w:p>
          <w:p>
            <w:pPr>
              <w:pStyle w:val="TableParagraph"/>
              <w:spacing w:before="38"/>
              <w:ind w:left="369"/>
              <w:jc w:val="left"/>
              <w:rPr>
                <w:rFonts w:ascii="Calibri"/>
                <w:b/>
                <w:sz w:val="22"/>
              </w:rPr>
            </w:pPr>
            <w:r>
              <w:rPr>
                <w:rFonts w:ascii="Calibri"/>
                <w:b/>
                <w:spacing w:val="-2"/>
                <w:sz w:val="22"/>
              </w:rPr>
              <w:t>(pg/ml)</w:t>
            </w:r>
          </w:p>
        </w:tc>
        <w:tc>
          <w:tcPr>
            <w:tcW w:w="1663" w:type="dxa"/>
            <w:tcBorders>
              <w:top w:val="single" w:sz="4" w:space="0" w:color="000000"/>
              <w:bottom w:val="single" w:sz="4" w:space="0" w:color="000000"/>
            </w:tcBorders>
          </w:tcPr>
          <w:p>
            <w:pPr>
              <w:pStyle w:val="TableParagraph"/>
              <w:spacing w:line="265" w:lineRule="exact"/>
              <w:ind w:left="4" w:right="1"/>
              <w:rPr>
                <w:rFonts w:ascii="Calibri"/>
                <w:b/>
                <w:sz w:val="22"/>
              </w:rPr>
            </w:pPr>
            <w:r>
              <w:rPr>
                <w:rFonts w:ascii="Calibri"/>
                <w:b/>
                <w:sz w:val="22"/>
              </w:rPr>
              <w:t>IL-</w:t>
            </w:r>
            <w:r>
              <w:rPr>
                <w:rFonts w:ascii="Calibri"/>
                <w:b/>
                <w:spacing w:val="-10"/>
                <w:sz w:val="22"/>
              </w:rPr>
              <w:t>6</w:t>
            </w:r>
          </w:p>
          <w:p>
            <w:pPr>
              <w:pStyle w:val="TableParagraph"/>
              <w:spacing w:before="38"/>
              <w:ind w:left="4" w:right="1"/>
              <w:rPr>
                <w:rFonts w:ascii="Calibri"/>
                <w:b/>
                <w:sz w:val="22"/>
              </w:rPr>
            </w:pPr>
            <w:r>
              <w:rPr>
                <w:rFonts w:ascii="Calibri"/>
                <w:b/>
                <w:spacing w:val="-2"/>
                <w:sz w:val="22"/>
              </w:rPr>
              <w:t>(pg/ml)</w:t>
            </w:r>
          </w:p>
        </w:tc>
        <w:tc>
          <w:tcPr>
            <w:tcW w:w="1547" w:type="dxa"/>
            <w:tcBorders>
              <w:top w:val="single" w:sz="4" w:space="0" w:color="000000"/>
              <w:bottom w:val="single" w:sz="4" w:space="0" w:color="000000"/>
            </w:tcBorders>
          </w:tcPr>
          <w:p>
            <w:pPr>
              <w:pStyle w:val="TableParagraph"/>
              <w:spacing w:line="265" w:lineRule="exact"/>
              <w:ind w:left="58" w:right="53"/>
              <w:rPr>
                <w:rFonts w:ascii="Calibri"/>
                <w:b/>
                <w:sz w:val="22"/>
              </w:rPr>
            </w:pPr>
            <w:r>
              <w:rPr>
                <w:rFonts w:ascii="Calibri"/>
                <w:b/>
                <w:sz w:val="22"/>
              </w:rPr>
              <w:t>IL-</w:t>
            </w:r>
            <w:r>
              <w:rPr>
                <w:rFonts w:ascii="Calibri"/>
                <w:b/>
                <w:spacing w:val="-5"/>
                <w:sz w:val="22"/>
              </w:rPr>
              <w:t>10</w:t>
            </w:r>
          </w:p>
          <w:p>
            <w:pPr>
              <w:pStyle w:val="TableParagraph"/>
              <w:spacing w:before="38"/>
              <w:ind w:left="58" w:right="48"/>
              <w:rPr>
                <w:rFonts w:ascii="Calibri"/>
                <w:b/>
                <w:sz w:val="22"/>
              </w:rPr>
            </w:pPr>
            <w:r>
              <w:rPr>
                <w:rFonts w:ascii="Calibri"/>
                <w:b/>
                <w:spacing w:val="-2"/>
                <w:sz w:val="22"/>
              </w:rPr>
              <w:t>(pg/ml)</w:t>
            </w:r>
          </w:p>
        </w:tc>
      </w:tr>
      <w:tr>
        <w:trPr>
          <w:trHeight w:val="333" w:hRule="atLeast"/>
        </w:trPr>
        <w:tc>
          <w:tcPr>
            <w:tcW w:w="1391" w:type="dxa"/>
            <w:tcBorders>
              <w:top w:val="single" w:sz="4" w:space="0" w:color="000000"/>
            </w:tcBorders>
          </w:tcPr>
          <w:p>
            <w:pPr>
              <w:pStyle w:val="TableParagraph"/>
              <w:spacing w:line="265" w:lineRule="exact"/>
              <w:ind w:left="1" w:right="8"/>
              <w:rPr>
                <w:rFonts w:ascii="Calibri"/>
                <w:b/>
                <w:sz w:val="22"/>
              </w:rPr>
            </w:pPr>
            <w:r>
              <w:rPr>
                <w:rFonts w:ascii="Calibri"/>
                <w:b/>
                <w:spacing w:val="-2"/>
                <w:sz w:val="22"/>
              </w:rPr>
              <w:t>G1(n=5)</w:t>
            </w:r>
          </w:p>
        </w:tc>
        <w:tc>
          <w:tcPr>
            <w:tcW w:w="1385" w:type="dxa"/>
            <w:tcBorders>
              <w:top w:val="single" w:sz="4" w:space="0" w:color="000000"/>
            </w:tcBorders>
          </w:tcPr>
          <w:p>
            <w:pPr>
              <w:pStyle w:val="TableParagraph"/>
              <w:spacing w:line="264" w:lineRule="exact"/>
              <w:ind w:left="3" w:right="25"/>
              <w:rPr>
                <w:sz w:val="22"/>
              </w:rPr>
            </w:pPr>
            <w:r>
              <w:rPr>
                <w:spacing w:val="-2"/>
                <w:sz w:val="22"/>
              </w:rPr>
              <w:t>8.80</w:t>
            </w:r>
            <w:r>
              <w:rPr>
                <w:rFonts w:ascii="Symbol" w:hAnsi="Symbol"/>
                <w:spacing w:val="-2"/>
                <w:sz w:val="22"/>
              </w:rPr>
              <w:t></w:t>
            </w:r>
            <w:r>
              <w:rPr>
                <w:spacing w:val="-2"/>
                <w:sz w:val="22"/>
              </w:rPr>
              <w:t>1.46</w:t>
            </w:r>
          </w:p>
        </w:tc>
        <w:tc>
          <w:tcPr>
            <w:tcW w:w="1530" w:type="dxa"/>
            <w:tcBorders>
              <w:top w:val="single" w:sz="4" w:space="0" w:color="000000"/>
            </w:tcBorders>
          </w:tcPr>
          <w:p>
            <w:pPr>
              <w:pStyle w:val="TableParagraph"/>
              <w:spacing w:line="264" w:lineRule="exact"/>
              <w:ind w:left="4" w:right="12"/>
              <w:rPr>
                <w:sz w:val="22"/>
              </w:rPr>
            </w:pPr>
            <w:r>
              <w:rPr>
                <w:spacing w:val="-2"/>
                <w:sz w:val="22"/>
              </w:rPr>
              <w:t>11.98</w:t>
            </w:r>
            <w:r>
              <w:rPr>
                <w:rFonts w:ascii="Symbol" w:hAnsi="Symbol"/>
                <w:spacing w:val="-2"/>
                <w:sz w:val="22"/>
              </w:rPr>
              <w:t></w:t>
            </w:r>
            <w:r>
              <w:rPr>
                <w:spacing w:val="-2"/>
                <w:sz w:val="22"/>
              </w:rPr>
              <w:t>1.60</w:t>
            </w:r>
          </w:p>
        </w:tc>
        <w:tc>
          <w:tcPr>
            <w:tcW w:w="1436" w:type="dxa"/>
            <w:tcBorders>
              <w:top w:val="single" w:sz="4" w:space="0" w:color="000000"/>
            </w:tcBorders>
          </w:tcPr>
          <w:p>
            <w:pPr>
              <w:pStyle w:val="TableParagraph"/>
              <w:spacing w:line="264" w:lineRule="exact"/>
              <w:ind w:left="3" w:right="5"/>
              <w:rPr>
                <w:sz w:val="22"/>
              </w:rPr>
            </w:pPr>
            <w:r>
              <w:rPr>
                <w:spacing w:val="-2"/>
                <w:sz w:val="22"/>
              </w:rPr>
              <w:t>4.74</w:t>
            </w:r>
            <w:r>
              <w:rPr>
                <w:rFonts w:ascii="Symbol" w:hAnsi="Symbol"/>
                <w:spacing w:val="-2"/>
                <w:sz w:val="22"/>
              </w:rPr>
              <w:t></w:t>
            </w:r>
            <w:r>
              <w:rPr>
                <w:spacing w:val="-2"/>
                <w:sz w:val="22"/>
              </w:rPr>
              <w:t>4.82</w:t>
            </w:r>
          </w:p>
        </w:tc>
        <w:tc>
          <w:tcPr>
            <w:tcW w:w="1663" w:type="dxa"/>
            <w:tcBorders>
              <w:top w:val="single" w:sz="4" w:space="0" w:color="000000"/>
            </w:tcBorders>
          </w:tcPr>
          <w:p>
            <w:pPr>
              <w:pStyle w:val="TableParagraph"/>
              <w:spacing w:line="264" w:lineRule="exact"/>
              <w:ind w:left="4" w:right="2"/>
              <w:rPr>
                <w:sz w:val="22"/>
              </w:rPr>
            </w:pPr>
            <w:r>
              <w:rPr>
                <w:spacing w:val="-2"/>
                <w:sz w:val="22"/>
              </w:rPr>
              <w:t>4.50</w:t>
            </w:r>
            <w:r>
              <w:rPr>
                <w:rFonts w:ascii="Symbol" w:hAnsi="Symbol"/>
                <w:spacing w:val="-2"/>
                <w:sz w:val="22"/>
              </w:rPr>
              <w:t></w:t>
            </w:r>
            <w:r>
              <w:rPr>
                <w:spacing w:val="-2"/>
                <w:sz w:val="22"/>
              </w:rPr>
              <w:t>4.77</w:t>
            </w:r>
          </w:p>
        </w:tc>
        <w:tc>
          <w:tcPr>
            <w:tcW w:w="1547" w:type="dxa"/>
            <w:tcBorders>
              <w:top w:val="single" w:sz="4" w:space="0" w:color="000000"/>
            </w:tcBorders>
          </w:tcPr>
          <w:p>
            <w:pPr>
              <w:pStyle w:val="TableParagraph"/>
              <w:spacing w:line="264" w:lineRule="exact"/>
              <w:ind w:left="58" w:right="49"/>
              <w:rPr>
                <w:sz w:val="22"/>
              </w:rPr>
            </w:pPr>
            <w:r>
              <w:rPr>
                <w:spacing w:val="-2"/>
                <w:sz w:val="22"/>
              </w:rPr>
              <w:t>11.86</w:t>
            </w:r>
            <w:r>
              <w:rPr>
                <w:rFonts w:ascii="Symbol" w:hAnsi="Symbol"/>
                <w:spacing w:val="-2"/>
                <w:sz w:val="22"/>
              </w:rPr>
              <w:t></w:t>
            </w:r>
            <w:r>
              <w:rPr>
                <w:spacing w:val="-2"/>
                <w:sz w:val="22"/>
              </w:rPr>
              <w:t>6.61</w:t>
            </w:r>
          </w:p>
        </w:tc>
      </w:tr>
      <w:tr>
        <w:trPr>
          <w:trHeight w:val="404" w:hRule="atLeast"/>
        </w:trPr>
        <w:tc>
          <w:tcPr>
            <w:tcW w:w="1391" w:type="dxa"/>
          </w:tcPr>
          <w:p>
            <w:pPr>
              <w:pStyle w:val="TableParagraph"/>
              <w:spacing w:before="70"/>
              <w:ind w:left="3" w:right="8"/>
              <w:rPr>
                <w:rFonts w:ascii="Calibri"/>
                <w:b/>
                <w:sz w:val="22"/>
              </w:rPr>
            </w:pPr>
            <w:r>
              <w:rPr>
                <w:rFonts w:ascii="Calibri"/>
                <w:b/>
                <w:spacing w:val="-2"/>
                <w:sz w:val="22"/>
              </w:rPr>
              <w:t>G2(n=32)</w:t>
            </w:r>
          </w:p>
        </w:tc>
        <w:tc>
          <w:tcPr>
            <w:tcW w:w="1385" w:type="dxa"/>
          </w:tcPr>
          <w:p>
            <w:pPr>
              <w:pStyle w:val="TableParagraph"/>
              <w:spacing w:before="68"/>
              <w:ind w:left="3" w:right="25"/>
              <w:rPr>
                <w:sz w:val="22"/>
              </w:rPr>
            </w:pPr>
            <w:r>
              <w:rPr>
                <w:spacing w:val="-2"/>
                <w:sz w:val="22"/>
              </w:rPr>
              <w:t>6.78</w:t>
            </w:r>
            <w:r>
              <w:rPr>
                <w:rFonts w:ascii="Symbol" w:hAnsi="Symbol"/>
                <w:spacing w:val="-2"/>
                <w:sz w:val="22"/>
              </w:rPr>
              <w:t></w:t>
            </w:r>
            <w:r>
              <w:rPr>
                <w:spacing w:val="-2"/>
                <w:sz w:val="22"/>
              </w:rPr>
              <w:t>2.96</w:t>
            </w:r>
          </w:p>
        </w:tc>
        <w:tc>
          <w:tcPr>
            <w:tcW w:w="1530" w:type="dxa"/>
          </w:tcPr>
          <w:p>
            <w:pPr>
              <w:pStyle w:val="TableParagraph"/>
              <w:spacing w:before="68"/>
              <w:ind w:left="4" w:right="12"/>
              <w:rPr>
                <w:sz w:val="22"/>
              </w:rPr>
            </w:pPr>
            <w:r>
              <w:rPr>
                <w:spacing w:val="-2"/>
                <w:sz w:val="22"/>
              </w:rPr>
              <w:t>11.20</w:t>
            </w:r>
            <w:r>
              <w:rPr>
                <w:rFonts w:ascii="Symbol" w:hAnsi="Symbol"/>
                <w:spacing w:val="-2"/>
                <w:sz w:val="22"/>
              </w:rPr>
              <w:t></w:t>
            </w:r>
            <w:r>
              <w:rPr>
                <w:spacing w:val="-2"/>
                <w:sz w:val="22"/>
              </w:rPr>
              <w:t>2.92</w:t>
            </w:r>
          </w:p>
        </w:tc>
        <w:tc>
          <w:tcPr>
            <w:tcW w:w="1436" w:type="dxa"/>
          </w:tcPr>
          <w:p>
            <w:pPr>
              <w:pStyle w:val="TableParagraph"/>
              <w:spacing w:before="68"/>
              <w:ind w:left="3" w:right="5"/>
              <w:rPr>
                <w:sz w:val="22"/>
              </w:rPr>
            </w:pPr>
            <w:r>
              <w:rPr>
                <w:spacing w:val="-2"/>
                <w:sz w:val="22"/>
              </w:rPr>
              <w:t>6.96</w:t>
            </w:r>
            <w:r>
              <w:rPr>
                <w:rFonts w:ascii="Symbol" w:hAnsi="Symbol"/>
                <w:spacing w:val="-2"/>
                <w:sz w:val="22"/>
              </w:rPr>
              <w:t></w:t>
            </w:r>
            <w:r>
              <w:rPr>
                <w:spacing w:val="-2"/>
                <w:sz w:val="22"/>
              </w:rPr>
              <w:t>4.60</w:t>
            </w:r>
          </w:p>
        </w:tc>
        <w:tc>
          <w:tcPr>
            <w:tcW w:w="1663" w:type="dxa"/>
          </w:tcPr>
          <w:p>
            <w:pPr>
              <w:pStyle w:val="TableParagraph"/>
              <w:spacing w:before="68"/>
              <w:ind w:left="4" w:right="2"/>
              <w:rPr>
                <w:sz w:val="22"/>
              </w:rPr>
            </w:pPr>
            <w:r>
              <w:rPr>
                <w:spacing w:val="-2"/>
                <w:sz w:val="22"/>
              </w:rPr>
              <w:t>5.79</w:t>
            </w:r>
            <w:r>
              <w:rPr>
                <w:rFonts w:ascii="Symbol" w:hAnsi="Symbol"/>
                <w:spacing w:val="-2"/>
                <w:sz w:val="22"/>
              </w:rPr>
              <w:t></w:t>
            </w:r>
            <w:r>
              <w:rPr>
                <w:spacing w:val="-2"/>
                <w:sz w:val="22"/>
              </w:rPr>
              <w:t>4.94</w:t>
            </w:r>
          </w:p>
        </w:tc>
        <w:tc>
          <w:tcPr>
            <w:tcW w:w="1547" w:type="dxa"/>
          </w:tcPr>
          <w:p>
            <w:pPr>
              <w:pStyle w:val="TableParagraph"/>
              <w:spacing w:before="68"/>
              <w:ind w:left="58" w:right="49"/>
              <w:rPr>
                <w:sz w:val="22"/>
              </w:rPr>
            </w:pPr>
            <w:r>
              <w:rPr>
                <w:spacing w:val="-2"/>
                <w:sz w:val="22"/>
              </w:rPr>
              <w:t>14.41</w:t>
            </w:r>
            <w:r>
              <w:rPr>
                <w:rFonts w:ascii="Symbol" w:hAnsi="Symbol"/>
                <w:spacing w:val="-2"/>
                <w:sz w:val="22"/>
              </w:rPr>
              <w:t></w:t>
            </w:r>
            <w:r>
              <w:rPr>
                <w:spacing w:val="-2"/>
                <w:sz w:val="22"/>
              </w:rPr>
              <w:t>6.64</w:t>
            </w:r>
          </w:p>
        </w:tc>
      </w:tr>
      <w:tr>
        <w:trPr>
          <w:trHeight w:val="408" w:hRule="atLeast"/>
        </w:trPr>
        <w:tc>
          <w:tcPr>
            <w:tcW w:w="1391" w:type="dxa"/>
          </w:tcPr>
          <w:p>
            <w:pPr>
              <w:pStyle w:val="TableParagraph"/>
              <w:spacing w:before="69"/>
              <w:ind w:left="3" w:right="8"/>
              <w:rPr>
                <w:rFonts w:ascii="Calibri"/>
                <w:b/>
                <w:sz w:val="22"/>
              </w:rPr>
            </w:pPr>
            <w:r>
              <w:rPr>
                <w:rFonts w:ascii="Calibri"/>
                <w:b/>
                <w:spacing w:val="-2"/>
                <w:sz w:val="22"/>
              </w:rPr>
              <w:t>G3(n=25)</w:t>
            </w:r>
          </w:p>
        </w:tc>
        <w:tc>
          <w:tcPr>
            <w:tcW w:w="1385" w:type="dxa"/>
          </w:tcPr>
          <w:p>
            <w:pPr>
              <w:pStyle w:val="TableParagraph"/>
              <w:spacing w:before="67"/>
              <w:ind w:left="3" w:right="25"/>
              <w:rPr>
                <w:sz w:val="22"/>
              </w:rPr>
            </w:pPr>
            <w:r>
              <w:rPr>
                <w:spacing w:val="-2"/>
                <w:sz w:val="22"/>
              </w:rPr>
              <w:t>4.40</w:t>
            </w:r>
            <w:r>
              <w:rPr>
                <w:rFonts w:ascii="Symbol" w:hAnsi="Symbol"/>
                <w:spacing w:val="-2"/>
                <w:sz w:val="22"/>
              </w:rPr>
              <w:t></w:t>
            </w:r>
            <w:r>
              <w:rPr>
                <w:spacing w:val="-2"/>
                <w:sz w:val="22"/>
              </w:rPr>
              <w:t>2.81</w:t>
            </w:r>
          </w:p>
        </w:tc>
        <w:tc>
          <w:tcPr>
            <w:tcW w:w="1530" w:type="dxa"/>
          </w:tcPr>
          <w:p>
            <w:pPr>
              <w:pStyle w:val="TableParagraph"/>
              <w:spacing w:before="67"/>
              <w:ind w:left="4" w:right="12"/>
              <w:rPr>
                <w:sz w:val="22"/>
              </w:rPr>
            </w:pPr>
            <w:r>
              <w:rPr>
                <w:spacing w:val="-2"/>
                <w:sz w:val="22"/>
              </w:rPr>
              <w:t>8.149</w:t>
            </w:r>
            <w:r>
              <w:rPr>
                <w:rFonts w:ascii="Symbol" w:hAnsi="Symbol"/>
                <w:spacing w:val="-2"/>
                <w:sz w:val="22"/>
              </w:rPr>
              <w:t></w:t>
            </w:r>
            <w:r>
              <w:rPr>
                <w:spacing w:val="-2"/>
                <w:sz w:val="22"/>
              </w:rPr>
              <w:t>2.40</w:t>
            </w:r>
          </w:p>
        </w:tc>
        <w:tc>
          <w:tcPr>
            <w:tcW w:w="1436" w:type="dxa"/>
          </w:tcPr>
          <w:p>
            <w:pPr>
              <w:pStyle w:val="TableParagraph"/>
              <w:spacing w:before="67"/>
              <w:ind w:left="3" w:right="5"/>
              <w:rPr>
                <w:sz w:val="22"/>
              </w:rPr>
            </w:pPr>
            <w:r>
              <w:rPr>
                <w:spacing w:val="-2"/>
                <w:sz w:val="22"/>
              </w:rPr>
              <w:t>7.93</w:t>
            </w:r>
            <w:r>
              <w:rPr>
                <w:rFonts w:ascii="Symbol" w:hAnsi="Symbol"/>
                <w:spacing w:val="-2"/>
                <w:sz w:val="22"/>
              </w:rPr>
              <w:t></w:t>
            </w:r>
            <w:r>
              <w:rPr>
                <w:spacing w:val="-2"/>
                <w:sz w:val="22"/>
              </w:rPr>
              <w:t>2.40</w:t>
            </w:r>
          </w:p>
        </w:tc>
        <w:tc>
          <w:tcPr>
            <w:tcW w:w="1663" w:type="dxa"/>
          </w:tcPr>
          <w:p>
            <w:pPr>
              <w:pStyle w:val="TableParagraph"/>
              <w:spacing w:before="67"/>
              <w:ind w:left="4" w:right="2"/>
              <w:rPr>
                <w:sz w:val="22"/>
              </w:rPr>
            </w:pPr>
            <w:r>
              <w:rPr>
                <w:spacing w:val="-2"/>
                <w:sz w:val="22"/>
              </w:rPr>
              <w:t>13.23</w:t>
            </w:r>
            <w:r>
              <w:rPr>
                <w:rFonts w:ascii="Symbol" w:hAnsi="Symbol"/>
                <w:spacing w:val="-2"/>
                <w:sz w:val="22"/>
              </w:rPr>
              <w:t></w:t>
            </w:r>
            <w:r>
              <w:rPr>
                <w:spacing w:val="-2"/>
                <w:sz w:val="22"/>
              </w:rPr>
              <w:t>10.40</w:t>
            </w:r>
          </w:p>
        </w:tc>
        <w:tc>
          <w:tcPr>
            <w:tcW w:w="1547" w:type="dxa"/>
          </w:tcPr>
          <w:p>
            <w:pPr>
              <w:pStyle w:val="TableParagraph"/>
              <w:spacing w:before="67"/>
              <w:ind w:left="58" w:right="49"/>
              <w:rPr>
                <w:sz w:val="22"/>
              </w:rPr>
            </w:pPr>
            <w:r>
              <w:rPr>
                <w:spacing w:val="-2"/>
                <w:sz w:val="22"/>
              </w:rPr>
              <w:t>15.79</w:t>
            </w:r>
            <w:r>
              <w:rPr>
                <w:rFonts w:ascii="Symbol" w:hAnsi="Symbol"/>
                <w:spacing w:val="-2"/>
                <w:sz w:val="22"/>
              </w:rPr>
              <w:t></w:t>
            </w:r>
            <w:r>
              <w:rPr>
                <w:spacing w:val="-2"/>
                <w:sz w:val="22"/>
              </w:rPr>
              <w:t>5.42</w:t>
            </w:r>
          </w:p>
        </w:tc>
      </w:tr>
      <w:tr>
        <w:trPr>
          <w:trHeight w:val="763" w:hRule="atLeast"/>
        </w:trPr>
        <w:tc>
          <w:tcPr>
            <w:tcW w:w="1391" w:type="dxa"/>
          </w:tcPr>
          <w:p>
            <w:pPr>
              <w:pStyle w:val="TableParagraph"/>
              <w:spacing w:before="66"/>
              <w:ind w:left="5" w:right="8"/>
              <w:rPr>
                <w:rFonts w:ascii="Calibri"/>
                <w:b/>
                <w:sz w:val="22"/>
              </w:rPr>
            </w:pPr>
            <w:r>
              <w:rPr>
                <w:rFonts w:ascii="Calibri"/>
                <w:b/>
                <w:sz w:val="22"/>
              </w:rPr>
              <w:t>F(p)</w:t>
            </w:r>
            <w:r>
              <w:rPr>
                <w:rFonts w:ascii="Calibri"/>
                <w:b/>
                <w:spacing w:val="-3"/>
                <w:sz w:val="22"/>
              </w:rPr>
              <w:t> </w:t>
            </w:r>
            <w:r>
              <w:rPr>
                <w:rFonts w:ascii="Calibri"/>
                <w:b/>
                <w:spacing w:val="-2"/>
                <w:sz w:val="22"/>
              </w:rPr>
              <w:t>Value</w:t>
            </w:r>
          </w:p>
        </w:tc>
        <w:tc>
          <w:tcPr>
            <w:tcW w:w="1385" w:type="dxa"/>
          </w:tcPr>
          <w:p>
            <w:pPr>
              <w:pStyle w:val="TableParagraph"/>
              <w:spacing w:before="63"/>
              <w:ind w:left="377"/>
              <w:jc w:val="left"/>
              <w:rPr>
                <w:sz w:val="22"/>
              </w:rPr>
            </w:pPr>
            <w:r>
              <w:rPr>
                <w:spacing w:val="-2"/>
                <w:sz w:val="22"/>
              </w:rPr>
              <w:t>25.669</w:t>
            </w:r>
          </w:p>
          <w:p>
            <w:pPr>
              <w:pStyle w:val="TableParagraph"/>
              <w:spacing w:before="127"/>
              <w:ind w:left="413"/>
              <w:jc w:val="left"/>
              <w:rPr>
                <w:sz w:val="22"/>
              </w:rPr>
            </w:pPr>
            <w:r>
              <w:rPr>
                <w:spacing w:val="-2"/>
                <w:sz w:val="22"/>
              </w:rPr>
              <w:t>(.000)</w:t>
            </w:r>
          </w:p>
        </w:tc>
        <w:tc>
          <w:tcPr>
            <w:tcW w:w="1530" w:type="dxa"/>
          </w:tcPr>
          <w:p>
            <w:pPr>
              <w:pStyle w:val="TableParagraph"/>
              <w:spacing w:before="63"/>
              <w:ind w:left="454"/>
              <w:jc w:val="left"/>
              <w:rPr>
                <w:sz w:val="22"/>
              </w:rPr>
            </w:pPr>
            <w:r>
              <w:rPr>
                <w:spacing w:val="-2"/>
                <w:sz w:val="22"/>
              </w:rPr>
              <w:t>12.949</w:t>
            </w:r>
          </w:p>
          <w:p>
            <w:pPr>
              <w:pStyle w:val="TableParagraph"/>
              <w:spacing w:before="127"/>
              <w:ind w:left="493"/>
              <w:jc w:val="left"/>
              <w:rPr>
                <w:sz w:val="22"/>
              </w:rPr>
            </w:pPr>
            <w:r>
              <w:rPr>
                <w:spacing w:val="-2"/>
                <w:sz w:val="22"/>
              </w:rPr>
              <w:t>(.000)</w:t>
            </w:r>
          </w:p>
        </w:tc>
        <w:tc>
          <w:tcPr>
            <w:tcW w:w="1436" w:type="dxa"/>
          </w:tcPr>
          <w:p>
            <w:pPr>
              <w:pStyle w:val="TableParagraph"/>
              <w:spacing w:before="63"/>
              <w:ind w:left="465"/>
              <w:jc w:val="left"/>
              <w:rPr>
                <w:sz w:val="22"/>
              </w:rPr>
            </w:pPr>
            <w:r>
              <w:rPr>
                <w:spacing w:val="-2"/>
                <w:sz w:val="22"/>
              </w:rPr>
              <w:t>1.680</w:t>
            </w:r>
          </w:p>
          <w:p>
            <w:pPr>
              <w:pStyle w:val="TableParagraph"/>
              <w:spacing w:before="127"/>
              <w:ind w:left="448"/>
              <w:jc w:val="left"/>
              <w:rPr>
                <w:sz w:val="22"/>
              </w:rPr>
            </w:pPr>
            <w:r>
              <w:rPr>
                <w:spacing w:val="-2"/>
                <w:sz w:val="22"/>
              </w:rPr>
              <w:t>(.141)</w:t>
            </w:r>
          </w:p>
        </w:tc>
        <w:tc>
          <w:tcPr>
            <w:tcW w:w="1663" w:type="dxa"/>
          </w:tcPr>
          <w:p>
            <w:pPr>
              <w:pStyle w:val="TableParagraph"/>
              <w:spacing w:before="63"/>
              <w:ind w:left="4"/>
              <w:rPr>
                <w:sz w:val="22"/>
              </w:rPr>
            </w:pPr>
            <w:r>
              <w:rPr>
                <w:spacing w:val="-2"/>
                <w:sz w:val="22"/>
              </w:rPr>
              <w:t>12.723</w:t>
            </w:r>
          </w:p>
          <w:p>
            <w:pPr>
              <w:pStyle w:val="TableParagraph"/>
              <w:spacing w:before="127"/>
              <w:ind w:left="4" w:right="4"/>
              <w:rPr>
                <w:sz w:val="22"/>
              </w:rPr>
            </w:pPr>
            <w:r>
              <w:rPr>
                <w:spacing w:val="-2"/>
                <w:sz w:val="22"/>
              </w:rPr>
              <w:t>(.000)</w:t>
            </w:r>
          </w:p>
        </w:tc>
        <w:tc>
          <w:tcPr>
            <w:tcW w:w="1547" w:type="dxa"/>
          </w:tcPr>
          <w:p>
            <w:pPr>
              <w:pStyle w:val="TableParagraph"/>
              <w:spacing w:before="63"/>
              <w:ind w:left="58" w:right="47"/>
              <w:rPr>
                <w:sz w:val="22"/>
              </w:rPr>
            </w:pPr>
            <w:r>
              <w:rPr>
                <w:spacing w:val="-2"/>
                <w:sz w:val="22"/>
              </w:rPr>
              <w:t>6.667</w:t>
            </w:r>
          </w:p>
          <w:p>
            <w:pPr>
              <w:pStyle w:val="TableParagraph"/>
              <w:spacing w:before="127"/>
              <w:ind w:left="58" w:right="50"/>
              <w:rPr>
                <w:sz w:val="22"/>
              </w:rPr>
            </w:pPr>
            <w:r>
              <w:rPr>
                <w:spacing w:val="-2"/>
                <w:sz w:val="22"/>
              </w:rPr>
              <w:t>(.000)</w:t>
            </w:r>
          </w:p>
        </w:tc>
      </w:tr>
      <w:tr>
        <w:trPr>
          <w:trHeight w:val="398" w:hRule="atLeast"/>
        </w:trPr>
        <w:tc>
          <w:tcPr>
            <w:tcW w:w="1391" w:type="dxa"/>
          </w:tcPr>
          <w:p>
            <w:pPr>
              <w:pStyle w:val="TableParagraph"/>
              <w:spacing w:before="62"/>
              <w:ind w:right="8"/>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G2</w:t>
            </w:r>
          </w:p>
        </w:tc>
        <w:tc>
          <w:tcPr>
            <w:tcW w:w="1385" w:type="dxa"/>
          </w:tcPr>
          <w:p>
            <w:pPr>
              <w:pStyle w:val="TableParagraph"/>
              <w:spacing w:before="58"/>
              <w:ind w:left="5" w:right="25"/>
              <w:rPr>
                <w:sz w:val="22"/>
              </w:rPr>
            </w:pPr>
            <w:r>
              <w:rPr>
                <w:spacing w:val="-2"/>
                <w:sz w:val="22"/>
              </w:rPr>
              <w:t>0.235</w:t>
            </w:r>
          </w:p>
        </w:tc>
        <w:tc>
          <w:tcPr>
            <w:tcW w:w="1530" w:type="dxa"/>
          </w:tcPr>
          <w:p>
            <w:pPr>
              <w:pStyle w:val="TableParagraph"/>
              <w:spacing w:before="58"/>
              <w:ind w:left="2" w:right="12"/>
              <w:rPr>
                <w:sz w:val="22"/>
              </w:rPr>
            </w:pPr>
            <w:r>
              <w:rPr>
                <w:spacing w:val="-2"/>
                <w:sz w:val="22"/>
              </w:rPr>
              <w:t>0.941</w:t>
            </w:r>
          </w:p>
        </w:tc>
        <w:tc>
          <w:tcPr>
            <w:tcW w:w="1436" w:type="dxa"/>
          </w:tcPr>
          <w:p>
            <w:pPr>
              <w:pStyle w:val="TableParagraph"/>
              <w:spacing w:before="58"/>
              <w:ind w:right="5"/>
              <w:rPr>
                <w:sz w:val="22"/>
              </w:rPr>
            </w:pPr>
            <w:r>
              <w:rPr>
                <w:spacing w:val="-2"/>
                <w:sz w:val="22"/>
              </w:rPr>
              <w:t>0.913</w:t>
            </w:r>
          </w:p>
        </w:tc>
        <w:tc>
          <w:tcPr>
            <w:tcW w:w="1663" w:type="dxa"/>
          </w:tcPr>
          <w:p>
            <w:pPr>
              <w:pStyle w:val="TableParagraph"/>
              <w:spacing w:before="58"/>
              <w:ind w:left="4"/>
              <w:rPr>
                <w:sz w:val="22"/>
              </w:rPr>
            </w:pPr>
            <w:r>
              <w:rPr>
                <w:spacing w:val="-2"/>
                <w:sz w:val="22"/>
              </w:rPr>
              <w:t>0.990</w:t>
            </w:r>
          </w:p>
        </w:tc>
        <w:tc>
          <w:tcPr>
            <w:tcW w:w="1547" w:type="dxa"/>
          </w:tcPr>
          <w:p>
            <w:pPr>
              <w:pStyle w:val="TableParagraph"/>
              <w:spacing w:before="58"/>
              <w:ind w:left="58" w:right="47"/>
              <w:rPr>
                <w:sz w:val="22"/>
              </w:rPr>
            </w:pPr>
            <w:r>
              <w:rPr>
                <w:spacing w:val="-2"/>
                <w:sz w:val="22"/>
              </w:rPr>
              <w:t>0.956</w:t>
            </w:r>
          </w:p>
        </w:tc>
      </w:tr>
      <w:tr>
        <w:trPr>
          <w:trHeight w:val="403" w:hRule="atLeast"/>
        </w:trPr>
        <w:tc>
          <w:tcPr>
            <w:tcW w:w="1391" w:type="dxa"/>
          </w:tcPr>
          <w:p>
            <w:pPr>
              <w:pStyle w:val="TableParagraph"/>
              <w:spacing w:before="66"/>
              <w:ind w:right="8"/>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385" w:type="dxa"/>
          </w:tcPr>
          <w:p>
            <w:pPr>
              <w:pStyle w:val="TableParagraph"/>
              <w:spacing w:before="63"/>
              <w:ind w:left="5" w:right="25"/>
              <w:rPr>
                <w:sz w:val="22"/>
              </w:rPr>
            </w:pPr>
            <w:r>
              <w:rPr>
                <w:spacing w:val="-2"/>
                <w:sz w:val="22"/>
              </w:rPr>
              <w:t>0.003*</w:t>
            </w:r>
          </w:p>
        </w:tc>
        <w:tc>
          <w:tcPr>
            <w:tcW w:w="1530" w:type="dxa"/>
          </w:tcPr>
          <w:p>
            <w:pPr>
              <w:pStyle w:val="TableParagraph"/>
              <w:spacing w:before="63"/>
              <w:ind w:left="2" w:right="12"/>
              <w:rPr>
                <w:sz w:val="22"/>
              </w:rPr>
            </w:pPr>
            <w:r>
              <w:rPr>
                <w:spacing w:val="-2"/>
                <w:sz w:val="22"/>
              </w:rPr>
              <w:t>0.017*</w:t>
            </w:r>
          </w:p>
        </w:tc>
        <w:tc>
          <w:tcPr>
            <w:tcW w:w="1436" w:type="dxa"/>
          </w:tcPr>
          <w:p>
            <w:pPr>
              <w:pStyle w:val="TableParagraph"/>
              <w:spacing w:before="63"/>
              <w:ind w:right="5"/>
              <w:rPr>
                <w:sz w:val="22"/>
              </w:rPr>
            </w:pPr>
            <w:r>
              <w:rPr>
                <w:spacing w:val="-2"/>
                <w:sz w:val="22"/>
              </w:rPr>
              <w:t>0.707</w:t>
            </w:r>
          </w:p>
        </w:tc>
        <w:tc>
          <w:tcPr>
            <w:tcW w:w="1663" w:type="dxa"/>
          </w:tcPr>
          <w:p>
            <w:pPr>
              <w:pStyle w:val="TableParagraph"/>
              <w:spacing w:before="63"/>
              <w:ind w:left="4"/>
              <w:rPr>
                <w:sz w:val="22"/>
              </w:rPr>
            </w:pPr>
            <w:r>
              <w:rPr>
                <w:spacing w:val="-2"/>
                <w:sz w:val="22"/>
              </w:rPr>
              <w:t>0.096</w:t>
            </w:r>
          </w:p>
        </w:tc>
        <w:tc>
          <w:tcPr>
            <w:tcW w:w="1547" w:type="dxa"/>
          </w:tcPr>
          <w:p>
            <w:pPr>
              <w:pStyle w:val="TableParagraph"/>
              <w:spacing w:before="63"/>
              <w:ind w:left="58" w:right="47"/>
              <w:rPr>
                <w:sz w:val="22"/>
              </w:rPr>
            </w:pPr>
            <w:r>
              <w:rPr>
                <w:spacing w:val="-2"/>
                <w:sz w:val="22"/>
              </w:rPr>
              <w:t>0.801</w:t>
            </w:r>
          </w:p>
        </w:tc>
      </w:tr>
      <w:tr>
        <w:trPr>
          <w:trHeight w:val="472" w:hRule="atLeast"/>
        </w:trPr>
        <w:tc>
          <w:tcPr>
            <w:tcW w:w="1391" w:type="dxa"/>
            <w:tcBorders>
              <w:bottom w:val="single" w:sz="4" w:space="0" w:color="000000"/>
            </w:tcBorders>
          </w:tcPr>
          <w:p>
            <w:pPr>
              <w:pStyle w:val="TableParagraph"/>
              <w:spacing w:before="66"/>
              <w:ind w:right="8"/>
              <w:rPr>
                <w:rFonts w:ascii="Calibri"/>
                <w:b/>
                <w:sz w:val="22"/>
              </w:rPr>
            </w:pPr>
            <w:r>
              <w:rPr>
                <w:rFonts w:ascii="Calibri"/>
                <w:b/>
                <w:sz w:val="22"/>
              </w:rPr>
              <w:t>G2</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385" w:type="dxa"/>
            <w:tcBorders>
              <w:bottom w:val="single" w:sz="4" w:space="0" w:color="000000"/>
            </w:tcBorders>
          </w:tcPr>
          <w:p>
            <w:pPr>
              <w:pStyle w:val="TableParagraph"/>
              <w:spacing w:before="63"/>
              <w:ind w:left="5" w:right="25"/>
              <w:rPr>
                <w:sz w:val="22"/>
              </w:rPr>
            </w:pPr>
            <w:r>
              <w:rPr>
                <w:spacing w:val="-2"/>
                <w:sz w:val="22"/>
              </w:rPr>
              <w:t>0.036*</w:t>
            </w:r>
          </w:p>
        </w:tc>
        <w:tc>
          <w:tcPr>
            <w:tcW w:w="1530" w:type="dxa"/>
            <w:tcBorders>
              <w:bottom w:val="single" w:sz="4" w:space="0" w:color="000000"/>
            </w:tcBorders>
          </w:tcPr>
          <w:p>
            <w:pPr>
              <w:pStyle w:val="TableParagraph"/>
              <w:spacing w:before="63"/>
              <w:ind w:left="2" w:right="12"/>
              <w:rPr>
                <w:sz w:val="22"/>
              </w:rPr>
            </w:pPr>
            <w:r>
              <w:rPr>
                <w:spacing w:val="-2"/>
                <w:sz w:val="22"/>
              </w:rPr>
              <w:t>0.001*</w:t>
            </w:r>
          </w:p>
        </w:tc>
        <w:tc>
          <w:tcPr>
            <w:tcW w:w="1436" w:type="dxa"/>
            <w:tcBorders>
              <w:bottom w:val="single" w:sz="4" w:space="0" w:color="000000"/>
            </w:tcBorders>
          </w:tcPr>
          <w:p>
            <w:pPr>
              <w:pStyle w:val="TableParagraph"/>
              <w:spacing w:before="63"/>
              <w:ind w:right="5"/>
              <w:rPr>
                <w:sz w:val="22"/>
              </w:rPr>
            </w:pPr>
            <w:r>
              <w:rPr>
                <w:spacing w:val="-2"/>
                <w:sz w:val="22"/>
              </w:rPr>
              <w:t>0.904</w:t>
            </w:r>
          </w:p>
        </w:tc>
        <w:tc>
          <w:tcPr>
            <w:tcW w:w="1663" w:type="dxa"/>
            <w:tcBorders>
              <w:bottom w:val="single" w:sz="4" w:space="0" w:color="000000"/>
            </w:tcBorders>
          </w:tcPr>
          <w:p>
            <w:pPr>
              <w:pStyle w:val="TableParagraph"/>
              <w:spacing w:before="63"/>
              <w:ind w:left="4"/>
              <w:rPr>
                <w:sz w:val="22"/>
              </w:rPr>
            </w:pPr>
            <w:r>
              <w:rPr>
                <w:spacing w:val="-2"/>
                <w:sz w:val="22"/>
              </w:rPr>
              <w:t>0.026*</w:t>
            </w:r>
          </w:p>
        </w:tc>
        <w:tc>
          <w:tcPr>
            <w:tcW w:w="1547" w:type="dxa"/>
            <w:tcBorders>
              <w:bottom w:val="single" w:sz="4" w:space="0" w:color="000000"/>
            </w:tcBorders>
          </w:tcPr>
          <w:p>
            <w:pPr>
              <w:pStyle w:val="TableParagraph"/>
              <w:spacing w:before="63"/>
              <w:ind w:left="58" w:right="47"/>
              <w:rPr>
                <w:sz w:val="22"/>
              </w:rPr>
            </w:pPr>
            <w:r>
              <w:rPr>
                <w:spacing w:val="-2"/>
                <w:sz w:val="22"/>
              </w:rPr>
              <w:t>0.954</w:t>
            </w:r>
          </w:p>
        </w:tc>
      </w:tr>
    </w:tbl>
    <w:p>
      <w:pPr>
        <w:spacing w:before="252"/>
        <w:ind w:left="560" w:right="0" w:firstLine="0"/>
        <w:jc w:val="left"/>
        <w:rPr>
          <w:rFonts w:ascii="Arial"/>
          <w:b/>
          <w:sz w:val="20"/>
        </w:rPr>
      </w:pPr>
      <w:r>
        <w:rPr>
          <w:rFonts w:ascii="Arial"/>
          <w:b/>
          <w:spacing w:val="-4"/>
          <w:sz w:val="20"/>
        </w:rPr>
        <w:t>Key:</w:t>
      </w:r>
    </w:p>
    <w:p>
      <w:pPr>
        <w:spacing w:before="39"/>
        <w:ind w:left="560" w:right="0" w:firstLine="0"/>
        <w:jc w:val="both"/>
        <w:rPr>
          <w:rFonts w:ascii="Microsoft Sans Serif" w:hAnsi="Microsoft Sans Serif"/>
          <w:sz w:val="20"/>
        </w:rPr>
      </w:pPr>
      <w:r>
        <w:rPr>
          <w:rFonts w:ascii="Microsoft Sans Serif" w:hAnsi="Microsoft Sans Serif"/>
          <w:sz w:val="20"/>
        </w:rPr>
        <w:t>α-levelset</w:t>
      </w:r>
      <w:r>
        <w:rPr>
          <w:rFonts w:ascii="Microsoft Sans Serif" w:hAnsi="Microsoft Sans Serif"/>
          <w:spacing w:val="-5"/>
          <w:sz w:val="20"/>
        </w:rPr>
        <w:t> </w:t>
      </w:r>
      <w:r>
        <w:rPr>
          <w:rFonts w:ascii="Microsoft Sans Serif" w:hAnsi="Microsoft Sans Serif"/>
          <w:sz w:val="20"/>
        </w:rPr>
        <w:t>at</w:t>
      </w:r>
      <w:r>
        <w:rPr>
          <w:rFonts w:ascii="Microsoft Sans Serif" w:hAnsi="Microsoft Sans Serif"/>
          <w:spacing w:val="-3"/>
          <w:sz w:val="20"/>
        </w:rPr>
        <w:t> </w:t>
      </w:r>
      <w:r>
        <w:rPr>
          <w:rFonts w:ascii="Microsoft Sans Serif" w:hAnsi="Microsoft Sans Serif"/>
          <w:sz w:val="20"/>
        </w:rPr>
        <w:t>0.05.</w:t>
      </w:r>
      <w:r>
        <w:rPr>
          <w:rFonts w:ascii="Microsoft Sans Serif" w:hAnsi="Microsoft Sans Serif"/>
          <w:spacing w:val="-6"/>
          <w:sz w:val="20"/>
        </w:rPr>
        <w:t> </w:t>
      </w:r>
      <w:r>
        <w:rPr>
          <w:rFonts w:ascii="Microsoft Sans Serif" w:hAnsi="Microsoft Sans Serif"/>
          <w:spacing w:val="-2"/>
          <w:sz w:val="20"/>
        </w:rPr>
        <w:t>P&lt;0.05</w:t>
      </w:r>
    </w:p>
    <w:p>
      <w:pPr>
        <w:spacing w:line="280" w:lineRule="auto" w:before="38"/>
        <w:ind w:left="560" w:right="5119" w:firstLine="0"/>
        <w:jc w:val="both"/>
        <w:rPr>
          <w:rFonts w:ascii="Microsoft Sans Serif"/>
          <w:sz w:val="20"/>
        </w:rPr>
      </w:pPr>
      <w:r>
        <w:rPr>
          <w:rFonts w:ascii="Microsoft Sans Serif"/>
          <w:sz w:val="20"/>
        </w:rPr>
        <w:t>G1=1</w:t>
      </w:r>
      <w:r>
        <w:rPr>
          <w:rFonts w:ascii="Microsoft Sans Serif"/>
          <w:sz w:val="20"/>
          <w:vertAlign w:val="superscript"/>
        </w:rPr>
        <w:t>st</w:t>
      </w:r>
      <w:r>
        <w:rPr>
          <w:rFonts w:ascii="Microsoft Sans Serif"/>
          <w:sz w:val="20"/>
          <w:vertAlign w:val="baseline"/>
        </w:rPr>
        <w:t> trimester Malaria uninfected pregnant women G2=2</w:t>
      </w:r>
      <w:r>
        <w:rPr>
          <w:rFonts w:ascii="Microsoft Sans Serif"/>
          <w:sz w:val="20"/>
          <w:vertAlign w:val="superscript"/>
        </w:rPr>
        <w:t>nd</w:t>
      </w:r>
      <w:r>
        <w:rPr>
          <w:rFonts w:ascii="Microsoft Sans Serif"/>
          <w:spacing w:val="-6"/>
          <w:sz w:val="20"/>
          <w:vertAlign w:val="baseline"/>
        </w:rPr>
        <w:t> </w:t>
      </w:r>
      <w:r>
        <w:rPr>
          <w:rFonts w:ascii="Microsoft Sans Serif"/>
          <w:sz w:val="20"/>
          <w:vertAlign w:val="baseline"/>
        </w:rPr>
        <w:t>trimester</w:t>
      </w:r>
      <w:r>
        <w:rPr>
          <w:rFonts w:ascii="Microsoft Sans Serif"/>
          <w:spacing w:val="-8"/>
          <w:sz w:val="20"/>
          <w:vertAlign w:val="baseline"/>
        </w:rPr>
        <w:t> </w:t>
      </w:r>
      <w:r>
        <w:rPr>
          <w:rFonts w:ascii="Microsoft Sans Serif"/>
          <w:sz w:val="20"/>
          <w:vertAlign w:val="baseline"/>
        </w:rPr>
        <w:t>Malaria</w:t>
      </w:r>
      <w:r>
        <w:rPr>
          <w:rFonts w:ascii="Microsoft Sans Serif"/>
          <w:spacing w:val="-7"/>
          <w:sz w:val="20"/>
          <w:vertAlign w:val="baseline"/>
        </w:rPr>
        <w:t> </w:t>
      </w:r>
      <w:r>
        <w:rPr>
          <w:rFonts w:ascii="Microsoft Sans Serif"/>
          <w:sz w:val="20"/>
          <w:vertAlign w:val="baseline"/>
        </w:rPr>
        <w:t>uninfected</w:t>
      </w:r>
      <w:r>
        <w:rPr>
          <w:rFonts w:ascii="Microsoft Sans Serif"/>
          <w:spacing w:val="-7"/>
          <w:sz w:val="20"/>
          <w:vertAlign w:val="baseline"/>
        </w:rPr>
        <w:t> </w:t>
      </w:r>
      <w:r>
        <w:rPr>
          <w:rFonts w:ascii="Microsoft Sans Serif"/>
          <w:sz w:val="20"/>
          <w:vertAlign w:val="baseline"/>
        </w:rPr>
        <w:t>pregnant</w:t>
      </w:r>
      <w:r>
        <w:rPr>
          <w:rFonts w:ascii="Microsoft Sans Serif"/>
          <w:spacing w:val="-5"/>
          <w:sz w:val="20"/>
          <w:vertAlign w:val="baseline"/>
        </w:rPr>
        <w:t> </w:t>
      </w:r>
      <w:r>
        <w:rPr>
          <w:rFonts w:ascii="Microsoft Sans Serif"/>
          <w:sz w:val="20"/>
          <w:vertAlign w:val="baseline"/>
        </w:rPr>
        <w:t>women G3=3</w:t>
      </w:r>
      <w:r>
        <w:rPr>
          <w:rFonts w:ascii="Microsoft Sans Serif"/>
          <w:sz w:val="20"/>
          <w:vertAlign w:val="superscript"/>
        </w:rPr>
        <w:t>rd</w:t>
      </w:r>
      <w:r>
        <w:rPr>
          <w:rFonts w:ascii="Microsoft Sans Serif"/>
          <w:sz w:val="20"/>
          <w:vertAlign w:val="baseline"/>
        </w:rPr>
        <w:t> trimester</w:t>
      </w:r>
      <w:r>
        <w:rPr>
          <w:rFonts w:ascii="Microsoft Sans Serif"/>
          <w:spacing w:val="-1"/>
          <w:sz w:val="20"/>
          <w:vertAlign w:val="baseline"/>
        </w:rPr>
        <w:t> </w:t>
      </w:r>
      <w:r>
        <w:rPr>
          <w:rFonts w:ascii="Microsoft Sans Serif"/>
          <w:sz w:val="20"/>
          <w:vertAlign w:val="baseline"/>
        </w:rPr>
        <w:t>Malaria uninfected</w:t>
      </w:r>
      <w:r>
        <w:rPr>
          <w:rFonts w:ascii="Microsoft Sans Serif"/>
          <w:spacing w:val="-2"/>
          <w:sz w:val="20"/>
          <w:vertAlign w:val="baseline"/>
        </w:rPr>
        <w:t> </w:t>
      </w:r>
      <w:r>
        <w:rPr>
          <w:rFonts w:ascii="Microsoft Sans Serif"/>
          <w:sz w:val="20"/>
          <w:vertAlign w:val="baseline"/>
        </w:rPr>
        <w:t>pregnant women</w:t>
      </w:r>
    </w:p>
    <w:p>
      <w:pPr>
        <w:spacing w:after="0" w:line="280" w:lineRule="auto"/>
        <w:jc w:val="both"/>
        <w:rPr>
          <w:rFonts w:ascii="Microsoft Sans Serif"/>
          <w:sz w:val="20"/>
        </w:rPr>
        <w:sectPr>
          <w:pgSz w:w="11910" w:h="16840"/>
          <w:pgMar w:header="0" w:footer="1067" w:top="1060" w:bottom="1260" w:left="880" w:right="640"/>
        </w:sectPr>
      </w:pPr>
    </w:p>
    <w:p>
      <w:pPr>
        <w:pStyle w:val="BodyText"/>
        <w:spacing w:line="480" w:lineRule="auto" w:before="70"/>
        <w:ind w:left="560" w:right="798"/>
        <w:jc w:val="both"/>
      </w:pPr>
      <w:r>
        <w:rPr/>
        <w:t>Table 4.7 shows comparison ofmean±SD of the influence of gestational age (by</w:t>
      </w:r>
      <w:r>
        <w:rPr>
          <w:spacing w:val="-2"/>
        </w:rPr>
        <w:t> </w:t>
      </w:r>
      <w:r>
        <w:rPr/>
        <w:t>trimester) on the cytokine levelsof malaria infected pregnant women.Group1 represents women in their</w:t>
      </w:r>
      <w:r>
        <w:rPr>
          <w:spacing w:val="40"/>
        </w:rPr>
        <w:t> </w:t>
      </w:r>
      <w:r>
        <w:rPr/>
        <w:t>first trimester while groups 2 and 3 represent women in their second and third trimesters respectively. Values of cytokines were expressed in pg/ml.</w:t>
      </w:r>
    </w:p>
    <w:p>
      <w:pPr>
        <w:pStyle w:val="BodyText"/>
        <w:spacing w:line="480" w:lineRule="auto" w:before="3"/>
        <w:ind w:left="560" w:right="796"/>
        <w:jc w:val="both"/>
      </w:pPr>
      <w:r>
        <w:rPr/>
        <w:t>The mean</w:t>
      </w:r>
      <w:r>
        <w:rPr>
          <w:rFonts w:ascii="Symbol" w:hAnsi="Symbol"/>
        </w:rPr>
        <w:t></w:t>
      </w:r>
      <w:r>
        <w:rPr/>
        <w:t>SD (28.97</w:t>
      </w:r>
      <w:r>
        <w:rPr>
          <w:rFonts w:ascii="Symbol" w:hAnsi="Symbol"/>
        </w:rPr>
        <w:t></w:t>
      </w:r>
      <w:r>
        <w:rPr/>
        <w:t>14.18) of IFNγ for Group 1was higher than 24.10</w:t>
      </w:r>
      <w:r>
        <w:rPr>
          <w:rFonts w:ascii="Symbol" w:hAnsi="Symbol"/>
        </w:rPr>
        <w:t></w:t>
      </w:r>
      <w:r>
        <w:rPr/>
        <w:t>12.36 and 19.47</w:t>
      </w:r>
      <w:r>
        <w:rPr>
          <w:rFonts w:ascii="Symbol" w:hAnsi="Symbol"/>
        </w:rPr>
        <w:t></w:t>
      </w:r>
      <w:r>
        <w:rPr/>
        <w:t>11.67 for groups 2 and 3 respectively but showed no significant difference at P&gt;0.05. Also, the mean</w:t>
      </w:r>
      <w:r>
        <w:rPr>
          <w:rFonts w:ascii="Symbol" w:hAnsi="Symbol"/>
        </w:rPr>
        <w:t></w:t>
      </w:r>
      <w:r>
        <w:rPr/>
        <w:t>SD for group 2 showed no significant difference (P&gt;0.05) when compared to that of group 3</w:t>
      </w:r>
    </w:p>
    <w:p>
      <w:pPr>
        <w:pStyle w:val="BodyText"/>
        <w:spacing w:line="480" w:lineRule="auto"/>
        <w:ind w:left="560" w:right="796"/>
        <w:jc w:val="both"/>
      </w:pPr>
      <w:r>
        <w:rPr/>
        <w:t>For TNF</w:t>
      </w:r>
      <w:r>
        <w:rPr>
          <w:rFonts w:ascii="Symbol" w:hAnsi="Symbol"/>
        </w:rPr>
        <w:t></w:t>
      </w:r>
      <w:r>
        <w:rPr/>
        <w:t>, the mean</w:t>
      </w:r>
      <w:r>
        <w:rPr>
          <w:rFonts w:ascii="Symbol" w:hAnsi="Symbol"/>
        </w:rPr>
        <w:t></w:t>
      </w:r>
      <w:r>
        <w:rPr/>
        <w:t>SD (28.86</w:t>
      </w:r>
      <w:r>
        <w:rPr>
          <w:rFonts w:ascii="Symbol" w:hAnsi="Symbol"/>
        </w:rPr>
        <w:t></w:t>
      </w:r>
      <w:r>
        <w:rPr/>
        <w:t>16.43) for group 1 was higher than 19.53</w:t>
      </w:r>
      <w:r>
        <w:rPr>
          <w:rFonts w:ascii="Symbol" w:hAnsi="Symbol"/>
        </w:rPr>
        <w:t></w:t>
      </w:r>
      <w:r>
        <w:rPr/>
        <w:t>11.58 and 20.10</w:t>
      </w:r>
      <w:r>
        <w:rPr>
          <w:rFonts w:ascii="Symbol" w:hAnsi="Symbol"/>
        </w:rPr>
        <w:t></w:t>
      </w:r>
      <w:r>
        <w:rPr/>
        <w:t>11.18 for groups 2 and 3 women respectively but showed no significant difference on comparison (P&gt;0.05).</w:t>
      </w:r>
      <w:r>
        <w:rPr>
          <w:spacing w:val="40"/>
        </w:rPr>
        <w:t> </w:t>
      </w:r>
      <w:r>
        <w:rPr/>
        <w:t>Again, the mean</w:t>
      </w:r>
      <w:r>
        <w:rPr>
          <w:rFonts w:ascii="Symbol" w:hAnsi="Symbol"/>
        </w:rPr>
        <w:t></w:t>
      </w:r>
      <w:r>
        <w:rPr/>
        <w:t>SD for group 2 showed no significant difference (P&gt;0.05) when comparedwith that of group 3.</w:t>
      </w:r>
    </w:p>
    <w:p>
      <w:pPr>
        <w:pStyle w:val="BodyText"/>
        <w:spacing w:line="480" w:lineRule="auto"/>
        <w:ind w:left="560" w:right="794"/>
        <w:jc w:val="both"/>
      </w:pPr>
      <w:r>
        <w:rPr/>
        <w:t>As regards IL-4, the mean</w:t>
      </w:r>
      <w:r>
        <w:rPr>
          <w:rFonts w:ascii="Symbol" w:hAnsi="Symbol"/>
        </w:rPr>
        <w:t></w:t>
      </w:r>
      <w:r>
        <w:rPr/>
        <w:t>SD (10.11</w:t>
      </w:r>
      <w:r>
        <w:rPr>
          <w:rFonts w:ascii="Symbol" w:hAnsi="Symbol"/>
        </w:rPr>
        <w:t></w:t>
      </w:r>
      <w:r>
        <w:rPr/>
        <w:t>8.09) for group 1 women was higher but showed no significant difference (P&gt;0.05) when compared with 9.25</w:t>
      </w:r>
      <w:r>
        <w:rPr>
          <w:rFonts w:ascii="Symbol" w:hAnsi="Symbol"/>
        </w:rPr>
        <w:t></w:t>
      </w:r>
      <w:r>
        <w:rPr/>
        <w:t>7.68 and 9.96</w:t>
      </w:r>
      <w:r>
        <w:rPr>
          <w:rFonts w:ascii="Symbol" w:hAnsi="Symbol"/>
        </w:rPr>
        <w:t></w:t>
      </w:r>
      <w:r>
        <w:rPr/>
        <w:t>5.95 for groups 2 and 3 women respectively.Similarly, no significant difference (P&gt;0.05) existed between groups 2 and 3 women.</w:t>
      </w:r>
    </w:p>
    <w:p>
      <w:pPr>
        <w:pStyle w:val="BodyText"/>
        <w:spacing w:line="480" w:lineRule="auto"/>
        <w:ind w:left="560" w:right="820"/>
      </w:pPr>
      <w:r>
        <w:rPr/>
        <w:t>For</w:t>
      </w:r>
      <w:r>
        <w:rPr>
          <w:spacing w:val="77"/>
        </w:rPr>
        <w:t> </w:t>
      </w:r>
      <w:r>
        <w:rPr/>
        <w:t>IL-6,</w:t>
      </w:r>
      <w:r>
        <w:rPr>
          <w:spacing w:val="75"/>
        </w:rPr>
        <w:t> </w:t>
      </w:r>
      <w:r>
        <w:rPr/>
        <w:t>the</w:t>
      </w:r>
      <w:r>
        <w:rPr>
          <w:spacing w:val="75"/>
        </w:rPr>
        <w:t> </w:t>
      </w:r>
      <w:r>
        <w:rPr/>
        <w:t>mean</w:t>
      </w:r>
      <w:r>
        <w:rPr>
          <w:rFonts w:ascii="Symbol" w:hAnsi="Symbol"/>
        </w:rPr>
        <w:t></w:t>
      </w:r>
      <w:r>
        <w:rPr/>
        <w:t>SD(43.43</w:t>
      </w:r>
      <w:r>
        <w:rPr>
          <w:spacing w:val="75"/>
        </w:rPr>
        <w:t> </w:t>
      </w:r>
      <w:r>
        <w:rPr/>
        <w:t>±</w:t>
      </w:r>
      <w:r>
        <w:rPr>
          <w:spacing w:val="76"/>
        </w:rPr>
        <w:t> </w:t>
      </w:r>
      <w:r>
        <w:rPr/>
        <w:t>35.55)for</w:t>
      </w:r>
      <w:r>
        <w:rPr>
          <w:spacing w:val="74"/>
        </w:rPr>
        <w:t> </w:t>
      </w:r>
      <w:r>
        <w:rPr/>
        <w:t>group</w:t>
      </w:r>
      <w:r>
        <w:rPr>
          <w:spacing w:val="75"/>
        </w:rPr>
        <w:t> </w:t>
      </w:r>
      <w:r>
        <w:rPr/>
        <w:t>1</w:t>
      </w:r>
      <w:r>
        <w:rPr>
          <w:spacing w:val="77"/>
        </w:rPr>
        <w:t> </w:t>
      </w:r>
      <w:r>
        <w:rPr/>
        <w:t>was</w:t>
      </w:r>
      <w:r>
        <w:rPr>
          <w:spacing w:val="76"/>
        </w:rPr>
        <w:t> </w:t>
      </w:r>
      <w:r>
        <w:rPr/>
        <w:t>higher</w:t>
      </w:r>
      <w:r>
        <w:rPr>
          <w:spacing w:val="74"/>
        </w:rPr>
        <w:t> </w:t>
      </w:r>
      <w:r>
        <w:rPr/>
        <w:t>than</w:t>
      </w:r>
      <w:r>
        <w:rPr>
          <w:spacing w:val="77"/>
        </w:rPr>
        <w:t> </w:t>
      </w:r>
      <w:r>
        <w:rPr/>
        <w:t>23.64</w:t>
      </w:r>
      <w:r>
        <w:rPr>
          <w:rFonts w:ascii="Symbol" w:hAnsi="Symbol"/>
        </w:rPr>
        <w:t></w:t>
      </w:r>
      <w:r>
        <w:rPr/>
        <w:t>20.35</w:t>
      </w:r>
      <w:r>
        <w:rPr>
          <w:spacing w:val="75"/>
        </w:rPr>
        <w:t> </w:t>
      </w:r>
      <w:r>
        <w:rPr/>
        <w:t>and 37.50</w:t>
      </w:r>
      <w:r>
        <w:rPr>
          <w:rFonts w:ascii="Symbol" w:hAnsi="Symbol"/>
        </w:rPr>
        <w:t></w:t>
      </w:r>
      <w:r>
        <w:rPr/>
        <w:t>29.82</w:t>
      </w:r>
      <w:r>
        <w:rPr>
          <w:spacing w:val="-3"/>
        </w:rPr>
        <w:t> </w:t>
      </w:r>
      <w:r>
        <w:rPr/>
        <w:t>for</w:t>
      </w:r>
      <w:r>
        <w:rPr>
          <w:spacing w:val="-4"/>
        </w:rPr>
        <w:t> </w:t>
      </w:r>
      <w:r>
        <w:rPr/>
        <w:t>groups</w:t>
      </w:r>
      <w:r>
        <w:rPr>
          <w:spacing w:val="-3"/>
        </w:rPr>
        <w:t> </w:t>
      </w:r>
      <w:r>
        <w:rPr/>
        <w:t>2</w:t>
      </w:r>
      <w:r>
        <w:rPr>
          <w:spacing w:val="-1"/>
        </w:rPr>
        <w:t> </w:t>
      </w:r>
      <w:r>
        <w:rPr/>
        <w:t>and</w:t>
      </w:r>
      <w:r>
        <w:rPr>
          <w:spacing w:val="-3"/>
        </w:rPr>
        <w:t> </w:t>
      </w:r>
      <w:r>
        <w:rPr/>
        <w:t>3</w:t>
      </w:r>
      <w:r>
        <w:rPr>
          <w:spacing w:val="-3"/>
        </w:rPr>
        <w:t> </w:t>
      </w:r>
      <w:r>
        <w:rPr/>
        <w:t>respectively</w:t>
      </w:r>
      <w:r>
        <w:rPr>
          <w:spacing w:val="-7"/>
        </w:rPr>
        <w:t> </w:t>
      </w:r>
      <w:r>
        <w:rPr/>
        <w:t>but</w:t>
      </w:r>
      <w:r>
        <w:rPr>
          <w:spacing w:val="-3"/>
        </w:rPr>
        <w:t> </w:t>
      </w:r>
      <w:r>
        <w:rPr/>
        <w:t>showed</w:t>
      </w:r>
      <w:r>
        <w:rPr>
          <w:spacing w:val="-3"/>
        </w:rPr>
        <w:t> </w:t>
      </w:r>
      <w:r>
        <w:rPr/>
        <w:t>no</w:t>
      </w:r>
      <w:r>
        <w:rPr>
          <w:spacing w:val="-3"/>
        </w:rPr>
        <w:t> </w:t>
      </w:r>
      <w:r>
        <w:rPr/>
        <w:t>significant</w:t>
      </w:r>
      <w:r>
        <w:rPr>
          <w:spacing w:val="-3"/>
        </w:rPr>
        <w:t> </w:t>
      </w:r>
      <w:r>
        <w:rPr/>
        <w:t>difference (P&gt;0.05)</w:t>
      </w:r>
      <w:r>
        <w:rPr>
          <w:spacing w:val="-4"/>
        </w:rPr>
        <w:t> </w:t>
      </w:r>
      <w:r>
        <w:rPr/>
        <w:t>on comparison.</w:t>
      </w:r>
      <w:r>
        <w:rPr>
          <w:spacing w:val="30"/>
        </w:rPr>
        <w:t> </w:t>
      </w:r>
      <w:r>
        <w:rPr/>
        <w:t>On</w:t>
      </w:r>
      <w:r>
        <w:rPr>
          <w:spacing w:val="29"/>
        </w:rPr>
        <w:t> </w:t>
      </w:r>
      <w:r>
        <w:rPr/>
        <w:t>the</w:t>
      </w:r>
      <w:r>
        <w:rPr>
          <w:spacing w:val="32"/>
        </w:rPr>
        <w:t> </w:t>
      </w:r>
      <w:r>
        <w:rPr/>
        <w:t>other</w:t>
      </w:r>
      <w:r>
        <w:rPr>
          <w:spacing w:val="29"/>
        </w:rPr>
        <w:t> </w:t>
      </w:r>
      <w:r>
        <w:rPr/>
        <w:t>hand,the</w:t>
      </w:r>
      <w:r>
        <w:rPr>
          <w:spacing w:val="32"/>
        </w:rPr>
        <w:t> </w:t>
      </w:r>
      <w:r>
        <w:rPr/>
        <w:t>mean</w:t>
      </w:r>
      <w:r>
        <w:rPr>
          <w:rFonts w:ascii="Symbol" w:hAnsi="Symbol"/>
        </w:rPr>
        <w:t></w:t>
      </w:r>
      <w:r>
        <w:rPr/>
        <w:t>SD(23.64</w:t>
      </w:r>
      <w:r>
        <w:rPr>
          <w:rFonts w:ascii="Symbol" w:hAnsi="Symbol"/>
        </w:rPr>
        <w:t></w:t>
      </w:r>
      <w:r>
        <w:rPr/>
        <w:t>20.35)</w:t>
      </w:r>
      <w:r>
        <w:rPr>
          <w:spacing w:val="29"/>
        </w:rPr>
        <w:t> </w:t>
      </w:r>
      <w:r>
        <w:rPr/>
        <w:t>for</w:t>
      </w:r>
      <w:r>
        <w:rPr>
          <w:spacing w:val="29"/>
        </w:rPr>
        <w:t> </w:t>
      </w:r>
      <w:r>
        <w:rPr/>
        <w:t>group</w:t>
      </w:r>
      <w:r>
        <w:rPr>
          <w:spacing w:val="33"/>
        </w:rPr>
        <w:t> </w:t>
      </w:r>
      <w:r>
        <w:rPr/>
        <w:t>2</w:t>
      </w:r>
      <w:r>
        <w:rPr>
          <w:spacing w:val="32"/>
        </w:rPr>
        <w:t> </w:t>
      </w:r>
      <w:r>
        <w:rPr/>
        <w:t>women</w:t>
      </w:r>
      <w:r>
        <w:rPr>
          <w:spacing w:val="30"/>
        </w:rPr>
        <w:t> </w:t>
      </w:r>
      <w:r>
        <w:rPr/>
        <w:t>was</w:t>
      </w:r>
      <w:r>
        <w:rPr>
          <w:spacing w:val="30"/>
        </w:rPr>
        <w:t> </w:t>
      </w:r>
      <w:r>
        <w:rPr/>
        <w:t>lower and showed significant difference (P&lt;0.05) compared with 37.50</w:t>
      </w:r>
      <w:r>
        <w:rPr>
          <w:rFonts w:ascii="Symbol" w:hAnsi="Symbol"/>
        </w:rPr>
        <w:t></w:t>
      </w:r>
      <w:r>
        <w:rPr/>
        <w:t>29.82 for group 3 subjects. The</w:t>
      </w:r>
      <w:r>
        <w:rPr>
          <w:spacing w:val="75"/>
        </w:rPr>
        <w:t> </w:t>
      </w:r>
      <w:r>
        <w:rPr/>
        <w:t>mean</w:t>
      </w:r>
      <w:r>
        <w:rPr>
          <w:rFonts w:ascii="Symbol" w:hAnsi="Symbol"/>
        </w:rPr>
        <w:t></w:t>
      </w:r>
      <w:r>
        <w:rPr/>
        <w:t>SD</w:t>
      </w:r>
      <w:r>
        <w:rPr>
          <w:spacing w:val="75"/>
        </w:rPr>
        <w:t> </w:t>
      </w:r>
      <w:r>
        <w:rPr/>
        <w:t>(26.81</w:t>
      </w:r>
      <w:r>
        <w:rPr>
          <w:rFonts w:ascii="Symbol" w:hAnsi="Symbol"/>
        </w:rPr>
        <w:t></w:t>
      </w:r>
      <w:r>
        <w:rPr/>
        <w:t>20.15)of</w:t>
      </w:r>
      <w:r>
        <w:rPr>
          <w:spacing w:val="77"/>
        </w:rPr>
        <w:t> </w:t>
      </w:r>
      <w:r>
        <w:rPr/>
        <w:t>IL-10</w:t>
      </w:r>
      <w:r>
        <w:rPr>
          <w:spacing w:val="78"/>
        </w:rPr>
        <w:t> </w:t>
      </w:r>
      <w:r>
        <w:rPr/>
        <w:t>for</w:t>
      </w:r>
      <w:r>
        <w:rPr>
          <w:spacing w:val="74"/>
        </w:rPr>
        <w:t> </w:t>
      </w:r>
      <w:r>
        <w:rPr/>
        <w:t>group</w:t>
      </w:r>
      <w:r>
        <w:rPr>
          <w:spacing w:val="77"/>
        </w:rPr>
        <w:t> </w:t>
      </w:r>
      <w:r>
        <w:rPr/>
        <w:t>1</w:t>
      </w:r>
      <w:r>
        <w:rPr>
          <w:spacing w:val="76"/>
        </w:rPr>
        <w:t> </w:t>
      </w:r>
      <w:r>
        <w:rPr/>
        <w:t>women</w:t>
      </w:r>
      <w:r>
        <w:rPr>
          <w:spacing w:val="76"/>
        </w:rPr>
        <w:t> </w:t>
      </w:r>
      <w:r>
        <w:rPr/>
        <w:t>was</w:t>
      </w:r>
      <w:r>
        <w:rPr>
          <w:spacing w:val="76"/>
        </w:rPr>
        <w:t> </w:t>
      </w:r>
      <w:r>
        <w:rPr/>
        <w:t>lower</w:t>
      </w:r>
      <w:r>
        <w:rPr>
          <w:spacing w:val="75"/>
        </w:rPr>
        <w:t> </w:t>
      </w:r>
      <w:r>
        <w:rPr/>
        <w:t>and</w:t>
      </w:r>
      <w:r>
        <w:rPr>
          <w:spacing w:val="75"/>
        </w:rPr>
        <w:t> </w:t>
      </w:r>
      <w:r>
        <w:rPr/>
        <w:t>showed</w:t>
      </w:r>
      <w:r>
        <w:rPr>
          <w:spacing w:val="75"/>
        </w:rPr>
        <w:t> </w:t>
      </w:r>
      <w:r>
        <w:rPr/>
        <w:t>no significant difference (P&gt;0.05) compared to 36.49</w:t>
      </w:r>
      <w:r>
        <w:rPr>
          <w:rFonts w:ascii="Symbol" w:hAnsi="Symbol"/>
        </w:rPr>
        <w:t></w:t>
      </w:r>
      <w:r>
        <w:rPr/>
        <w:t>34.78 and 36.76 </w:t>
      </w:r>
      <w:r>
        <w:rPr>
          <w:rFonts w:ascii="Symbol" w:hAnsi="Symbol"/>
        </w:rPr>
        <w:t></w:t>
      </w:r>
      <w:r>
        <w:rPr/>
        <w:t>23.50 for groups 2 and</w:t>
      </w:r>
      <w:r>
        <w:rPr>
          <w:spacing w:val="40"/>
        </w:rPr>
        <w:t> </w:t>
      </w:r>
      <w:r>
        <w:rPr/>
        <w:t>3 subjects respectively. Meanwhile, the values of mean</w:t>
      </w:r>
      <w:r>
        <w:rPr>
          <w:rFonts w:ascii="Symbol" w:hAnsi="Symbol"/>
        </w:rPr>
        <w:t></w:t>
      </w:r>
      <w:r>
        <w:rPr/>
        <w:t>SD for group 2 women showed no</w:t>
      </w:r>
      <w:r>
        <w:rPr>
          <w:spacing w:val="80"/>
        </w:rPr>
        <w:t> </w:t>
      </w:r>
      <w:r>
        <w:rPr/>
        <w:t>significant difference (P&gt;0.05) with their group 3 counterparts.</w:t>
      </w:r>
    </w:p>
    <w:p>
      <w:pPr>
        <w:spacing w:after="0" w:line="480" w:lineRule="auto"/>
        <w:sectPr>
          <w:pgSz w:w="11910" w:h="16840"/>
          <w:pgMar w:header="0" w:footer="1067" w:top="1060" w:bottom="1260" w:left="880" w:right="640"/>
        </w:sectPr>
      </w:pPr>
    </w:p>
    <w:p>
      <w:pPr>
        <w:spacing w:line="480" w:lineRule="auto" w:before="77"/>
        <w:ind w:left="2000" w:right="254" w:hanging="1440"/>
        <w:jc w:val="left"/>
        <w:rPr>
          <w:b/>
          <w:sz w:val="22"/>
        </w:rPr>
      </w:pPr>
      <w:r>
        <w:rPr>
          <w:b/>
          <w:sz w:val="22"/>
        </w:rPr>
        <w:t>TABLE</w:t>
      </w:r>
      <w:r>
        <w:rPr>
          <w:b/>
          <w:spacing w:val="-3"/>
          <w:sz w:val="22"/>
        </w:rPr>
        <w:t> </w:t>
      </w:r>
      <w:r>
        <w:rPr>
          <w:b/>
          <w:sz w:val="22"/>
        </w:rPr>
        <w:t>4.7:</w:t>
      </w:r>
      <w:r>
        <w:rPr>
          <w:b/>
          <w:spacing w:val="40"/>
          <w:sz w:val="22"/>
        </w:rPr>
        <w:t> </w:t>
      </w:r>
      <w:r>
        <w:rPr>
          <w:b/>
          <w:sz w:val="22"/>
        </w:rPr>
        <w:t>COMPARISON</w:t>
      </w:r>
      <w:r>
        <w:rPr>
          <w:b/>
          <w:spacing w:val="-2"/>
          <w:sz w:val="22"/>
        </w:rPr>
        <w:t> </w:t>
      </w:r>
      <w:r>
        <w:rPr>
          <w:b/>
          <w:sz w:val="22"/>
        </w:rPr>
        <w:t>OF</w:t>
      </w:r>
      <w:r>
        <w:rPr>
          <w:b/>
          <w:spacing w:val="-5"/>
          <w:sz w:val="22"/>
        </w:rPr>
        <w:t> </w:t>
      </w:r>
      <w:r>
        <w:rPr>
          <w:b/>
          <w:sz w:val="22"/>
        </w:rPr>
        <w:t>(MEAN</w:t>
      </w:r>
      <w:r>
        <w:rPr>
          <w:b/>
          <w:spacing w:val="-3"/>
          <w:sz w:val="22"/>
        </w:rPr>
        <w:t> </w:t>
      </w:r>
      <w:r>
        <w:rPr>
          <w:b/>
          <w:sz w:val="22"/>
        </w:rPr>
        <w:t>±</w:t>
      </w:r>
      <w:r>
        <w:rPr>
          <w:b/>
          <w:spacing w:val="-4"/>
          <w:sz w:val="22"/>
        </w:rPr>
        <w:t> </w:t>
      </w:r>
      <w:r>
        <w:rPr>
          <w:b/>
          <w:sz w:val="22"/>
        </w:rPr>
        <w:t>SD)</w:t>
      </w:r>
      <w:r>
        <w:rPr>
          <w:b/>
          <w:spacing w:val="-4"/>
          <w:sz w:val="22"/>
        </w:rPr>
        <w:t> </w:t>
      </w:r>
      <w:r>
        <w:rPr>
          <w:b/>
          <w:sz w:val="22"/>
        </w:rPr>
        <w:t>OF</w:t>
      </w:r>
      <w:r>
        <w:rPr>
          <w:b/>
          <w:spacing w:val="-3"/>
          <w:sz w:val="22"/>
        </w:rPr>
        <w:t> </w:t>
      </w:r>
      <w:r>
        <w:rPr>
          <w:b/>
          <w:sz w:val="22"/>
        </w:rPr>
        <w:t>THE</w:t>
      </w:r>
      <w:r>
        <w:rPr>
          <w:b/>
          <w:spacing w:val="-3"/>
          <w:sz w:val="22"/>
        </w:rPr>
        <w:t> </w:t>
      </w:r>
      <w:r>
        <w:rPr>
          <w:b/>
          <w:sz w:val="22"/>
        </w:rPr>
        <w:t>INFLUENCE</w:t>
      </w:r>
      <w:r>
        <w:rPr>
          <w:b/>
          <w:spacing w:val="-2"/>
          <w:sz w:val="22"/>
        </w:rPr>
        <w:t> </w:t>
      </w:r>
      <w:r>
        <w:rPr>
          <w:b/>
          <w:sz w:val="22"/>
        </w:rPr>
        <w:t>OF</w:t>
      </w:r>
      <w:r>
        <w:rPr>
          <w:b/>
          <w:spacing w:val="-2"/>
          <w:sz w:val="22"/>
        </w:rPr>
        <w:t> </w:t>
      </w:r>
      <w:r>
        <w:rPr>
          <w:b/>
          <w:sz w:val="22"/>
        </w:rPr>
        <w:t>GESTATIONAL</w:t>
      </w:r>
      <w:r>
        <w:rPr>
          <w:b/>
          <w:spacing w:val="-3"/>
          <w:sz w:val="22"/>
        </w:rPr>
        <w:t> </w:t>
      </w:r>
      <w:r>
        <w:rPr>
          <w:b/>
          <w:sz w:val="22"/>
        </w:rPr>
        <w:t>AGE (BY</w:t>
      </w:r>
      <w:r>
        <w:rPr>
          <w:b/>
          <w:spacing w:val="80"/>
          <w:sz w:val="22"/>
        </w:rPr>
        <w:t> </w:t>
      </w:r>
      <w:r>
        <w:rPr>
          <w:b/>
          <w:sz w:val="22"/>
        </w:rPr>
        <w:t>TRIMESTER) ON THE CYTOKINE LEVELS OF MALARIA INFECTED PREGNANT WOMEN.</w:t>
      </w:r>
    </w:p>
    <w:p>
      <w:pPr>
        <w:pStyle w:val="BodyText"/>
        <w:spacing w:before="65" w:after="1"/>
        <w:rPr>
          <w:b/>
          <w:sz w:val="20"/>
        </w:rPr>
      </w:pPr>
    </w:p>
    <w:tbl>
      <w:tblPr>
        <w:tblW w:w="0" w:type="auto"/>
        <w:jc w:val="left"/>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5"/>
        <w:gridCol w:w="1668"/>
        <w:gridCol w:w="1744"/>
        <w:gridCol w:w="1492"/>
        <w:gridCol w:w="1558"/>
        <w:gridCol w:w="1547"/>
      </w:tblGrid>
      <w:tr>
        <w:trPr>
          <w:trHeight w:val="709" w:hRule="atLeast"/>
        </w:trPr>
        <w:tc>
          <w:tcPr>
            <w:tcW w:w="1495" w:type="dxa"/>
            <w:tcBorders>
              <w:top w:val="single" w:sz="8" w:space="0" w:color="000000"/>
              <w:bottom w:val="single" w:sz="8" w:space="0" w:color="000000"/>
            </w:tcBorders>
          </w:tcPr>
          <w:p>
            <w:pPr>
              <w:pStyle w:val="TableParagraph"/>
              <w:spacing w:line="265" w:lineRule="exact"/>
              <w:ind w:left="15" w:right="2"/>
              <w:rPr>
                <w:rFonts w:ascii="Calibri"/>
                <w:b/>
                <w:sz w:val="22"/>
              </w:rPr>
            </w:pPr>
            <w:r>
              <w:rPr>
                <w:rFonts w:ascii="Calibri"/>
                <w:b/>
                <w:sz w:val="22"/>
              </w:rPr>
              <w:t>AGE</w:t>
            </w:r>
            <w:r>
              <w:rPr>
                <w:rFonts w:ascii="Calibri"/>
                <w:b/>
                <w:spacing w:val="-2"/>
                <w:sz w:val="22"/>
              </w:rPr>
              <w:t> GROUPS</w:t>
            </w:r>
          </w:p>
        </w:tc>
        <w:tc>
          <w:tcPr>
            <w:tcW w:w="1668" w:type="dxa"/>
            <w:tcBorders>
              <w:top w:val="single" w:sz="8" w:space="0" w:color="000000"/>
              <w:bottom w:val="single" w:sz="8" w:space="0" w:color="000000"/>
            </w:tcBorders>
          </w:tcPr>
          <w:p>
            <w:pPr>
              <w:pStyle w:val="TableParagraph"/>
              <w:spacing w:line="265" w:lineRule="exact"/>
              <w:ind w:left="2" w:right="66"/>
              <w:rPr>
                <w:rFonts w:ascii="Calibri" w:hAnsi="Calibri"/>
                <w:b/>
                <w:sz w:val="22"/>
              </w:rPr>
            </w:pPr>
            <w:r>
              <w:rPr>
                <w:rFonts w:ascii="Calibri" w:hAnsi="Calibri"/>
                <w:b/>
                <w:spacing w:val="-2"/>
                <w:sz w:val="22"/>
              </w:rPr>
              <w:t>IFN-</w:t>
            </w:r>
            <w:r>
              <w:rPr>
                <w:rFonts w:ascii="Calibri" w:hAnsi="Calibri"/>
                <w:b/>
                <w:spacing w:val="-10"/>
                <w:sz w:val="22"/>
              </w:rPr>
              <w:t>γ</w:t>
            </w:r>
          </w:p>
          <w:p>
            <w:pPr>
              <w:pStyle w:val="TableParagraph"/>
              <w:ind w:right="66"/>
              <w:rPr>
                <w:rFonts w:ascii="Calibri"/>
                <w:b/>
                <w:sz w:val="22"/>
              </w:rPr>
            </w:pPr>
            <w:r>
              <w:rPr>
                <w:rFonts w:ascii="Calibri"/>
                <w:b/>
                <w:spacing w:val="-2"/>
                <w:sz w:val="22"/>
              </w:rPr>
              <w:t>(pg/ml)</w:t>
            </w:r>
          </w:p>
        </w:tc>
        <w:tc>
          <w:tcPr>
            <w:tcW w:w="1744" w:type="dxa"/>
            <w:tcBorders>
              <w:top w:val="single" w:sz="8" w:space="0" w:color="000000"/>
              <w:bottom w:val="single" w:sz="8" w:space="0" w:color="000000"/>
            </w:tcBorders>
          </w:tcPr>
          <w:p>
            <w:pPr>
              <w:pStyle w:val="TableParagraph"/>
              <w:spacing w:line="265" w:lineRule="exact"/>
              <w:ind w:left="2" w:right="16"/>
              <w:rPr>
                <w:rFonts w:ascii="Calibri" w:hAnsi="Calibri"/>
                <w:b/>
                <w:sz w:val="22"/>
              </w:rPr>
            </w:pPr>
            <w:r>
              <w:rPr>
                <w:rFonts w:ascii="Calibri" w:hAnsi="Calibri"/>
                <w:b/>
                <w:spacing w:val="-2"/>
                <w:sz w:val="22"/>
              </w:rPr>
              <w:t>TNF-</w:t>
            </w:r>
            <w:r>
              <w:rPr>
                <w:rFonts w:ascii="Calibri" w:hAnsi="Calibri"/>
                <w:b/>
                <w:spacing w:val="-10"/>
                <w:sz w:val="22"/>
              </w:rPr>
              <w:t>α</w:t>
            </w:r>
          </w:p>
          <w:p>
            <w:pPr>
              <w:pStyle w:val="TableParagraph"/>
              <w:ind w:right="16"/>
              <w:rPr>
                <w:rFonts w:ascii="Calibri"/>
                <w:b/>
                <w:sz w:val="22"/>
              </w:rPr>
            </w:pPr>
            <w:r>
              <w:rPr>
                <w:rFonts w:ascii="Calibri"/>
                <w:b/>
                <w:spacing w:val="-2"/>
                <w:sz w:val="22"/>
              </w:rPr>
              <w:t>(pg/ml)</w:t>
            </w:r>
          </w:p>
        </w:tc>
        <w:tc>
          <w:tcPr>
            <w:tcW w:w="1492" w:type="dxa"/>
            <w:tcBorders>
              <w:top w:val="single" w:sz="8" w:space="0" w:color="000000"/>
              <w:bottom w:val="single" w:sz="8" w:space="0" w:color="000000"/>
            </w:tcBorders>
          </w:tcPr>
          <w:p>
            <w:pPr>
              <w:pStyle w:val="TableParagraph"/>
              <w:spacing w:line="265" w:lineRule="exact"/>
              <w:ind w:left="40" w:right="1"/>
              <w:rPr>
                <w:rFonts w:ascii="Calibri"/>
                <w:b/>
                <w:sz w:val="22"/>
              </w:rPr>
            </w:pPr>
            <w:r>
              <w:rPr>
                <w:rFonts w:ascii="Calibri"/>
                <w:b/>
                <w:sz w:val="22"/>
              </w:rPr>
              <w:t>IL-</w:t>
            </w:r>
            <w:r>
              <w:rPr>
                <w:rFonts w:ascii="Calibri"/>
                <w:b/>
                <w:spacing w:val="-10"/>
                <w:sz w:val="22"/>
              </w:rPr>
              <w:t>4</w:t>
            </w:r>
          </w:p>
          <w:p>
            <w:pPr>
              <w:pStyle w:val="TableParagraph"/>
              <w:ind w:left="40" w:right="1"/>
              <w:rPr>
                <w:rFonts w:ascii="Calibri"/>
                <w:b/>
                <w:sz w:val="22"/>
              </w:rPr>
            </w:pPr>
            <w:r>
              <w:rPr>
                <w:rFonts w:ascii="Calibri"/>
                <w:b/>
                <w:spacing w:val="-2"/>
                <w:sz w:val="22"/>
              </w:rPr>
              <w:t>(pg/ml)</w:t>
            </w:r>
          </w:p>
        </w:tc>
        <w:tc>
          <w:tcPr>
            <w:tcW w:w="1558" w:type="dxa"/>
            <w:tcBorders>
              <w:top w:val="single" w:sz="8" w:space="0" w:color="000000"/>
              <w:bottom w:val="single" w:sz="8" w:space="0" w:color="000000"/>
            </w:tcBorders>
          </w:tcPr>
          <w:p>
            <w:pPr>
              <w:pStyle w:val="TableParagraph"/>
              <w:spacing w:line="265" w:lineRule="exact"/>
              <w:ind w:right="3"/>
              <w:rPr>
                <w:rFonts w:ascii="Calibri"/>
                <w:b/>
                <w:sz w:val="22"/>
              </w:rPr>
            </w:pPr>
            <w:r>
              <w:rPr>
                <w:rFonts w:ascii="Calibri"/>
                <w:b/>
                <w:sz w:val="22"/>
              </w:rPr>
              <w:t>IL-</w:t>
            </w:r>
            <w:r>
              <w:rPr>
                <w:rFonts w:ascii="Calibri"/>
                <w:b/>
                <w:spacing w:val="-10"/>
                <w:sz w:val="22"/>
              </w:rPr>
              <w:t>6</w:t>
            </w:r>
          </w:p>
          <w:p>
            <w:pPr>
              <w:pStyle w:val="TableParagraph"/>
              <w:ind w:right="3"/>
              <w:rPr>
                <w:rFonts w:ascii="Calibri"/>
                <w:b/>
                <w:sz w:val="22"/>
              </w:rPr>
            </w:pPr>
            <w:r>
              <w:rPr>
                <w:rFonts w:ascii="Calibri"/>
                <w:b/>
                <w:spacing w:val="-2"/>
                <w:sz w:val="22"/>
              </w:rPr>
              <w:t>(pg/ml)</w:t>
            </w:r>
          </w:p>
        </w:tc>
        <w:tc>
          <w:tcPr>
            <w:tcW w:w="1547" w:type="dxa"/>
            <w:tcBorders>
              <w:top w:val="single" w:sz="8" w:space="0" w:color="000000"/>
              <w:bottom w:val="single" w:sz="8" w:space="0" w:color="000000"/>
            </w:tcBorders>
          </w:tcPr>
          <w:p>
            <w:pPr>
              <w:pStyle w:val="TableParagraph"/>
              <w:spacing w:line="265" w:lineRule="exact"/>
              <w:ind w:left="58" w:right="49"/>
              <w:rPr>
                <w:rFonts w:ascii="Calibri"/>
                <w:b/>
                <w:sz w:val="22"/>
              </w:rPr>
            </w:pPr>
            <w:r>
              <w:rPr>
                <w:rFonts w:ascii="Calibri"/>
                <w:b/>
                <w:sz w:val="22"/>
              </w:rPr>
              <w:t>IL-</w:t>
            </w:r>
            <w:r>
              <w:rPr>
                <w:rFonts w:ascii="Calibri"/>
                <w:b/>
                <w:spacing w:val="-5"/>
                <w:sz w:val="22"/>
              </w:rPr>
              <w:t>10</w:t>
            </w:r>
          </w:p>
          <w:p>
            <w:pPr>
              <w:pStyle w:val="TableParagraph"/>
              <w:ind w:left="58"/>
              <w:rPr>
                <w:rFonts w:ascii="Calibri"/>
                <w:b/>
                <w:sz w:val="22"/>
              </w:rPr>
            </w:pPr>
            <w:r>
              <w:rPr>
                <w:rFonts w:ascii="Calibri"/>
                <w:b/>
                <w:spacing w:val="-2"/>
                <w:sz w:val="22"/>
              </w:rPr>
              <w:t>(pg/ml)</w:t>
            </w:r>
          </w:p>
        </w:tc>
      </w:tr>
      <w:tr>
        <w:trPr>
          <w:trHeight w:val="412" w:hRule="atLeast"/>
        </w:trPr>
        <w:tc>
          <w:tcPr>
            <w:tcW w:w="1495" w:type="dxa"/>
            <w:tcBorders>
              <w:top w:val="single" w:sz="8" w:space="0" w:color="000000"/>
            </w:tcBorders>
          </w:tcPr>
          <w:p>
            <w:pPr>
              <w:pStyle w:val="TableParagraph"/>
              <w:spacing w:line="265" w:lineRule="exact"/>
              <w:ind w:left="15" w:right="3"/>
              <w:rPr>
                <w:rFonts w:ascii="Calibri"/>
                <w:b/>
                <w:sz w:val="22"/>
              </w:rPr>
            </w:pPr>
            <w:r>
              <w:rPr>
                <w:rFonts w:ascii="Calibri"/>
                <w:b/>
                <w:sz w:val="22"/>
              </w:rPr>
              <w:t>G1</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21)</w:t>
            </w:r>
          </w:p>
        </w:tc>
        <w:tc>
          <w:tcPr>
            <w:tcW w:w="1668" w:type="dxa"/>
            <w:tcBorders>
              <w:top w:val="single" w:sz="8" w:space="0" w:color="000000"/>
            </w:tcBorders>
          </w:tcPr>
          <w:p>
            <w:pPr>
              <w:pStyle w:val="TableParagraph"/>
              <w:spacing w:line="246" w:lineRule="exact"/>
              <w:ind w:left="189"/>
              <w:jc w:val="left"/>
              <w:rPr>
                <w:sz w:val="22"/>
              </w:rPr>
            </w:pPr>
            <w:r>
              <w:rPr>
                <w:sz w:val="22"/>
              </w:rPr>
              <w:t>28.97 ±</w:t>
            </w:r>
            <w:r>
              <w:rPr>
                <w:spacing w:val="-2"/>
                <w:sz w:val="22"/>
              </w:rPr>
              <w:t> 14.18</w:t>
            </w:r>
          </w:p>
        </w:tc>
        <w:tc>
          <w:tcPr>
            <w:tcW w:w="1744" w:type="dxa"/>
            <w:tcBorders>
              <w:top w:val="single" w:sz="8" w:space="0" w:color="000000"/>
            </w:tcBorders>
          </w:tcPr>
          <w:p>
            <w:pPr>
              <w:pStyle w:val="TableParagraph"/>
              <w:spacing w:line="246" w:lineRule="exact"/>
              <w:ind w:left="197"/>
              <w:jc w:val="left"/>
              <w:rPr>
                <w:sz w:val="22"/>
              </w:rPr>
            </w:pPr>
            <w:r>
              <w:rPr>
                <w:sz w:val="22"/>
              </w:rPr>
              <w:t>28.86</w:t>
            </w:r>
            <w:r>
              <w:rPr>
                <w:spacing w:val="55"/>
                <w:sz w:val="22"/>
              </w:rPr>
              <w:t> </w:t>
            </w:r>
            <w:r>
              <w:rPr>
                <w:sz w:val="22"/>
              </w:rPr>
              <w:t>±</w:t>
            </w:r>
            <w:r>
              <w:rPr>
                <w:spacing w:val="54"/>
                <w:sz w:val="22"/>
              </w:rPr>
              <w:t> </w:t>
            </w:r>
            <w:r>
              <w:rPr>
                <w:spacing w:val="-2"/>
                <w:sz w:val="22"/>
              </w:rPr>
              <w:t>16.43</w:t>
            </w:r>
          </w:p>
        </w:tc>
        <w:tc>
          <w:tcPr>
            <w:tcW w:w="1492" w:type="dxa"/>
            <w:tcBorders>
              <w:top w:val="single" w:sz="8" w:space="0" w:color="000000"/>
            </w:tcBorders>
          </w:tcPr>
          <w:p>
            <w:pPr>
              <w:pStyle w:val="TableParagraph"/>
              <w:spacing w:line="246" w:lineRule="exact"/>
              <w:ind w:left="210"/>
              <w:jc w:val="left"/>
              <w:rPr>
                <w:sz w:val="22"/>
              </w:rPr>
            </w:pPr>
            <w:r>
              <w:rPr>
                <w:sz w:val="22"/>
              </w:rPr>
              <w:t>10.11 ±</w:t>
            </w:r>
            <w:r>
              <w:rPr>
                <w:spacing w:val="-2"/>
                <w:sz w:val="22"/>
              </w:rPr>
              <w:t> </w:t>
            </w:r>
            <w:r>
              <w:rPr>
                <w:spacing w:val="-4"/>
                <w:sz w:val="22"/>
              </w:rPr>
              <w:t>8.09</w:t>
            </w:r>
          </w:p>
        </w:tc>
        <w:tc>
          <w:tcPr>
            <w:tcW w:w="1558" w:type="dxa"/>
            <w:tcBorders>
              <w:top w:val="single" w:sz="8" w:space="0" w:color="000000"/>
            </w:tcBorders>
          </w:tcPr>
          <w:p>
            <w:pPr>
              <w:pStyle w:val="TableParagraph"/>
              <w:spacing w:line="246" w:lineRule="exact"/>
              <w:ind w:left="165"/>
              <w:jc w:val="left"/>
              <w:rPr>
                <w:sz w:val="22"/>
              </w:rPr>
            </w:pPr>
            <w:r>
              <w:rPr>
                <w:sz w:val="22"/>
              </w:rPr>
              <w:t>43.43 ±</w:t>
            </w:r>
            <w:r>
              <w:rPr>
                <w:spacing w:val="-2"/>
                <w:sz w:val="22"/>
              </w:rPr>
              <w:t> 35.55</w:t>
            </w:r>
          </w:p>
        </w:tc>
        <w:tc>
          <w:tcPr>
            <w:tcW w:w="1547" w:type="dxa"/>
            <w:tcBorders>
              <w:top w:val="single" w:sz="8" w:space="0" w:color="000000"/>
            </w:tcBorders>
          </w:tcPr>
          <w:p>
            <w:pPr>
              <w:pStyle w:val="TableParagraph"/>
              <w:spacing w:line="246" w:lineRule="exact"/>
              <w:ind w:left="166"/>
              <w:jc w:val="left"/>
              <w:rPr>
                <w:sz w:val="22"/>
              </w:rPr>
            </w:pPr>
            <w:r>
              <w:rPr>
                <w:sz w:val="22"/>
              </w:rPr>
              <w:t>26.81 ±</w:t>
            </w:r>
            <w:r>
              <w:rPr>
                <w:spacing w:val="-2"/>
                <w:sz w:val="22"/>
              </w:rPr>
              <w:t> 20.15</w:t>
            </w:r>
          </w:p>
        </w:tc>
      </w:tr>
      <w:tr>
        <w:trPr>
          <w:trHeight w:val="561" w:hRule="atLeast"/>
        </w:trPr>
        <w:tc>
          <w:tcPr>
            <w:tcW w:w="1495" w:type="dxa"/>
          </w:tcPr>
          <w:p>
            <w:pPr>
              <w:pStyle w:val="TableParagraph"/>
              <w:spacing w:before="145"/>
              <w:ind w:left="15" w:right="3"/>
              <w:rPr>
                <w:rFonts w:ascii="Calibri"/>
                <w:b/>
                <w:sz w:val="22"/>
              </w:rPr>
            </w:pPr>
            <w:r>
              <w:rPr>
                <w:rFonts w:ascii="Calibri"/>
                <w:b/>
                <w:sz w:val="22"/>
              </w:rPr>
              <w:t>G2</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65)</w:t>
            </w:r>
          </w:p>
        </w:tc>
        <w:tc>
          <w:tcPr>
            <w:tcW w:w="1668" w:type="dxa"/>
          </w:tcPr>
          <w:p>
            <w:pPr>
              <w:pStyle w:val="TableParagraph"/>
              <w:spacing w:before="142"/>
              <w:ind w:left="189"/>
              <w:jc w:val="left"/>
              <w:rPr>
                <w:sz w:val="22"/>
              </w:rPr>
            </w:pPr>
            <w:r>
              <w:rPr>
                <w:sz w:val="22"/>
              </w:rPr>
              <w:t>24.10 ±</w:t>
            </w:r>
            <w:r>
              <w:rPr>
                <w:spacing w:val="-2"/>
                <w:sz w:val="22"/>
              </w:rPr>
              <w:t> 12.36</w:t>
            </w:r>
          </w:p>
        </w:tc>
        <w:tc>
          <w:tcPr>
            <w:tcW w:w="1744" w:type="dxa"/>
          </w:tcPr>
          <w:p>
            <w:pPr>
              <w:pStyle w:val="TableParagraph"/>
              <w:spacing w:before="142"/>
              <w:ind w:left="197"/>
              <w:jc w:val="left"/>
              <w:rPr>
                <w:sz w:val="22"/>
              </w:rPr>
            </w:pPr>
            <w:r>
              <w:rPr>
                <w:sz w:val="22"/>
              </w:rPr>
              <w:t>19.53</w:t>
            </w:r>
            <w:r>
              <w:rPr>
                <w:spacing w:val="55"/>
                <w:sz w:val="22"/>
              </w:rPr>
              <w:t> </w:t>
            </w:r>
            <w:r>
              <w:rPr>
                <w:sz w:val="22"/>
              </w:rPr>
              <w:t>±</w:t>
            </w:r>
            <w:r>
              <w:rPr>
                <w:spacing w:val="54"/>
                <w:sz w:val="22"/>
              </w:rPr>
              <w:t> </w:t>
            </w:r>
            <w:r>
              <w:rPr>
                <w:spacing w:val="-2"/>
                <w:sz w:val="22"/>
              </w:rPr>
              <w:t>11.58</w:t>
            </w:r>
          </w:p>
        </w:tc>
        <w:tc>
          <w:tcPr>
            <w:tcW w:w="1492" w:type="dxa"/>
          </w:tcPr>
          <w:p>
            <w:pPr>
              <w:pStyle w:val="TableParagraph"/>
              <w:spacing w:before="142"/>
              <w:ind w:left="265"/>
              <w:jc w:val="left"/>
              <w:rPr>
                <w:sz w:val="22"/>
              </w:rPr>
            </w:pPr>
            <w:r>
              <w:rPr>
                <w:sz w:val="22"/>
              </w:rPr>
              <w:t>9.25 ±</w:t>
            </w:r>
            <w:r>
              <w:rPr>
                <w:spacing w:val="-2"/>
                <w:sz w:val="22"/>
              </w:rPr>
              <w:t> </w:t>
            </w:r>
            <w:r>
              <w:rPr>
                <w:spacing w:val="-4"/>
                <w:sz w:val="22"/>
              </w:rPr>
              <w:t>7.68</w:t>
            </w:r>
          </w:p>
        </w:tc>
        <w:tc>
          <w:tcPr>
            <w:tcW w:w="1558" w:type="dxa"/>
          </w:tcPr>
          <w:p>
            <w:pPr>
              <w:pStyle w:val="TableParagraph"/>
              <w:spacing w:before="142"/>
              <w:ind w:left="165"/>
              <w:jc w:val="left"/>
              <w:rPr>
                <w:sz w:val="22"/>
              </w:rPr>
            </w:pPr>
            <w:r>
              <w:rPr>
                <w:sz w:val="22"/>
              </w:rPr>
              <w:t>23.64 ±</w:t>
            </w:r>
            <w:r>
              <w:rPr>
                <w:spacing w:val="-2"/>
                <w:sz w:val="22"/>
              </w:rPr>
              <w:t> 20.35</w:t>
            </w:r>
          </w:p>
        </w:tc>
        <w:tc>
          <w:tcPr>
            <w:tcW w:w="1547" w:type="dxa"/>
          </w:tcPr>
          <w:p>
            <w:pPr>
              <w:pStyle w:val="TableParagraph"/>
              <w:spacing w:before="142"/>
              <w:ind w:left="166"/>
              <w:jc w:val="left"/>
              <w:rPr>
                <w:sz w:val="22"/>
              </w:rPr>
            </w:pPr>
            <w:r>
              <w:rPr>
                <w:sz w:val="22"/>
              </w:rPr>
              <w:t>36.49 ±</w:t>
            </w:r>
            <w:r>
              <w:rPr>
                <w:spacing w:val="-2"/>
                <w:sz w:val="22"/>
              </w:rPr>
              <w:t> 34.78</w:t>
            </w:r>
          </w:p>
        </w:tc>
      </w:tr>
      <w:tr>
        <w:trPr>
          <w:trHeight w:val="561" w:hRule="atLeast"/>
        </w:trPr>
        <w:tc>
          <w:tcPr>
            <w:tcW w:w="1495" w:type="dxa"/>
          </w:tcPr>
          <w:p>
            <w:pPr>
              <w:pStyle w:val="TableParagraph"/>
              <w:spacing w:before="146"/>
              <w:ind w:left="15" w:right="3"/>
              <w:rPr>
                <w:rFonts w:ascii="Calibri"/>
                <w:b/>
                <w:sz w:val="22"/>
              </w:rPr>
            </w:pPr>
            <w:r>
              <w:rPr>
                <w:rFonts w:ascii="Calibri"/>
                <w:b/>
                <w:sz w:val="22"/>
              </w:rPr>
              <w:t>G3</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58)</w:t>
            </w:r>
          </w:p>
        </w:tc>
        <w:tc>
          <w:tcPr>
            <w:tcW w:w="1668" w:type="dxa"/>
          </w:tcPr>
          <w:p>
            <w:pPr>
              <w:pStyle w:val="TableParagraph"/>
              <w:spacing w:before="143"/>
              <w:ind w:left="134"/>
              <w:jc w:val="left"/>
              <w:rPr>
                <w:sz w:val="22"/>
              </w:rPr>
            </w:pPr>
            <w:r>
              <w:rPr>
                <w:sz w:val="22"/>
              </w:rPr>
              <w:t>19.467 ±</w:t>
            </w:r>
            <w:r>
              <w:rPr>
                <w:spacing w:val="-2"/>
                <w:sz w:val="22"/>
              </w:rPr>
              <w:t> 11.67</w:t>
            </w:r>
          </w:p>
        </w:tc>
        <w:tc>
          <w:tcPr>
            <w:tcW w:w="1744" w:type="dxa"/>
          </w:tcPr>
          <w:p>
            <w:pPr>
              <w:pStyle w:val="TableParagraph"/>
              <w:spacing w:before="143"/>
              <w:ind w:left="197"/>
              <w:jc w:val="left"/>
              <w:rPr>
                <w:sz w:val="22"/>
              </w:rPr>
            </w:pPr>
            <w:r>
              <w:rPr>
                <w:sz w:val="22"/>
              </w:rPr>
              <w:t>20.10</w:t>
            </w:r>
            <w:r>
              <w:rPr>
                <w:spacing w:val="55"/>
                <w:sz w:val="22"/>
              </w:rPr>
              <w:t> </w:t>
            </w:r>
            <w:r>
              <w:rPr>
                <w:sz w:val="22"/>
              </w:rPr>
              <w:t>±</w:t>
            </w:r>
            <w:r>
              <w:rPr>
                <w:spacing w:val="54"/>
                <w:sz w:val="22"/>
              </w:rPr>
              <w:t> </w:t>
            </w:r>
            <w:r>
              <w:rPr>
                <w:spacing w:val="-2"/>
                <w:sz w:val="22"/>
              </w:rPr>
              <w:t>11.18</w:t>
            </w:r>
          </w:p>
        </w:tc>
        <w:tc>
          <w:tcPr>
            <w:tcW w:w="1492" w:type="dxa"/>
          </w:tcPr>
          <w:p>
            <w:pPr>
              <w:pStyle w:val="TableParagraph"/>
              <w:spacing w:before="143"/>
              <w:ind w:left="265"/>
              <w:jc w:val="left"/>
              <w:rPr>
                <w:sz w:val="22"/>
              </w:rPr>
            </w:pPr>
            <w:r>
              <w:rPr>
                <w:sz w:val="22"/>
              </w:rPr>
              <w:t>9.96 ±</w:t>
            </w:r>
            <w:r>
              <w:rPr>
                <w:spacing w:val="-2"/>
                <w:sz w:val="22"/>
              </w:rPr>
              <w:t> </w:t>
            </w:r>
            <w:r>
              <w:rPr>
                <w:spacing w:val="-4"/>
                <w:sz w:val="22"/>
              </w:rPr>
              <w:t>5.95</w:t>
            </w:r>
          </w:p>
        </w:tc>
        <w:tc>
          <w:tcPr>
            <w:tcW w:w="1558" w:type="dxa"/>
          </w:tcPr>
          <w:p>
            <w:pPr>
              <w:pStyle w:val="TableParagraph"/>
              <w:spacing w:before="143"/>
              <w:ind w:left="165"/>
              <w:jc w:val="left"/>
              <w:rPr>
                <w:sz w:val="22"/>
              </w:rPr>
            </w:pPr>
            <w:r>
              <w:rPr>
                <w:sz w:val="22"/>
              </w:rPr>
              <w:t>37.50 ±</w:t>
            </w:r>
            <w:r>
              <w:rPr>
                <w:spacing w:val="-2"/>
                <w:sz w:val="22"/>
              </w:rPr>
              <w:t> 29.82</w:t>
            </w:r>
          </w:p>
        </w:tc>
        <w:tc>
          <w:tcPr>
            <w:tcW w:w="1547" w:type="dxa"/>
          </w:tcPr>
          <w:p>
            <w:pPr>
              <w:pStyle w:val="TableParagraph"/>
              <w:spacing w:before="143"/>
              <w:ind w:left="166"/>
              <w:jc w:val="left"/>
              <w:rPr>
                <w:sz w:val="22"/>
              </w:rPr>
            </w:pPr>
            <w:r>
              <w:rPr>
                <w:sz w:val="22"/>
              </w:rPr>
              <w:t>36.76 ±</w:t>
            </w:r>
            <w:r>
              <w:rPr>
                <w:spacing w:val="-2"/>
                <w:sz w:val="22"/>
              </w:rPr>
              <w:t> 23.50</w:t>
            </w:r>
          </w:p>
        </w:tc>
      </w:tr>
      <w:tr>
        <w:trPr>
          <w:trHeight w:val="799" w:hRule="atLeast"/>
        </w:trPr>
        <w:tc>
          <w:tcPr>
            <w:tcW w:w="1495" w:type="dxa"/>
          </w:tcPr>
          <w:p>
            <w:pPr>
              <w:pStyle w:val="TableParagraph"/>
              <w:spacing w:before="145"/>
              <w:ind w:left="15"/>
              <w:rPr>
                <w:rFonts w:ascii="Calibri"/>
                <w:b/>
                <w:sz w:val="22"/>
              </w:rPr>
            </w:pPr>
            <w:r>
              <w:rPr>
                <w:rFonts w:ascii="Calibri"/>
                <w:b/>
                <w:sz w:val="22"/>
              </w:rPr>
              <w:t>F(p)</w:t>
            </w:r>
            <w:r>
              <w:rPr>
                <w:rFonts w:ascii="Calibri"/>
                <w:b/>
                <w:spacing w:val="-3"/>
                <w:sz w:val="22"/>
              </w:rPr>
              <w:t> </w:t>
            </w:r>
            <w:r>
              <w:rPr>
                <w:rFonts w:ascii="Calibri"/>
                <w:b/>
                <w:spacing w:val="-2"/>
                <w:sz w:val="22"/>
              </w:rPr>
              <w:t>Value</w:t>
            </w:r>
          </w:p>
        </w:tc>
        <w:tc>
          <w:tcPr>
            <w:tcW w:w="1668" w:type="dxa"/>
          </w:tcPr>
          <w:p>
            <w:pPr>
              <w:pStyle w:val="TableParagraph"/>
              <w:spacing w:line="252" w:lineRule="exact" w:before="142"/>
              <w:ind w:left="496"/>
              <w:jc w:val="left"/>
              <w:rPr>
                <w:sz w:val="22"/>
              </w:rPr>
            </w:pPr>
            <w:r>
              <w:rPr>
                <w:spacing w:val="-2"/>
                <w:sz w:val="22"/>
              </w:rPr>
              <w:t>25.669</w:t>
            </w:r>
          </w:p>
          <w:p>
            <w:pPr>
              <w:pStyle w:val="TableParagraph"/>
              <w:spacing w:line="252" w:lineRule="exact"/>
              <w:ind w:left="535"/>
              <w:jc w:val="left"/>
              <w:rPr>
                <w:sz w:val="22"/>
              </w:rPr>
            </w:pPr>
            <w:r>
              <w:rPr>
                <w:spacing w:val="-2"/>
                <w:sz w:val="22"/>
              </w:rPr>
              <w:t>(.000)</w:t>
            </w:r>
          </w:p>
        </w:tc>
        <w:tc>
          <w:tcPr>
            <w:tcW w:w="1744" w:type="dxa"/>
          </w:tcPr>
          <w:p>
            <w:pPr>
              <w:pStyle w:val="TableParagraph"/>
              <w:spacing w:line="252" w:lineRule="exact" w:before="142"/>
              <w:ind w:left="2" w:right="16"/>
              <w:rPr>
                <w:sz w:val="22"/>
              </w:rPr>
            </w:pPr>
            <w:r>
              <w:rPr>
                <w:spacing w:val="-2"/>
                <w:sz w:val="22"/>
              </w:rPr>
              <w:t>12.949</w:t>
            </w:r>
          </w:p>
          <w:p>
            <w:pPr>
              <w:pStyle w:val="TableParagraph"/>
              <w:spacing w:line="252" w:lineRule="exact"/>
              <w:ind w:left="3" w:right="16"/>
              <w:rPr>
                <w:sz w:val="22"/>
              </w:rPr>
            </w:pPr>
            <w:r>
              <w:rPr>
                <w:spacing w:val="-2"/>
                <w:sz w:val="22"/>
              </w:rPr>
              <w:t>(.000)</w:t>
            </w:r>
          </w:p>
        </w:tc>
        <w:tc>
          <w:tcPr>
            <w:tcW w:w="1492" w:type="dxa"/>
          </w:tcPr>
          <w:p>
            <w:pPr>
              <w:pStyle w:val="TableParagraph"/>
              <w:spacing w:line="252" w:lineRule="exact" w:before="142"/>
              <w:ind w:left="517"/>
              <w:jc w:val="left"/>
              <w:rPr>
                <w:sz w:val="22"/>
              </w:rPr>
            </w:pPr>
            <w:r>
              <w:rPr>
                <w:spacing w:val="-2"/>
                <w:sz w:val="22"/>
              </w:rPr>
              <w:t>1.680</w:t>
            </w:r>
          </w:p>
          <w:p>
            <w:pPr>
              <w:pStyle w:val="TableParagraph"/>
              <w:spacing w:line="252" w:lineRule="exact"/>
              <w:ind w:left="501"/>
              <w:jc w:val="left"/>
              <w:rPr>
                <w:sz w:val="22"/>
              </w:rPr>
            </w:pPr>
            <w:r>
              <w:rPr>
                <w:spacing w:val="-2"/>
                <w:sz w:val="22"/>
              </w:rPr>
              <w:t>(.141)</w:t>
            </w:r>
          </w:p>
        </w:tc>
        <w:tc>
          <w:tcPr>
            <w:tcW w:w="1558" w:type="dxa"/>
          </w:tcPr>
          <w:p>
            <w:pPr>
              <w:pStyle w:val="TableParagraph"/>
              <w:spacing w:line="252" w:lineRule="exact" w:before="142"/>
              <w:ind w:left="473"/>
              <w:jc w:val="left"/>
              <w:rPr>
                <w:sz w:val="22"/>
              </w:rPr>
            </w:pPr>
            <w:r>
              <w:rPr>
                <w:spacing w:val="-2"/>
                <w:sz w:val="22"/>
              </w:rPr>
              <w:t>12.723</w:t>
            </w:r>
          </w:p>
          <w:p>
            <w:pPr>
              <w:pStyle w:val="TableParagraph"/>
              <w:spacing w:line="252" w:lineRule="exact"/>
              <w:ind w:left="511"/>
              <w:jc w:val="left"/>
              <w:rPr>
                <w:sz w:val="22"/>
              </w:rPr>
            </w:pPr>
            <w:r>
              <w:rPr>
                <w:spacing w:val="-2"/>
                <w:sz w:val="22"/>
              </w:rPr>
              <w:t>(.000)</w:t>
            </w:r>
          </w:p>
        </w:tc>
        <w:tc>
          <w:tcPr>
            <w:tcW w:w="1547" w:type="dxa"/>
          </w:tcPr>
          <w:p>
            <w:pPr>
              <w:pStyle w:val="TableParagraph"/>
              <w:spacing w:line="252" w:lineRule="exact" w:before="142"/>
              <w:ind w:left="58" w:right="47"/>
              <w:rPr>
                <w:sz w:val="22"/>
              </w:rPr>
            </w:pPr>
            <w:r>
              <w:rPr>
                <w:spacing w:val="-2"/>
                <w:sz w:val="22"/>
              </w:rPr>
              <w:t>6.667</w:t>
            </w:r>
          </w:p>
          <w:p>
            <w:pPr>
              <w:pStyle w:val="TableParagraph"/>
              <w:spacing w:line="252" w:lineRule="exact"/>
              <w:ind w:left="58" w:right="50"/>
              <w:rPr>
                <w:sz w:val="22"/>
              </w:rPr>
            </w:pPr>
            <w:r>
              <w:rPr>
                <w:spacing w:val="-2"/>
                <w:sz w:val="22"/>
              </w:rPr>
              <w:t>(.000)</w:t>
            </w:r>
          </w:p>
        </w:tc>
      </w:tr>
      <w:tr>
        <w:trPr>
          <w:trHeight w:val="546" w:hRule="atLeast"/>
        </w:trPr>
        <w:tc>
          <w:tcPr>
            <w:tcW w:w="1495" w:type="dxa"/>
          </w:tcPr>
          <w:p>
            <w:pPr>
              <w:pStyle w:val="TableParagraph"/>
              <w:spacing w:before="107"/>
              <w:ind w:left="15" w:right="5"/>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G2</w:t>
            </w:r>
          </w:p>
        </w:tc>
        <w:tc>
          <w:tcPr>
            <w:tcW w:w="1668" w:type="dxa"/>
          </w:tcPr>
          <w:p>
            <w:pPr>
              <w:pStyle w:val="TableParagraph"/>
              <w:spacing w:before="171"/>
              <w:ind w:left="2" w:right="66"/>
              <w:rPr>
                <w:sz w:val="22"/>
              </w:rPr>
            </w:pPr>
            <w:r>
              <w:rPr>
                <w:spacing w:val="-2"/>
                <w:sz w:val="22"/>
              </w:rPr>
              <w:t>0.719</w:t>
            </w:r>
          </w:p>
        </w:tc>
        <w:tc>
          <w:tcPr>
            <w:tcW w:w="1744" w:type="dxa"/>
          </w:tcPr>
          <w:p>
            <w:pPr>
              <w:pStyle w:val="TableParagraph"/>
              <w:spacing w:before="171"/>
              <w:ind w:left="2" w:right="16"/>
              <w:rPr>
                <w:sz w:val="22"/>
              </w:rPr>
            </w:pPr>
            <w:r>
              <w:rPr>
                <w:spacing w:val="-2"/>
                <w:sz w:val="22"/>
              </w:rPr>
              <w:t>0.186</w:t>
            </w:r>
          </w:p>
        </w:tc>
        <w:tc>
          <w:tcPr>
            <w:tcW w:w="1492" w:type="dxa"/>
          </w:tcPr>
          <w:p>
            <w:pPr>
              <w:pStyle w:val="TableParagraph"/>
              <w:spacing w:before="171"/>
              <w:ind w:left="40"/>
              <w:rPr>
                <w:sz w:val="22"/>
              </w:rPr>
            </w:pPr>
            <w:r>
              <w:rPr>
                <w:spacing w:val="-2"/>
                <w:sz w:val="22"/>
              </w:rPr>
              <w:t>0.998</w:t>
            </w:r>
          </w:p>
        </w:tc>
        <w:tc>
          <w:tcPr>
            <w:tcW w:w="1558" w:type="dxa"/>
          </w:tcPr>
          <w:p>
            <w:pPr>
              <w:pStyle w:val="TableParagraph"/>
              <w:spacing w:before="171"/>
              <w:ind w:left="1" w:right="3"/>
              <w:rPr>
                <w:sz w:val="22"/>
              </w:rPr>
            </w:pPr>
            <w:r>
              <w:rPr>
                <w:spacing w:val="-2"/>
                <w:sz w:val="22"/>
              </w:rPr>
              <w:t>0.186</w:t>
            </w:r>
          </w:p>
        </w:tc>
        <w:tc>
          <w:tcPr>
            <w:tcW w:w="1547" w:type="dxa"/>
          </w:tcPr>
          <w:p>
            <w:pPr>
              <w:pStyle w:val="TableParagraph"/>
              <w:spacing w:before="171"/>
              <w:ind w:left="58" w:right="47"/>
              <w:rPr>
                <w:sz w:val="22"/>
              </w:rPr>
            </w:pPr>
            <w:r>
              <w:rPr>
                <w:spacing w:val="-2"/>
                <w:sz w:val="22"/>
              </w:rPr>
              <w:t>0.621</w:t>
            </w:r>
          </w:p>
        </w:tc>
      </w:tr>
      <w:tr>
        <w:trPr>
          <w:trHeight w:val="544" w:hRule="atLeast"/>
        </w:trPr>
        <w:tc>
          <w:tcPr>
            <w:tcW w:w="1495" w:type="dxa"/>
          </w:tcPr>
          <w:p>
            <w:pPr>
              <w:pStyle w:val="TableParagraph"/>
              <w:spacing w:before="77"/>
              <w:ind w:left="15" w:right="5"/>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668" w:type="dxa"/>
          </w:tcPr>
          <w:p>
            <w:pPr>
              <w:pStyle w:val="TableParagraph"/>
              <w:spacing w:before="141"/>
              <w:ind w:left="2" w:right="66"/>
              <w:rPr>
                <w:sz w:val="22"/>
              </w:rPr>
            </w:pPr>
            <w:r>
              <w:rPr>
                <w:spacing w:val="-2"/>
                <w:sz w:val="22"/>
              </w:rPr>
              <w:t>0.094</w:t>
            </w:r>
          </w:p>
        </w:tc>
        <w:tc>
          <w:tcPr>
            <w:tcW w:w="1744" w:type="dxa"/>
          </w:tcPr>
          <w:p>
            <w:pPr>
              <w:pStyle w:val="TableParagraph"/>
              <w:spacing w:before="141"/>
              <w:ind w:left="2" w:right="16"/>
              <w:rPr>
                <w:sz w:val="22"/>
              </w:rPr>
            </w:pPr>
            <w:r>
              <w:rPr>
                <w:spacing w:val="-2"/>
                <w:sz w:val="22"/>
              </w:rPr>
              <w:t>0.244</w:t>
            </w:r>
          </w:p>
        </w:tc>
        <w:tc>
          <w:tcPr>
            <w:tcW w:w="1492" w:type="dxa"/>
          </w:tcPr>
          <w:p>
            <w:pPr>
              <w:pStyle w:val="TableParagraph"/>
              <w:spacing w:before="141"/>
              <w:ind w:left="40"/>
              <w:rPr>
                <w:sz w:val="22"/>
              </w:rPr>
            </w:pPr>
            <w:r>
              <w:rPr>
                <w:spacing w:val="-2"/>
                <w:sz w:val="22"/>
              </w:rPr>
              <w:t>1.000</w:t>
            </w:r>
          </w:p>
        </w:tc>
        <w:tc>
          <w:tcPr>
            <w:tcW w:w="1558" w:type="dxa"/>
          </w:tcPr>
          <w:p>
            <w:pPr>
              <w:pStyle w:val="TableParagraph"/>
              <w:spacing w:before="141"/>
              <w:ind w:left="1" w:right="3"/>
              <w:rPr>
                <w:sz w:val="22"/>
              </w:rPr>
            </w:pPr>
            <w:r>
              <w:rPr>
                <w:spacing w:val="-2"/>
                <w:sz w:val="22"/>
              </w:rPr>
              <w:t>0.983</w:t>
            </w:r>
          </w:p>
        </w:tc>
        <w:tc>
          <w:tcPr>
            <w:tcW w:w="1547" w:type="dxa"/>
          </w:tcPr>
          <w:p>
            <w:pPr>
              <w:pStyle w:val="TableParagraph"/>
              <w:spacing w:before="141"/>
              <w:ind w:left="58" w:right="47"/>
              <w:rPr>
                <w:sz w:val="22"/>
              </w:rPr>
            </w:pPr>
            <w:r>
              <w:rPr>
                <w:spacing w:val="-2"/>
                <w:sz w:val="22"/>
              </w:rPr>
              <w:t>0.445</w:t>
            </w:r>
          </w:p>
        </w:tc>
      </w:tr>
      <w:tr>
        <w:trPr>
          <w:trHeight w:val="694" w:hRule="atLeast"/>
        </w:trPr>
        <w:tc>
          <w:tcPr>
            <w:tcW w:w="1495" w:type="dxa"/>
            <w:tcBorders>
              <w:bottom w:val="single" w:sz="8" w:space="0" w:color="000000"/>
            </w:tcBorders>
          </w:tcPr>
          <w:p>
            <w:pPr>
              <w:pStyle w:val="TableParagraph"/>
              <w:spacing w:before="106"/>
              <w:ind w:left="15" w:right="5"/>
              <w:rPr>
                <w:rFonts w:ascii="Calibri"/>
                <w:b/>
                <w:sz w:val="22"/>
              </w:rPr>
            </w:pPr>
            <w:r>
              <w:rPr>
                <w:rFonts w:ascii="Calibri"/>
                <w:b/>
                <w:sz w:val="22"/>
              </w:rPr>
              <w:t>G2</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668" w:type="dxa"/>
            <w:tcBorders>
              <w:bottom w:val="single" w:sz="8" w:space="0" w:color="000000"/>
            </w:tcBorders>
          </w:tcPr>
          <w:p>
            <w:pPr>
              <w:pStyle w:val="TableParagraph"/>
              <w:spacing w:before="170"/>
              <w:ind w:left="2" w:right="66"/>
              <w:rPr>
                <w:sz w:val="22"/>
              </w:rPr>
            </w:pPr>
            <w:r>
              <w:rPr>
                <w:spacing w:val="-2"/>
                <w:sz w:val="22"/>
              </w:rPr>
              <w:t>0.276</w:t>
            </w:r>
          </w:p>
        </w:tc>
        <w:tc>
          <w:tcPr>
            <w:tcW w:w="1744" w:type="dxa"/>
            <w:tcBorders>
              <w:bottom w:val="single" w:sz="8" w:space="0" w:color="000000"/>
            </w:tcBorders>
          </w:tcPr>
          <w:p>
            <w:pPr>
              <w:pStyle w:val="TableParagraph"/>
              <w:spacing w:before="170"/>
              <w:ind w:left="2" w:right="16"/>
              <w:rPr>
                <w:sz w:val="22"/>
              </w:rPr>
            </w:pPr>
            <w:r>
              <w:rPr>
                <w:spacing w:val="-2"/>
                <w:sz w:val="22"/>
              </w:rPr>
              <w:t>1.000</w:t>
            </w:r>
          </w:p>
        </w:tc>
        <w:tc>
          <w:tcPr>
            <w:tcW w:w="1492" w:type="dxa"/>
            <w:tcBorders>
              <w:bottom w:val="single" w:sz="8" w:space="0" w:color="000000"/>
            </w:tcBorders>
          </w:tcPr>
          <w:p>
            <w:pPr>
              <w:pStyle w:val="TableParagraph"/>
              <w:spacing w:before="170"/>
              <w:ind w:left="40"/>
              <w:rPr>
                <w:sz w:val="22"/>
              </w:rPr>
            </w:pPr>
            <w:r>
              <w:rPr>
                <w:spacing w:val="-2"/>
                <w:sz w:val="22"/>
              </w:rPr>
              <w:t>0.992</w:t>
            </w:r>
          </w:p>
        </w:tc>
        <w:tc>
          <w:tcPr>
            <w:tcW w:w="1558" w:type="dxa"/>
            <w:tcBorders>
              <w:bottom w:val="single" w:sz="8" w:space="0" w:color="000000"/>
            </w:tcBorders>
          </w:tcPr>
          <w:p>
            <w:pPr>
              <w:pStyle w:val="TableParagraph"/>
              <w:spacing w:before="170"/>
              <w:ind w:left="3" w:right="3"/>
              <w:rPr>
                <w:sz w:val="22"/>
              </w:rPr>
            </w:pPr>
            <w:r>
              <w:rPr>
                <w:spacing w:val="-2"/>
                <w:sz w:val="22"/>
              </w:rPr>
              <w:t>0.042</w:t>
            </w:r>
            <w:r>
              <w:rPr>
                <w:spacing w:val="-2"/>
                <w:sz w:val="22"/>
                <w:vertAlign w:val="superscript"/>
              </w:rPr>
              <w:t>*</w:t>
            </w:r>
          </w:p>
        </w:tc>
        <w:tc>
          <w:tcPr>
            <w:tcW w:w="1547" w:type="dxa"/>
            <w:tcBorders>
              <w:bottom w:val="single" w:sz="8" w:space="0" w:color="000000"/>
            </w:tcBorders>
          </w:tcPr>
          <w:p>
            <w:pPr>
              <w:pStyle w:val="TableParagraph"/>
              <w:spacing w:before="170"/>
              <w:ind w:left="58" w:right="47"/>
              <w:rPr>
                <w:sz w:val="22"/>
              </w:rPr>
            </w:pPr>
            <w:r>
              <w:rPr>
                <w:spacing w:val="-2"/>
                <w:sz w:val="22"/>
              </w:rPr>
              <w:t>1.000</w:t>
            </w:r>
          </w:p>
        </w:tc>
      </w:tr>
    </w:tbl>
    <w:p>
      <w:pPr>
        <w:pStyle w:val="BodyText"/>
        <w:spacing w:before="179"/>
        <w:rPr>
          <w:b/>
          <w:sz w:val="20"/>
        </w:rPr>
      </w:pPr>
    </w:p>
    <w:p>
      <w:pPr>
        <w:spacing w:before="1"/>
        <w:ind w:left="560" w:right="0" w:firstLine="0"/>
        <w:jc w:val="left"/>
        <w:rPr>
          <w:sz w:val="20"/>
        </w:rPr>
      </w:pPr>
      <w:r>
        <w:rPr>
          <w:spacing w:val="-5"/>
          <w:sz w:val="20"/>
        </w:rPr>
        <w:t>Key</w:t>
      </w:r>
    </w:p>
    <w:p>
      <w:pPr>
        <w:spacing w:before="0"/>
        <w:ind w:left="560" w:right="0" w:firstLine="0"/>
        <w:jc w:val="left"/>
        <w:rPr>
          <w:sz w:val="20"/>
        </w:rPr>
      </w:pPr>
      <w:r>
        <w:rPr>
          <w:sz w:val="20"/>
        </w:rPr>
        <w:t>α-level</w:t>
      </w:r>
      <w:r>
        <w:rPr>
          <w:spacing w:val="45"/>
          <w:sz w:val="20"/>
        </w:rPr>
        <w:t> </w:t>
      </w:r>
      <w:r>
        <w:rPr>
          <w:sz w:val="20"/>
        </w:rPr>
        <w:t>set</w:t>
      </w:r>
      <w:r>
        <w:rPr>
          <w:spacing w:val="-4"/>
          <w:sz w:val="20"/>
        </w:rPr>
        <w:t> </w:t>
      </w:r>
      <w:r>
        <w:rPr>
          <w:sz w:val="20"/>
        </w:rPr>
        <w:t>at</w:t>
      </w:r>
      <w:r>
        <w:rPr>
          <w:spacing w:val="-4"/>
          <w:sz w:val="20"/>
        </w:rPr>
        <w:t> 0.05</w:t>
      </w:r>
    </w:p>
    <w:p>
      <w:pPr>
        <w:spacing w:before="0"/>
        <w:ind w:left="560" w:right="7678" w:firstLine="0"/>
        <w:jc w:val="left"/>
        <w:rPr>
          <w:sz w:val="20"/>
        </w:rPr>
      </w:pPr>
      <w:r>
        <w:rPr>
          <w:sz w:val="20"/>
        </w:rPr>
        <w:t>*(P&lt; 0.05) = Significant P&gt;</w:t>
      </w:r>
      <w:r>
        <w:rPr>
          <w:spacing w:val="-13"/>
          <w:sz w:val="20"/>
        </w:rPr>
        <w:t> </w:t>
      </w:r>
      <w:r>
        <w:rPr>
          <w:sz w:val="20"/>
        </w:rPr>
        <w:t>0.05=</w:t>
      </w:r>
      <w:r>
        <w:rPr>
          <w:spacing w:val="-12"/>
          <w:sz w:val="20"/>
        </w:rPr>
        <w:t> </w:t>
      </w:r>
      <w:r>
        <w:rPr>
          <w:sz w:val="20"/>
        </w:rPr>
        <w:t>Not</w:t>
      </w:r>
      <w:r>
        <w:rPr>
          <w:spacing w:val="-13"/>
          <w:sz w:val="20"/>
        </w:rPr>
        <w:t> </w:t>
      </w:r>
      <w:r>
        <w:rPr>
          <w:sz w:val="20"/>
        </w:rPr>
        <w:t>Significant</w:t>
      </w:r>
    </w:p>
    <w:p>
      <w:pPr>
        <w:spacing w:before="0"/>
        <w:ind w:left="560" w:right="5433" w:firstLine="0"/>
        <w:jc w:val="left"/>
        <w:rPr>
          <w:sz w:val="20"/>
        </w:rPr>
      </w:pPr>
      <w:r>
        <w:rPr>
          <w:sz w:val="20"/>
        </w:rPr>
        <w:t>G1 = Ist trimester Malaria infected pregnant women G2</w:t>
      </w:r>
      <w:r>
        <w:rPr>
          <w:spacing w:val="-6"/>
          <w:sz w:val="20"/>
        </w:rPr>
        <w:t> </w:t>
      </w:r>
      <w:r>
        <w:rPr>
          <w:sz w:val="20"/>
        </w:rPr>
        <w:t>=</w:t>
      </w:r>
      <w:r>
        <w:rPr>
          <w:spacing w:val="-7"/>
          <w:sz w:val="20"/>
        </w:rPr>
        <w:t> </w:t>
      </w:r>
      <w:r>
        <w:rPr>
          <w:sz w:val="20"/>
        </w:rPr>
        <w:t>2nd</w:t>
      </w:r>
      <w:r>
        <w:rPr>
          <w:spacing w:val="-6"/>
          <w:sz w:val="20"/>
        </w:rPr>
        <w:t> </w:t>
      </w:r>
      <w:r>
        <w:rPr>
          <w:sz w:val="20"/>
        </w:rPr>
        <w:t>trimester</w:t>
      </w:r>
      <w:r>
        <w:rPr>
          <w:spacing w:val="-6"/>
          <w:sz w:val="20"/>
        </w:rPr>
        <w:t> </w:t>
      </w:r>
      <w:r>
        <w:rPr>
          <w:sz w:val="20"/>
        </w:rPr>
        <w:t>Malaria</w:t>
      </w:r>
      <w:r>
        <w:rPr>
          <w:spacing w:val="-7"/>
          <w:sz w:val="20"/>
        </w:rPr>
        <w:t> </w:t>
      </w:r>
      <w:r>
        <w:rPr>
          <w:sz w:val="20"/>
        </w:rPr>
        <w:t>infected</w:t>
      </w:r>
      <w:r>
        <w:rPr>
          <w:spacing w:val="-6"/>
          <w:sz w:val="20"/>
        </w:rPr>
        <w:t> </w:t>
      </w:r>
      <w:r>
        <w:rPr>
          <w:sz w:val="20"/>
        </w:rPr>
        <w:t>pregnant</w:t>
      </w:r>
      <w:r>
        <w:rPr>
          <w:spacing w:val="-6"/>
          <w:sz w:val="20"/>
        </w:rPr>
        <w:t> </w:t>
      </w:r>
      <w:r>
        <w:rPr>
          <w:sz w:val="20"/>
        </w:rPr>
        <w:t>women G3</w:t>
      </w:r>
      <w:r>
        <w:rPr>
          <w:spacing w:val="-7"/>
          <w:sz w:val="20"/>
        </w:rPr>
        <w:t> </w:t>
      </w:r>
      <w:r>
        <w:rPr>
          <w:sz w:val="20"/>
        </w:rPr>
        <w:t>=</w:t>
      </w:r>
      <w:r>
        <w:rPr>
          <w:spacing w:val="-5"/>
          <w:sz w:val="20"/>
        </w:rPr>
        <w:t> </w:t>
      </w:r>
      <w:r>
        <w:rPr>
          <w:sz w:val="20"/>
        </w:rPr>
        <w:t>3rd</w:t>
      </w:r>
      <w:r>
        <w:rPr>
          <w:spacing w:val="-7"/>
          <w:sz w:val="20"/>
        </w:rPr>
        <w:t> </w:t>
      </w:r>
      <w:r>
        <w:rPr>
          <w:sz w:val="20"/>
        </w:rPr>
        <w:t>trimester</w:t>
      </w:r>
      <w:r>
        <w:rPr>
          <w:spacing w:val="-4"/>
          <w:sz w:val="20"/>
        </w:rPr>
        <w:t> </w:t>
      </w:r>
      <w:r>
        <w:rPr>
          <w:sz w:val="20"/>
        </w:rPr>
        <w:t>Malaria</w:t>
      </w:r>
      <w:r>
        <w:rPr>
          <w:spacing w:val="-5"/>
          <w:sz w:val="20"/>
        </w:rPr>
        <w:t> </w:t>
      </w:r>
      <w:r>
        <w:rPr>
          <w:sz w:val="20"/>
        </w:rPr>
        <w:t>infected</w:t>
      </w:r>
      <w:r>
        <w:rPr>
          <w:spacing w:val="-5"/>
          <w:sz w:val="20"/>
        </w:rPr>
        <w:t> </w:t>
      </w:r>
      <w:r>
        <w:rPr>
          <w:sz w:val="20"/>
        </w:rPr>
        <w:t>pregnant</w:t>
      </w:r>
      <w:r>
        <w:rPr>
          <w:spacing w:val="-3"/>
          <w:sz w:val="20"/>
        </w:rPr>
        <w:t> </w:t>
      </w:r>
      <w:r>
        <w:rPr>
          <w:spacing w:val="-4"/>
          <w:sz w:val="20"/>
        </w:rPr>
        <w:t>women</w:t>
      </w:r>
    </w:p>
    <w:p>
      <w:pPr>
        <w:spacing w:after="0"/>
        <w:jc w:val="left"/>
        <w:rPr>
          <w:sz w:val="20"/>
        </w:rPr>
        <w:sectPr>
          <w:pgSz w:w="11910" w:h="16840"/>
          <w:pgMar w:header="0" w:footer="1067" w:top="1060" w:bottom="1260" w:left="880" w:right="640"/>
        </w:sectPr>
      </w:pPr>
    </w:p>
    <w:p>
      <w:pPr>
        <w:pStyle w:val="BodyText"/>
        <w:spacing w:line="480" w:lineRule="auto" w:before="70"/>
        <w:ind w:left="560" w:right="798"/>
        <w:jc w:val="both"/>
      </w:pPr>
      <w:r>
        <w:rPr/>
        <w:t>Table 4.8 showsthe comparison of mean±SD of the influene of gravidity on cytokine levels</w:t>
      </w:r>
      <w:r>
        <w:rPr>
          <w:spacing w:val="80"/>
        </w:rPr>
        <w:t> </w:t>
      </w:r>
      <w:r>
        <w:rPr/>
        <w:t>of malaria infected pregnant women. Groups 1, 2 and 3 represented primigravidae, secondigravidae and multigravidae women respectively. Values were expressed in pg/ml.</w:t>
      </w:r>
    </w:p>
    <w:p>
      <w:pPr>
        <w:pStyle w:val="BodyText"/>
        <w:spacing w:line="480" w:lineRule="auto" w:before="3"/>
        <w:ind w:left="560" w:right="798"/>
        <w:jc w:val="both"/>
      </w:pPr>
      <w:r>
        <w:rPr/>
        <w:t>The mean</w:t>
      </w:r>
      <w:r>
        <w:rPr>
          <w:rFonts w:ascii="Symbol" w:hAnsi="Symbol"/>
        </w:rPr>
        <w:t></w:t>
      </w:r>
      <w:r>
        <w:rPr/>
        <w:t>SD (21.39</w:t>
      </w:r>
      <w:r>
        <w:rPr>
          <w:rFonts w:ascii="Symbol" w:hAnsi="Symbol"/>
        </w:rPr>
        <w:t></w:t>
      </w:r>
      <w:r>
        <w:rPr/>
        <w:t>12.15) of IFN</w:t>
      </w:r>
      <w:r>
        <w:rPr>
          <w:rFonts w:ascii="Symbol" w:hAnsi="Symbol"/>
        </w:rPr>
        <w:t></w:t>
      </w:r>
      <w:r>
        <w:rPr/>
        <w:t> for group 1 was lower and showed no significant difference (P&gt;0.05) than 21.85</w:t>
      </w:r>
      <w:r>
        <w:rPr>
          <w:rFonts w:ascii="Symbol" w:hAnsi="Symbol"/>
        </w:rPr>
        <w:t></w:t>
      </w:r>
      <w:r>
        <w:rPr/>
        <w:t>12.70, 24.92</w:t>
      </w:r>
      <w:r>
        <w:rPr>
          <w:rFonts w:ascii="Symbol" w:hAnsi="Symbol"/>
        </w:rPr>
        <w:t></w:t>
      </w:r>
      <w:r>
        <w:rPr/>
        <w:t>13.14 for groups 2 and 3 women respectively. Similarly,</w:t>
      </w:r>
      <w:r>
        <w:rPr>
          <w:spacing w:val="-1"/>
        </w:rPr>
        <w:t> </w:t>
      </w:r>
      <w:r>
        <w:rPr/>
        <w:t>no</w:t>
      </w:r>
      <w:r>
        <w:rPr>
          <w:spacing w:val="-3"/>
        </w:rPr>
        <w:t> </w:t>
      </w:r>
      <w:r>
        <w:rPr/>
        <w:t>significant</w:t>
      </w:r>
      <w:r>
        <w:rPr>
          <w:spacing w:val="-1"/>
        </w:rPr>
        <w:t> </w:t>
      </w:r>
      <w:r>
        <w:rPr/>
        <w:t>difference</w:t>
      </w:r>
      <w:r>
        <w:rPr>
          <w:spacing w:val="-2"/>
        </w:rPr>
        <w:t> </w:t>
      </w:r>
      <w:r>
        <w:rPr/>
        <w:t>(P&gt;0.05)</w:t>
      </w:r>
      <w:r>
        <w:rPr>
          <w:spacing w:val="-2"/>
        </w:rPr>
        <w:t> </w:t>
      </w:r>
      <w:r>
        <w:rPr/>
        <w:t>existed</w:t>
      </w:r>
      <w:r>
        <w:rPr>
          <w:spacing w:val="-3"/>
        </w:rPr>
        <w:t> </w:t>
      </w:r>
      <w:r>
        <w:rPr/>
        <w:t>between</w:t>
      </w:r>
      <w:r>
        <w:rPr>
          <w:spacing w:val="-3"/>
        </w:rPr>
        <w:t> </w:t>
      </w:r>
      <w:r>
        <w:rPr/>
        <w:t>the IFNγ</w:t>
      </w:r>
      <w:r>
        <w:rPr>
          <w:spacing w:val="-4"/>
        </w:rPr>
        <w:t> </w:t>
      </w:r>
      <w:r>
        <w:rPr/>
        <w:t>levels</w:t>
      </w:r>
      <w:r>
        <w:rPr>
          <w:spacing w:val="-4"/>
        </w:rPr>
        <w:t> </w:t>
      </w:r>
      <w:r>
        <w:rPr/>
        <w:t>of</w:t>
      </w:r>
      <w:r>
        <w:rPr>
          <w:spacing w:val="-3"/>
        </w:rPr>
        <w:t> </w:t>
      </w:r>
      <w:r>
        <w:rPr/>
        <w:t>the</w:t>
      </w:r>
      <w:r>
        <w:rPr>
          <w:spacing w:val="-3"/>
        </w:rPr>
        <w:t> </w:t>
      </w:r>
      <w:r>
        <w:rPr/>
        <w:t>women</w:t>
      </w:r>
      <w:r>
        <w:rPr>
          <w:spacing w:val="-3"/>
        </w:rPr>
        <w:t> </w:t>
      </w:r>
      <w:r>
        <w:rPr/>
        <w:t>in groups 2 and 3.</w:t>
      </w:r>
    </w:p>
    <w:p>
      <w:pPr>
        <w:pStyle w:val="BodyText"/>
        <w:spacing w:line="480" w:lineRule="auto"/>
        <w:ind w:left="560" w:right="796"/>
        <w:jc w:val="both"/>
      </w:pPr>
      <w:r>
        <w:rPr/>
        <w:t>Alsothe mean</w:t>
      </w:r>
      <w:r>
        <w:rPr>
          <w:rFonts w:ascii="Symbol" w:hAnsi="Symbol"/>
        </w:rPr>
        <w:t></w:t>
      </w:r>
      <w:r>
        <w:rPr/>
        <w:t>SD (18.81</w:t>
      </w:r>
      <w:r>
        <w:rPr>
          <w:rFonts w:ascii="Symbol" w:hAnsi="Symbol"/>
        </w:rPr>
        <w:t></w:t>
      </w:r>
      <w:r>
        <w:rPr/>
        <w:t>10.80)of TNF</w:t>
      </w:r>
      <w:r>
        <w:rPr>
          <w:rFonts w:ascii="Symbol" w:hAnsi="Symbol"/>
        </w:rPr>
        <w:t></w:t>
      </w:r>
      <w:r>
        <w:rPr/>
        <w:t>for primigravidae was lower and showed no significant difference(P&gt;0.05) to 20.24</w:t>
      </w:r>
      <w:r>
        <w:rPr>
          <w:rFonts w:ascii="Symbol" w:hAnsi="Symbol"/>
        </w:rPr>
        <w:t></w:t>
      </w:r>
      <w:r>
        <w:rPr/>
        <w:t>12.45 and 23.62</w:t>
      </w:r>
      <w:r>
        <w:rPr>
          <w:rFonts w:ascii="Symbol" w:hAnsi="Symbol"/>
        </w:rPr>
        <w:t></w:t>
      </w:r>
      <w:r>
        <w:rPr/>
        <w:t>13.75 for secondigravide and multigravidae</w:t>
      </w:r>
      <w:r>
        <w:rPr>
          <w:spacing w:val="-1"/>
        </w:rPr>
        <w:t> </w:t>
      </w:r>
      <w:r>
        <w:rPr/>
        <w:t>respectively. Also no significant difference (P&gt;0.05) existed within the groups. With IL-4, mean</w:t>
      </w:r>
      <w:r>
        <w:rPr>
          <w:rFonts w:ascii="Symbol" w:hAnsi="Symbol"/>
        </w:rPr>
        <w:t></w:t>
      </w:r>
      <w:r>
        <w:rPr/>
        <w:t>SD (9.39</w:t>
      </w:r>
      <w:r>
        <w:rPr>
          <w:rFonts w:ascii="Symbol" w:hAnsi="Symbol"/>
        </w:rPr>
        <w:t></w:t>
      </w:r>
      <w:r>
        <w:rPr/>
        <w:t>8.35) for primigravidae was lower and showed no significant difference (P&gt;0.05) to 9.70</w:t>
      </w:r>
      <w:r>
        <w:rPr>
          <w:rFonts w:ascii="Symbol" w:hAnsi="Symbol"/>
        </w:rPr>
        <w:t></w:t>
      </w:r>
      <w:r>
        <w:rPr/>
        <w:t>6.20, 9.88</w:t>
      </w:r>
      <w:r>
        <w:rPr>
          <w:rFonts w:ascii="Symbol" w:hAnsi="Symbol"/>
        </w:rPr>
        <w:t></w:t>
      </w:r>
      <w:r>
        <w:rPr/>
        <w:t>6.37 for secondigravidae and multigravidae respectively.</w:t>
      </w:r>
      <w:r>
        <w:rPr>
          <w:spacing w:val="40"/>
        </w:rPr>
        <w:t> </w:t>
      </w:r>
      <w:r>
        <w:rPr/>
        <w:t>Again no significant difference (P&gt;0.05) existed on comparism within secondigravidae and multigravidae.</w:t>
      </w:r>
    </w:p>
    <w:p>
      <w:pPr>
        <w:pStyle w:val="BodyText"/>
        <w:spacing w:line="480" w:lineRule="auto" w:before="1"/>
        <w:ind w:left="560" w:right="796"/>
        <w:jc w:val="both"/>
      </w:pPr>
      <w:r>
        <w:rPr/>
        <w:t>For IL-6, the mean</w:t>
      </w:r>
      <w:r>
        <w:rPr>
          <w:rFonts w:ascii="Symbol" w:hAnsi="Symbol"/>
        </w:rPr>
        <w:t></w:t>
      </w:r>
      <w:r>
        <w:rPr/>
        <w:t>SD (31.96</w:t>
      </w:r>
      <w:r>
        <w:rPr>
          <w:rFonts w:ascii="Symbol" w:hAnsi="Symbol"/>
        </w:rPr>
        <w:t></w:t>
      </w:r>
      <w:r>
        <w:rPr/>
        <w:t>29.76) for primigravidae showed no significant difference (P&gt;0.05) when compared with 30.79</w:t>
      </w:r>
      <w:r>
        <w:rPr>
          <w:rFonts w:ascii="Symbol" w:hAnsi="Symbol"/>
        </w:rPr>
        <w:t></w:t>
      </w:r>
      <w:r>
        <w:rPr/>
        <w:t>25.85 and 33.01</w:t>
      </w:r>
      <w:r>
        <w:rPr>
          <w:rFonts w:ascii="Symbol" w:hAnsi="Symbol"/>
        </w:rPr>
        <w:t></w:t>
      </w:r>
      <w:r>
        <w:rPr/>
        <w:t>27.87 for secondigravidae and multigravidae respectively. Also no significant difference (P&gt;0.05) existed when compared with each other.</w:t>
      </w:r>
    </w:p>
    <w:p>
      <w:pPr>
        <w:pStyle w:val="BodyText"/>
        <w:spacing w:line="480" w:lineRule="auto"/>
        <w:ind w:left="560" w:right="798"/>
        <w:jc w:val="both"/>
      </w:pPr>
      <w:r>
        <w:rPr/>
        <w:t>Themean</w:t>
      </w:r>
      <w:r>
        <w:rPr>
          <w:rFonts w:ascii="Symbol" w:hAnsi="Symbol"/>
        </w:rPr>
        <w:t></w:t>
      </w:r>
      <w:r>
        <w:rPr/>
        <w:t>SD(28.576</w:t>
      </w:r>
      <w:r>
        <w:rPr>
          <w:rFonts w:ascii="Symbol" w:hAnsi="Symbol"/>
        </w:rPr>
        <w:t></w:t>
      </w:r>
      <w:r>
        <w:rPr/>
        <w:t>25.142)of IL-10for primigravidae was lower when compared to 34.82</w:t>
      </w:r>
      <w:r>
        <w:rPr>
          <w:rFonts w:ascii="Symbol" w:hAnsi="Symbol"/>
        </w:rPr>
        <w:t></w:t>
      </w:r>
      <w:r>
        <w:rPr/>
        <w:t>28.49 and 41.11±31.09 for secondigravidae and multigravidae respectively. Comparison within and between the groups showed no statistical significance.</w:t>
      </w:r>
    </w:p>
    <w:p>
      <w:pPr>
        <w:pStyle w:val="BodyText"/>
        <w:spacing w:line="274" w:lineRule="exact"/>
        <w:ind w:left="560"/>
        <w:jc w:val="both"/>
      </w:pPr>
      <w:r>
        <w:rPr/>
        <w:t>(See</w:t>
      </w:r>
      <w:r>
        <w:rPr>
          <w:spacing w:val="-5"/>
        </w:rPr>
        <w:t> </w:t>
      </w:r>
      <w:r>
        <w:rPr/>
        <w:t>appendix</w:t>
      </w:r>
      <w:r>
        <w:rPr>
          <w:spacing w:val="4"/>
        </w:rPr>
        <w:t> </w:t>
      </w:r>
      <w:r>
        <w:rPr>
          <w:spacing w:val="-4"/>
        </w:rPr>
        <w:t>IIIc)</w:t>
      </w:r>
    </w:p>
    <w:p>
      <w:pPr>
        <w:pStyle w:val="BodyText"/>
      </w:pPr>
    </w:p>
    <w:p>
      <w:pPr>
        <w:pStyle w:val="BodyText"/>
        <w:spacing w:line="480" w:lineRule="auto" w:before="1"/>
        <w:ind w:left="560" w:right="796"/>
        <w:jc w:val="both"/>
      </w:pPr>
      <w:r>
        <w:rPr/>
        <w:t>Table 4.9 shows comparison of mean±SD of cytokine levels and leucocyte count of infected pregnant women based on parasite count. Values of cytokines were expressed in pg/ml, total leucocyte</w:t>
      </w:r>
      <w:r>
        <w:rPr>
          <w:spacing w:val="28"/>
        </w:rPr>
        <w:t> </w:t>
      </w:r>
      <w:r>
        <w:rPr/>
        <w:t>count</w:t>
      </w:r>
      <w:r>
        <w:rPr>
          <w:spacing w:val="28"/>
        </w:rPr>
        <w:t> </w:t>
      </w:r>
      <w:r>
        <w:rPr/>
        <w:t>and</w:t>
      </w:r>
      <w:r>
        <w:rPr>
          <w:spacing w:val="27"/>
        </w:rPr>
        <w:t> </w:t>
      </w:r>
      <w:r>
        <w:rPr/>
        <w:t>differential</w:t>
      </w:r>
      <w:r>
        <w:rPr>
          <w:spacing w:val="27"/>
        </w:rPr>
        <w:t> </w:t>
      </w:r>
      <w:r>
        <w:rPr/>
        <w:t>leucocyte</w:t>
      </w:r>
      <w:r>
        <w:rPr>
          <w:spacing w:val="29"/>
        </w:rPr>
        <w:t> </w:t>
      </w:r>
      <w:r>
        <w:rPr/>
        <w:t>count</w:t>
      </w:r>
      <w:r>
        <w:rPr>
          <w:spacing w:val="28"/>
        </w:rPr>
        <w:t> </w:t>
      </w:r>
      <w:r>
        <w:rPr/>
        <w:t>in</w:t>
      </w:r>
      <w:r>
        <w:rPr>
          <w:spacing w:val="31"/>
        </w:rPr>
        <w:t> </w:t>
      </w:r>
      <w:r>
        <w:rPr/>
        <w:t>Absolute</w:t>
      </w:r>
      <w:r>
        <w:rPr>
          <w:spacing w:val="26"/>
        </w:rPr>
        <w:t> </w:t>
      </w:r>
      <w:r>
        <w:rPr/>
        <w:t>Values</w:t>
      </w:r>
      <w:r>
        <w:rPr>
          <w:spacing w:val="27"/>
        </w:rPr>
        <w:t> </w:t>
      </w:r>
      <w:r>
        <w:rPr/>
        <w:t>(×10</w:t>
      </w:r>
      <w:r>
        <w:rPr>
          <w:vertAlign w:val="superscript"/>
        </w:rPr>
        <w:t>9</w:t>
      </w:r>
      <w:r>
        <w:rPr>
          <w:vertAlign w:val="baseline"/>
        </w:rPr>
        <w:t>/l).Parasite</w:t>
      </w:r>
      <w:r>
        <w:rPr>
          <w:spacing w:val="26"/>
          <w:vertAlign w:val="baseline"/>
        </w:rPr>
        <w:t> </w:t>
      </w:r>
      <w:r>
        <w:rPr>
          <w:spacing w:val="-2"/>
          <w:vertAlign w:val="baseline"/>
        </w:rPr>
        <w:t>count</w:t>
      </w:r>
    </w:p>
    <w:p>
      <w:pPr>
        <w:spacing w:after="0" w:line="480" w:lineRule="auto"/>
        <w:jc w:val="both"/>
        <w:sectPr>
          <w:pgSz w:w="11910" w:h="16840"/>
          <w:pgMar w:header="0" w:footer="1067" w:top="1060" w:bottom="1260" w:left="880" w:right="640"/>
        </w:sectPr>
      </w:pPr>
    </w:p>
    <w:p>
      <w:pPr>
        <w:pStyle w:val="BodyText"/>
        <w:spacing w:line="477" w:lineRule="auto" w:before="72"/>
        <w:ind w:left="560" w:right="798"/>
        <w:jc w:val="both"/>
      </w:pPr>
      <w:r>
        <w:rPr/>
        <w:t>was classified as mild (&lt;999parasite/</w:t>
      </w:r>
      <w:r>
        <w:rPr>
          <w:rFonts w:ascii="Symbol" w:hAnsi="Symbol"/>
        </w:rPr>
        <w:t></w:t>
      </w:r>
      <w:r>
        <w:rPr/>
        <w:t>l) and moderate (1,000-10,000parasite/</w:t>
      </w:r>
      <w:r>
        <w:rPr>
          <w:rFonts w:ascii="Symbol" w:hAnsi="Symbol"/>
        </w:rPr>
        <w:t></w:t>
      </w:r>
      <w:r>
        <w:rPr/>
        <w:t>l)</w:t>
      </w:r>
      <w:r>
        <w:rPr>
          <w:spacing w:val="80"/>
        </w:rPr>
        <w:t> </w:t>
      </w:r>
      <w:r>
        <w:rPr>
          <w:spacing w:val="-2"/>
        </w:rPr>
        <w:t>parasitaemia.</w:t>
      </w:r>
    </w:p>
    <w:p>
      <w:pPr>
        <w:pStyle w:val="BodyText"/>
        <w:spacing w:line="480" w:lineRule="auto" w:before="6"/>
        <w:ind w:left="560" w:right="800"/>
        <w:jc w:val="both"/>
      </w:pPr>
      <w:r>
        <w:rPr/>
        <w:t>The mean</w:t>
      </w:r>
      <w:r>
        <w:rPr>
          <w:rFonts w:ascii="Symbol" w:hAnsi="Symbol"/>
        </w:rPr>
        <w:t></w:t>
      </w:r>
      <w:r>
        <w:rPr/>
        <w:t>SD (21.31</w:t>
      </w:r>
      <w:r>
        <w:rPr>
          <w:rFonts w:ascii="Symbol" w:hAnsi="Symbol"/>
        </w:rPr>
        <w:t></w:t>
      </w:r>
      <w:r>
        <w:rPr/>
        <w:t>11.74) level for IFN</w:t>
      </w:r>
      <w:r>
        <w:rPr>
          <w:rFonts w:ascii="Symbol" w:hAnsi="Symbol"/>
        </w:rPr>
        <w:t></w:t>
      </w:r>
      <w:r>
        <w:rPr/>
        <w:t>was significantly (P&lt;0.05) lower in mild parasitaemia than 29.14</w:t>
      </w:r>
      <w:r>
        <w:rPr>
          <w:rFonts w:ascii="Symbol" w:hAnsi="Symbol"/>
        </w:rPr>
        <w:t></w:t>
      </w:r>
      <w:r>
        <w:rPr/>
        <w:t>14.48 for moderate parasitaemia.</w:t>
      </w:r>
    </w:p>
    <w:p>
      <w:pPr>
        <w:pStyle w:val="BodyText"/>
        <w:spacing w:line="480" w:lineRule="auto"/>
        <w:ind w:left="560" w:right="799"/>
        <w:jc w:val="both"/>
      </w:pPr>
      <w:r>
        <w:rPr/>
        <w:t>The mean</w:t>
      </w:r>
      <w:r>
        <w:rPr>
          <w:rFonts w:ascii="Symbol" w:hAnsi="Symbol"/>
        </w:rPr>
        <w:t></w:t>
      </w:r>
      <w:r>
        <w:rPr/>
        <w:t>SD (20.20</w:t>
      </w:r>
      <w:r>
        <w:rPr>
          <w:rFonts w:ascii="Symbol" w:hAnsi="Symbol"/>
        </w:rPr>
        <w:t></w:t>
      </w:r>
      <w:r>
        <w:rPr/>
        <w:t>12.30)level for TNF</w:t>
      </w:r>
      <w:r>
        <w:rPr>
          <w:rFonts w:ascii="Symbol" w:hAnsi="Symbol"/>
        </w:rPr>
        <w:t></w:t>
      </w:r>
      <w:r>
        <w:rPr/>
        <w:t> showed no significant (p&gt;0.05) difference to 24.62</w:t>
      </w:r>
      <w:r>
        <w:rPr>
          <w:rFonts w:ascii="Symbol" w:hAnsi="Symbol"/>
        </w:rPr>
        <w:t></w:t>
      </w:r>
      <w:r>
        <w:rPr/>
        <w:t>13.19 for moderate parasitaemia.</w:t>
      </w:r>
    </w:p>
    <w:p>
      <w:pPr>
        <w:pStyle w:val="BodyText"/>
        <w:spacing w:line="480" w:lineRule="auto" w:before="1"/>
        <w:ind w:left="560" w:right="802"/>
        <w:jc w:val="both"/>
      </w:pPr>
      <w:r>
        <w:rPr/>
        <w:t>For IL-4, the mean</w:t>
      </w:r>
      <w:r>
        <w:rPr>
          <w:rFonts w:ascii="Symbol" w:hAnsi="Symbol"/>
        </w:rPr>
        <w:t></w:t>
      </w:r>
      <w:r>
        <w:rPr/>
        <w:t>SD (9.42</w:t>
      </w:r>
      <w:r>
        <w:rPr>
          <w:rFonts w:ascii="Symbol" w:hAnsi="Symbol"/>
        </w:rPr>
        <w:t></w:t>
      </w:r>
      <w:r>
        <w:rPr/>
        <w:t>7.08)for mild parasitaemia showed no significant difference (P&gt;0.05) to 10.58</w:t>
      </w:r>
      <w:r>
        <w:rPr>
          <w:rFonts w:ascii="Symbol" w:hAnsi="Symbol"/>
        </w:rPr>
        <w:t></w:t>
      </w:r>
      <w:r>
        <w:rPr/>
        <w:t>6.99 for moderate parasitaemia.</w:t>
      </w:r>
    </w:p>
    <w:p>
      <w:pPr>
        <w:pStyle w:val="BodyText"/>
        <w:spacing w:line="480" w:lineRule="auto"/>
        <w:ind w:left="560" w:right="799"/>
        <w:jc w:val="both"/>
      </w:pPr>
      <w:r>
        <w:rPr/>
        <w:t>However, mean</w:t>
      </w:r>
      <w:r>
        <w:rPr>
          <w:rFonts w:ascii="Symbol" w:hAnsi="Symbol"/>
        </w:rPr>
        <w:t></w:t>
      </w:r>
      <w:r>
        <w:rPr/>
        <w:t>SD (28.00</w:t>
      </w:r>
      <w:r>
        <w:rPr>
          <w:rFonts w:ascii="Symbol" w:hAnsi="Symbol"/>
        </w:rPr>
        <w:t></w:t>
      </w:r>
      <w:r>
        <w:rPr/>
        <w:t>24.77)of IL-6for mild parasitaemia was significantly (P&lt;0.05) lower than 47.72</w:t>
      </w:r>
      <w:r>
        <w:rPr>
          <w:rFonts w:ascii="Symbol" w:hAnsi="Symbol"/>
        </w:rPr>
        <w:t></w:t>
      </w:r>
      <w:r>
        <w:rPr/>
        <w:t>33.71 for moderate parasitaemia.</w:t>
      </w:r>
    </w:p>
    <w:p>
      <w:pPr>
        <w:pStyle w:val="BodyText"/>
        <w:spacing w:line="480" w:lineRule="auto"/>
        <w:ind w:left="560" w:right="796"/>
        <w:jc w:val="both"/>
      </w:pPr>
      <w:r>
        <w:rPr/>
        <w:t>The mean</w:t>
      </w:r>
      <w:r>
        <w:rPr>
          <w:rFonts w:ascii="Symbol" w:hAnsi="Symbol"/>
        </w:rPr>
        <w:t></w:t>
      </w:r>
      <w:r>
        <w:rPr/>
        <w:t>SD (31.95</w:t>
      </w:r>
      <w:r>
        <w:rPr>
          <w:rFonts w:ascii="Symbol" w:hAnsi="Symbol"/>
        </w:rPr>
        <w:t></w:t>
      </w:r>
      <w:r>
        <w:rPr/>
        <w:t>26.27)value of IL-10 for mild parasitaemia was lower than 47.49</w:t>
      </w:r>
      <w:r>
        <w:rPr>
          <w:rFonts w:ascii="Symbol" w:hAnsi="Symbol"/>
        </w:rPr>
        <w:t></w:t>
      </w:r>
      <w:r>
        <w:rPr/>
        <w:t>34.77 for moderate parasitaemia however, it showed no significant difference at </w:t>
      </w:r>
      <w:r>
        <w:rPr>
          <w:spacing w:val="-2"/>
        </w:rPr>
        <w:t>P&gt;0.05.</w:t>
      </w:r>
    </w:p>
    <w:p>
      <w:pPr>
        <w:pStyle w:val="BodyText"/>
        <w:spacing w:line="480" w:lineRule="auto"/>
        <w:ind w:left="560" w:right="791"/>
        <w:jc w:val="both"/>
      </w:pPr>
      <w:r>
        <w:rPr/>
        <w:t>The the mean</w:t>
      </w:r>
      <w:r>
        <w:rPr>
          <w:rFonts w:ascii="Symbol" w:hAnsi="Symbol"/>
        </w:rPr>
        <w:t></w:t>
      </w:r>
      <w:r>
        <w:rPr/>
        <w:t>SD(7.0</w:t>
      </w:r>
      <w:r>
        <w:rPr>
          <w:rFonts w:ascii="Symbol" w:hAnsi="Symbol"/>
        </w:rPr>
        <w:t></w:t>
      </w:r>
      <w:r>
        <w:rPr/>
        <w:t>2.06)total leucocyte count for mild parasitaemia was significantly (P&lt;0.05) lower than 8.0</w:t>
      </w:r>
      <w:r>
        <w:rPr>
          <w:rFonts w:ascii="Symbol" w:hAnsi="Symbol"/>
        </w:rPr>
        <w:t></w:t>
      </w:r>
      <w:r>
        <w:rPr/>
        <w:t>1.68 for moderate parasitaemia.</w:t>
      </w:r>
    </w:p>
    <w:p>
      <w:pPr>
        <w:pStyle w:val="BodyText"/>
        <w:ind w:left="560"/>
        <w:jc w:val="both"/>
      </w:pPr>
      <w:r>
        <w:rPr/>
        <w:t>The</w:t>
      </w:r>
      <w:r>
        <w:rPr>
          <w:spacing w:val="32"/>
        </w:rPr>
        <w:t> </w:t>
      </w:r>
      <w:r>
        <w:rPr/>
        <w:t>mean</w:t>
      </w:r>
      <w:r>
        <w:rPr>
          <w:rFonts w:ascii="Symbol" w:hAnsi="Symbol"/>
        </w:rPr>
        <w:t></w:t>
      </w:r>
      <w:r>
        <w:rPr/>
        <w:t>SD</w:t>
      </w:r>
      <w:r>
        <w:rPr>
          <w:spacing w:val="33"/>
        </w:rPr>
        <w:t> </w:t>
      </w:r>
      <w:r>
        <w:rPr/>
        <w:t>(2.3</w:t>
      </w:r>
      <w:r>
        <w:rPr>
          <w:rFonts w:ascii="Symbol" w:hAnsi="Symbol"/>
        </w:rPr>
        <w:t></w:t>
      </w:r>
      <w:r>
        <w:rPr/>
        <w:t>0.79)oflymphocyte</w:t>
      </w:r>
      <w:r>
        <w:rPr>
          <w:spacing w:val="34"/>
        </w:rPr>
        <w:t> </w:t>
      </w:r>
      <w:r>
        <w:rPr/>
        <w:t>count</w:t>
      </w:r>
      <w:r>
        <w:rPr>
          <w:spacing w:val="34"/>
        </w:rPr>
        <w:t> </w:t>
      </w:r>
      <w:r>
        <w:rPr/>
        <w:t>for</w:t>
      </w:r>
      <w:r>
        <w:rPr>
          <w:spacing w:val="35"/>
        </w:rPr>
        <w:t> </w:t>
      </w:r>
      <w:r>
        <w:rPr/>
        <w:t>mild</w:t>
      </w:r>
      <w:r>
        <w:rPr>
          <w:spacing w:val="34"/>
        </w:rPr>
        <w:t> </w:t>
      </w:r>
      <w:r>
        <w:rPr/>
        <w:t>parasitaemia</w:t>
      </w:r>
      <w:r>
        <w:rPr>
          <w:spacing w:val="35"/>
        </w:rPr>
        <w:t> </w:t>
      </w:r>
      <w:r>
        <w:rPr/>
        <w:t>was</w:t>
      </w:r>
      <w:r>
        <w:rPr>
          <w:spacing w:val="34"/>
        </w:rPr>
        <w:t> </w:t>
      </w:r>
      <w:r>
        <w:rPr/>
        <w:t>not</w:t>
      </w:r>
      <w:r>
        <w:rPr>
          <w:spacing w:val="34"/>
        </w:rPr>
        <w:t> </w:t>
      </w:r>
      <w:r>
        <w:rPr/>
        <w:t>different</w:t>
      </w:r>
      <w:r>
        <w:rPr>
          <w:spacing w:val="35"/>
        </w:rPr>
        <w:t> </w:t>
      </w:r>
      <w:r>
        <w:rPr>
          <w:spacing w:val="-4"/>
        </w:rPr>
        <w:t>with</w:t>
      </w:r>
    </w:p>
    <w:p>
      <w:pPr>
        <w:pStyle w:val="BodyText"/>
        <w:spacing w:before="17"/>
      </w:pPr>
    </w:p>
    <w:p>
      <w:pPr>
        <w:pStyle w:val="BodyText"/>
        <w:spacing w:before="1"/>
        <w:ind w:left="560"/>
        <w:jc w:val="both"/>
      </w:pPr>
      <w:r>
        <w:rPr/>
        <w:t>2.3</w:t>
      </w:r>
      <w:r>
        <w:rPr>
          <w:rFonts w:ascii="Symbol" w:hAnsi="Symbol"/>
        </w:rPr>
        <w:t></w:t>
      </w:r>
      <w:r>
        <w:rPr/>
        <w:t>0.69</w:t>
      </w:r>
      <w:r>
        <w:rPr>
          <w:spacing w:val="-2"/>
        </w:rPr>
        <w:t> </w:t>
      </w:r>
      <w:r>
        <w:rPr/>
        <w:t>for</w:t>
      </w:r>
      <w:r>
        <w:rPr>
          <w:spacing w:val="-2"/>
        </w:rPr>
        <w:t> </w:t>
      </w:r>
      <w:r>
        <w:rPr/>
        <w:t>moderate</w:t>
      </w:r>
      <w:r>
        <w:rPr>
          <w:spacing w:val="-1"/>
        </w:rPr>
        <w:t> </w:t>
      </w:r>
      <w:r>
        <w:rPr>
          <w:spacing w:val="-2"/>
        </w:rPr>
        <w:t>parasitaemia.</w:t>
      </w:r>
    </w:p>
    <w:p>
      <w:pPr>
        <w:pStyle w:val="BodyText"/>
        <w:spacing w:before="18"/>
      </w:pPr>
    </w:p>
    <w:p>
      <w:pPr>
        <w:pStyle w:val="BodyText"/>
        <w:spacing w:line="480" w:lineRule="auto"/>
        <w:ind w:left="560" w:right="801"/>
        <w:jc w:val="both"/>
      </w:pPr>
      <w:r>
        <w:rPr/>
        <w:t>The mean</w:t>
      </w:r>
      <w:r>
        <w:rPr>
          <w:rFonts w:ascii="Symbol" w:hAnsi="Symbol"/>
        </w:rPr>
        <w:t></w:t>
      </w:r>
      <w:r>
        <w:rPr/>
        <w:t>SD (3.8</w:t>
      </w:r>
      <w:r>
        <w:rPr>
          <w:rFonts w:ascii="Symbol" w:hAnsi="Symbol"/>
        </w:rPr>
        <w:t></w:t>
      </w:r>
      <w:r>
        <w:rPr/>
        <w:t>0.95)of neutrophil count blood level for mild parasitaemia was</w:t>
      </w:r>
      <w:r>
        <w:rPr>
          <w:spacing w:val="40"/>
        </w:rPr>
        <w:t> </w:t>
      </w:r>
      <w:r>
        <w:rPr/>
        <w:t>significant (P&lt;0.05) lower than 4.7</w:t>
      </w:r>
      <w:r>
        <w:rPr>
          <w:rFonts w:ascii="Symbol" w:hAnsi="Symbol"/>
        </w:rPr>
        <w:t></w:t>
      </w:r>
      <w:r>
        <w:rPr/>
        <w:t>0.76 of neutrophil countfor moderate parasitaemia.</w:t>
      </w:r>
    </w:p>
    <w:p>
      <w:pPr>
        <w:pStyle w:val="BodyText"/>
        <w:spacing w:line="480" w:lineRule="auto"/>
        <w:ind w:left="560" w:right="798"/>
        <w:jc w:val="both"/>
      </w:pPr>
      <w:r>
        <w:rPr/>
        <w:t>Furthermore,mixeddifferential leucocytecount of 0.9</w:t>
      </w:r>
      <w:r>
        <w:rPr>
          <w:rFonts w:ascii="Symbol" w:hAnsi="Symbol"/>
        </w:rPr>
        <w:t></w:t>
      </w:r>
      <w:r>
        <w:rPr/>
        <w:t>0.42 for mild parasitaemia was higher but showed no significant difference (P&gt;0.05) when compared with 1.0</w:t>
      </w:r>
      <w:r>
        <w:rPr>
          <w:rFonts w:ascii="Symbol" w:hAnsi="Symbol"/>
        </w:rPr>
        <w:t></w:t>
      </w:r>
      <w:r>
        <w:rPr/>
        <w:t>0.40 for moderate </w:t>
      </w:r>
      <w:r>
        <w:rPr>
          <w:spacing w:val="-2"/>
        </w:rPr>
        <w:t>parasitaemia.</w:t>
      </w:r>
    </w:p>
    <w:p>
      <w:pPr>
        <w:spacing w:after="0" w:line="480" w:lineRule="auto"/>
        <w:jc w:val="both"/>
        <w:sectPr>
          <w:pgSz w:w="11910" w:h="16840"/>
          <w:pgMar w:header="0" w:footer="1067" w:top="1060" w:bottom="1260" w:left="880" w:right="640"/>
        </w:sectPr>
      </w:pPr>
    </w:p>
    <w:p>
      <w:pPr>
        <w:pStyle w:val="Heading2"/>
        <w:spacing w:before="75"/>
        <w:ind w:left="1640" w:right="795" w:hanging="1080"/>
      </w:pPr>
      <w:r>
        <w:rPr/>
        <w:t>TABLE 4.9: COMPARISON OF MEAN ± SD OF CYTOKINE LEVELS AND LEUCOCYTE</w:t>
      </w:r>
      <w:r>
        <w:rPr>
          <w:spacing w:val="-6"/>
        </w:rPr>
        <w:t> </w:t>
      </w:r>
      <w:r>
        <w:rPr/>
        <w:t>COUNT</w:t>
      </w:r>
      <w:r>
        <w:rPr>
          <w:spacing w:val="-6"/>
        </w:rPr>
        <w:t> </w:t>
      </w:r>
      <w:r>
        <w:rPr/>
        <w:t>OF</w:t>
      </w:r>
      <w:r>
        <w:rPr>
          <w:spacing w:val="-6"/>
        </w:rPr>
        <w:t> </w:t>
      </w:r>
      <w:r>
        <w:rPr/>
        <w:t>INFECTED</w:t>
      </w:r>
      <w:r>
        <w:rPr>
          <w:spacing w:val="-6"/>
        </w:rPr>
        <w:t> </w:t>
      </w:r>
      <w:r>
        <w:rPr/>
        <w:t>PREGNANT</w:t>
      </w:r>
      <w:r>
        <w:rPr>
          <w:spacing w:val="-6"/>
        </w:rPr>
        <w:t> </w:t>
      </w:r>
      <w:r>
        <w:rPr/>
        <w:t>WOMEN</w:t>
      </w:r>
      <w:r>
        <w:rPr>
          <w:spacing w:val="-6"/>
        </w:rPr>
        <w:t> </w:t>
      </w:r>
      <w:r>
        <w:rPr/>
        <w:t>BASE</w:t>
      </w:r>
      <w:r>
        <w:rPr>
          <w:spacing w:val="-6"/>
        </w:rPr>
        <w:t> </w:t>
      </w:r>
      <w:r>
        <w:rPr/>
        <w:t>ON PARASITE COUNT.</w:t>
      </w:r>
    </w:p>
    <w:p>
      <w:pPr>
        <w:pStyle w:val="BodyText"/>
        <w:spacing w:before="49" w:after="1"/>
        <w:rPr>
          <w:b/>
          <w:sz w:val="20"/>
        </w:rPr>
      </w:pPr>
    </w:p>
    <w:tbl>
      <w:tblPr>
        <w:tblW w:w="0" w:type="auto"/>
        <w:jc w:val="left"/>
        <w:tblInd w:w="1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0"/>
        <w:gridCol w:w="2052"/>
        <w:gridCol w:w="2682"/>
        <w:gridCol w:w="1672"/>
      </w:tblGrid>
      <w:tr>
        <w:trPr>
          <w:trHeight w:val="1074" w:hRule="atLeast"/>
        </w:trPr>
        <w:tc>
          <w:tcPr>
            <w:tcW w:w="2110" w:type="dxa"/>
            <w:tcBorders>
              <w:top w:val="single" w:sz="8" w:space="0" w:color="000000"/>
              <w:bottom w:val="single" w:sz="8" w:space="0" w:color="000000"/>
            </w:tcBorders>
          </w:tcPr>
          <w:p>
            <w:pPr>
              <w:pStyle w:val="TableParagraph"/>
              <w:spacing w:line="265" w:lineRule="exact"/>
              <w:ind w:left="9" w:right="33"/>
              <w:rPr>
                <w:rFonts w:ascii="Calibri"/>
                <w:b/>
                <w:sz w:val="22"/>
              </w:rPr>
            </w:pPr>
            <w:r>
              <w:rPr>
                <w:rFonts w:ascii="Calibri"/>
                <w:b/>
                <w:spacing w:val="-2"/>
                <w:sz w:val="22"/>
              </w:rPr>
              <w:t>PARAMETERS</w:t>
            </w:r>
          </w:p>
        </w:tc>
        <w:tc>
          <w:tcPr>
            <w:tcW w:w="2052" w:type="dxa"/>
            <w:tcBorders>
              <w:top w:val="single" w:sz="8" w:space="0" w:color="000000"/>
              <w:bottom w:val="single" w:sz="8" w:space="0" w:color="000000"/>
            </w:tcBorders>
          </w:tcPr>
          <w:p>
            <w:pPr>
              <w:pStyle w:val="TableParagraph"/>
              <w:ind w:left="210" w:right="212"/>
              <w:rPr>
                <w:rFonts w:ascii="Calibri"/>
                <w:b/>
                <w:sz w:val="22"/>
              </w:rPr>
            </w:pPr>
            <w:r>
              <w:rPr>
                <w:rFonts w:ascii="Calibri"/>
                <w:b/>
                <w:spacing w:val="-4"/>
                <w:sz w:val="22"/>
              </w:rPr>
              <w:t>MILD </w:t>
            </w:r>
            <w:r>
              <w:rPr>
                <w:rFonts w:ascii="Calibri"/>
                <w:b/>
                <w:spacing w:val="-2"/>
                <w:sz w:val="22"/>
              </w:rPr>
              <w:t>PARASITAEMIA</w:t>
            </w:r>
          </w:p>
          <w:p>
            <w:pPr>
              <w:pStyle w:val="TableParagraph"/>
              <w:spacing w:line="270" w:lineRule="atLeast"/>
              <w:ind w:left="210" w:right="207"/>
              <w:rPr>
                <w:rFonts w:ascii="Calibri"/>
                <w:b/>
                <w:sz w:val="22"/>
              </w:rPr>
            </w:pPr>
            <w:r>
              <w:rPr>
                <w:rFonts w:ascii="Calibri"/>
                <w:b/>
                <w:spacing w:val="-2"/>
                <w:sz w:val="22"/>
              </w:rPr>
              <w:t>(&lt;999parasite/ul) </w:t>
            </w:r>
            <w:r>
              <w:rPr>
                <w:rFonts w:ascii="Calibri"/>
                <w:b/>
                <w:sz w:val="22"/>
              </w:rPr>
              <w:t>n = 114</w:t>
            </w:r>
          </w:p>
        </w:tc>
        <w:tc>
          <w:tcPr>
            <w:tcW w:w="2682" w:type="dxa"/>
            <w:tcBorders>
              <w:top w:val="single" w:sz="8" w:space="0" w:color="000000"/>
              <w:bottom w:val="single" w:sz="8" w:space="0" w:color="000000"/>
            </w:tcBorders>
          </w:tcPr>
          <w:p>
            <w:pPr>
              <w:pStyle w:val="TableParagraph"/>
              <w:ind w:left="228" w:right="355" w:hanging="5"/>
              <w:rPr>
                <w:rFonts w:ascii="Calibri"/>
                <w:b/>
                <w:sz w:val="22"/>
              </w:rPr>
            </w:pPr>
            <w:r>
              <w:rPr>
                <w:rFonts w:ascii="Calibri"/>
                <w:b/>
                <w:spacing w:val="-2"/>
                <w:sz w:val="22"/>
              </w:rPr>
              <w:t>MODERATE </w:t>
            </w:r>
            <w:r>
              <w:rPr>
                <w:rFonts w:ascii="Calibri"/>
                <w:b/>
                <w:sz w:val="22"/>
              </w:rPr>
              <w:t>PARASITAEMIA</w:t>
            </w:r>
            <w:r>
              <w:rPr>
                <w:rFonts w:ascii="Calibri"/>
                <w:b/>
                <w:spacing w:val="-13"/>
                <w:sz w:val="22"/>
              </w:rPr>
              <w:t> </w:t>
            </w:r>
            <w:r>
              <w:rPr>
                <w:rFonts w:ascii="Calibri"/>
                <w:b/>
                <w:sz w:val="22"/>
              </w:rPr>
              <w:t>(1,000-</w:t>
            </w:r>
          </w:p>
          <w:p>
            <w:pPr>
              <w:pStyle w:val="TableParagraph"/>
              <w:spacing w:line="270" w:lineRule="atLeast"/>
              <w:ind w:left="427" w:right="559"/>
              <w:rPr>
                <w:rFonts w:ascii="Calibri"/>
                <w:b/>
                <w:sz w:val="22"/>
              </w:rPr>
            </w:pPr>
            <w:r>
              <w:rPr>
                <w:rFonts w:ascii="Calibri"/>
                <w:b/>
                <w:spacing w:val="-2"/>
                <w:sz w:val="22"/>
              </w:rPr>
              <w:t>10,000parasite/ul) </w:t>
            </w:r>
            <w:r>
              <w:rPr>
                <w:rFonts w:ascii="Calibri"/>
                <w:b/>
                <w:sz w:val="22"/>
              </w:rPr>
              <w:t>n = 30</w:t>
            </w:r>
          </w:p>
        </w:tc>
        <w:tc>
          <w:tcPr>
            <w:tcW w:w="1672" w:type="dxa"/>
            <w:tcBorders>
              <w:top w:val="single" w:sz="8" w:space="0" w:color="000000"/>
              <w:bottom w:val="single" w:sz="8" w:space="0" w:color="000000"/>
            </w:tcBorders>
          </w:tcPr>
          <w:p>
            <w:pPr>
              <w:pStyle w:val="TableParagraph"/>
              <w:spacing w:line="265" w:lineRule="exact"/>
              <w:ind w:right="166"/>
              <w:rPr>
                <w:rFonts w:ascii="Calibri"/>
                <w:b/>
                <w:sz w:val="22"/>
              </w:rPr>
            </w:pPr>
            <w:r>
              <w:rPr>
                <w:rFonts w:ascii="Calibri"/>
                <w:b/>
                <w:spacing w:val="-2"/>
                <w:sz w:val="22"/>
              </w:rPr>
              <w:t>P-Values</w:t>
            </w:r>
          </w:p>
        </w:tc>
      </w:tr>
      <w:tr>
        <w:trPr>
          <w:trHeight w:val="409" w:hRule="atLeast"/>
        </w:trPr>
        <w:tc>
          <w:tcPr>
            <w:tcW w:w="2110" w:type="dxa"/>
            <w:tcBorders>
              <w:top w:val="single" w:sz="8" w:space="0" w:color="000000"/>
            </w:tcBorders>
          </w:tcPr>
          <w:p>
            <w:pPr>
              <w:pStyle w:val="TableParagraph"/>
              <w:spacing w:before="73"/>
              <w:ind w:left="5" w:right="33"/>
              <w:rPr>
                <w:rFonts w:ascii="Calibri" w:hAnsi="Calibri"/>
                <w:b/>
                <w:sz w:val="20"/>
              </w:rPr>
            </w:pPr>
            <w:r>
              <w:rPr>
                <w:rFonts w:ascii="Calibri" w:hAnsi="Calibri"/>
                <w:b/>
                <w:sz w:val="20"/>
              </w:rPr>
              <w:t>IFNγ</w:t>
            </w:r>
            <w:r>
              <w:rPr>
                <w:rFonts w:ascii="Calibri" w:hAnsi="Calibri"/>
                <w:b/>
                <w:spacing w:val="-4"/>
                <w:sz w:val="20"/>
              </w:rPr>
              <w:t> </w:t>
            </w:r>
            <w:r>
              <w:rPr>
                <w:rFonts w:ascii="Calibri" w:hAnsi="Calibri"/>
                <w:b/>
                <w:spacing w:val="-2"/>
                <w:sz w:val="20"/>
              </w:rPr>
              <w:t>(pg/ml)</w:t>
            </w:r>
          </w:p>
        </w:tc>
        <w:tc>
          <w:tcPr>
            <w:tcW w:w="2052" w:type="dxa"/>
            <w:tcBorders>
              <w:top w:val="single" w:sz="8" w:space="0" w:color="000000"/>
            </w:tcBorders>
          </w:tcPr>
          <w:p>
            <w:pPr>
              <w:pStyle w:val="TableParagraph"/>
              <w:spacing w:before="22"/>
              <w:ind w:left="326"/>
              <w:jc w:val="left"/>
              <w:rPr>
                <w:rFonts w:ascii="Calibri" w:hAnsi="Calibri"/>
                <w:sz w:val="24"/>
              </w:rPr>
            </w:pPr>
            <w:r>
              <w:rPr>
                <w:rFonts w:ascii="Calibri" w:hAnsi="Calibri"/>
                <w:sz w:val="24"/>
              </w:rPr>
              <w:t>21.31</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11.74</w:t>
            </w:r>
            <w:r>
              <w:rPr>
                <w:rFonts w:ascii="Calibri" w:hAnsi="Calibri"/>
                <w:spacing w:val="-2"/>
                <w:sz w:val="24"/>
                <w:vertAlign w:val="superscript"/>
              </w:rPr>
              <w:t>a</w:t>
            </w:r>
          </w:p>
        </w:tc>
        <w:tc>
          <w:tcPr>
            <w:tcW w:w="2682" w:type="dxa"/>
            <w:tcBorders>
              <w:top w:val="single" w:sz="8" w:space="0" w:color="000000"/>
            </w:tcBorders>
          </w:tcPr>
          <w:p>
            <w:pPr>
              <w:pStyle w:val="TableParagraph"/>
              <w:spacing w:before="22"/>
              <w:ind w:left="571"/>
              <w:jc w:val="left"/>
              <w:rPr>
                <w:rFonts w:ascii="Calibri" w:hAnsi="Calibri"/>
                <w:sz w:val="24"/>
              </w:rPr>
            </w:pPr>
            <w:r>
              <w:rPr>
                <w:rFonts w:ascii="Calibri" w:hAnsi="Calibri"/>
                <w:sz w:val="24"/>
              </w:rPr>
              <w:t>29.14</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14.48</w:t>
            </w:r>
            <w:r>
              <w:rPr>
                <w:rFonts w:ascii="Calibri" w:hAnsi="Calibri"/>
                <w:spacing w:val="-2"/>
                <w:sz w:val="24"/>
                <w:vertAlign w:val="superscript"/>
              </w:rPr>
              <w:t>b</w:t>
            </w:r>
          </w:p>
        </w:tc>
        <w:tc>
          <w:tcPr>
            <w:tcW w:w="1672" w:type="dxa"/>
            <w:tcBorders>
              <w:top w:val="single" w:sz="8" w:space="0" w:color="000000"/>
            </w:tcBorders>
          </w:tcPr>
          <w:p>
            <w:pPr>
              <w:pStyle w:val="TableParagraph"/>
              <w:spacing w:before="22"/>
              <w:ind w:right="166"/>
              <w:rPr>
                <w:rFonts w:ascii="Calibri"/>
                <w:sz w:val="24"/>
              </w:rPr>
            </w:pPr>
            <w:r>
              <w:rPr>
                <w:rFonts w:ascii="Calibri"/>
                <w:spacing w:val="-2"/>
                <w:sz w:val="24"/>
              </w:rPr>
              <w:t>0.044</w:t>
            </w:r>
          </w:p>
        </w:tc>
      </w:tr>
      <w:tr>
        <w:trPr>
          <w:trHeight w:val="511" w:hRule="atLeast"/>
        </w:trPr>
        <w:tc>
          <w:tcPr>
            <w:tcW w:w="2110" w:type="dxa"/>
          </w:tcPr>
          <w:p>
            <w:pPr>
              <w:pStyle w:val="TableParagraph"/>
              <w:spacing w:before="88"/>
              <w:ind w:left="3" w:right="33"/>
              <w:rPr>
                <w:rFonts w:ascii="Calibri" w:hAnsi="Calibri"/>
                <w:b/>
                <w:sz w:val="20"/>
              </w:rPr>
            </w:pPr>
            <w:r>
              <w:rPr>
                <w:rFonts w:ascii="Calibri" w:hAnsi="Calibri"/>
                <w:b/>
                <w:sz w:val="20"/>
              </w:rPr>
              <w:t>TNFα</w:t>
            </w:r>
            <w:r>
              <w:rPr>
                <w:rFonts w:ascii="Calibri" w:hAnsi="Calibri"/>
                <w:b/>
                <w:spacing w:val="-5"/>
                <w:sz w:val="20"/>
              </w:rPr>
              <w:t> </w:t>
            </w:r>
            <w:r>
              <w:rPr>
                <w:rFonts w:ascii="Calibri" w:hAnsi="Calibri"/>
                <w:b/>
                <w:spacing w:val="-2"/>
                <w:sz w:val="20"/>
              </w:rPr>
              <w:t>(pg/ml)</w:t>
            </w:r>
          </w:p>
        </w:tc>
        <w:tc>
          <w:tcPr>
            <w:tcW w:w="2052" w:type="dxa"/>
          </w:tcPr>
          <w:p>
            <w:pPr>
              <w:pStyle w:val="TableParagraph"/>
              <w:spacing w:before="126"/>
              <w:ind w:left="324"/>
              <w:jc w:val="left"/>
              <w:rPr>
                <w:sz w:val="24"/>
              </w:rPr>
            </w:pPr>
            <w:r>
              <w:rPr>
                <w:sz w:val="24"/>
              </w:rPr>
              <w:t>20.20 ± </w:t>
            </w:r>
            <w:r>
              <w:rPr>
                <w:spacing w:val="-2"/>
                <w:sz w:val="24"/>
              </w:rPr>
              <w:t>12.29</w:t>
            </w:r>
            <w:r>
              <w:rPr>
                <w:spacing w:val="-2"/>
                <w:sz w:val="24"/>
                <w:vertAlign w:val="superscript"/>
              </w:rPr>
              <w:t>a</w:t>
            </w:r>
          </w:p>
        </w:tc>
        <w:tc>
          <w:tcPr>
            <w:tcW w:w="2682" w:type="dxa"/>
          </w:tcPr>
          <w:p>
            <w:pPr>
              <w:pStyle w:val="TableParagraph"/>
              <w:spacing w:before="126"/>
              <w:ind w:left="571"/>
              <w:jc w:val="left"/>
              <w:rPr>
                <w:sz w:val="24"/>
              </w:rPr>
            </w:pPr>
            <w:r>
              <w:rPr>
                <w:sz w:val="24"/>
              </w:rPr>
              <w:t>24.62 ± </w:t>
            </w:r>
            <w:r>
              <w:rPr>
                <w:spacing w:val="-2"/>
                <w:sz w:val="24"/>
              </w:rPr>
              <w:t>13.19</w:t>
            </w:r>
            <w:r>
              <w:rPr>
                <w:spacing w:val="-2"/>
                <w:sz w:val="24"/>
                <w:vertAlign w:val="superscript"/>
              </w:rPr>
              <w:t>a</w:t>
            </w:r>
          </w:p>
        </w:tc>
        <w:tc>
          <w:tcPr>
            <w:tcW w:w="1672" w:type="dxa"/>
          </w:tcPr>
          <w:p>
            <w:pPr>
              <w:pStyle w:val="TableParagraph"/>
              <w:spacing w:before="126"/>
              <w:ind w:left="1" w:right="166"/>
              <w:rPr>
                <w:sz w:val="24"/>
              </w:rPr>
            </w:pPr>
            <w:r>
              <w:rPr>
                <w:spacing w:val="-2"/>
                <w:sz w:val="24"/>
              </w:rPr>
              <w:t>0.359</w:t>
            </w:r>
          </w:p>
        </w:tc>
      </w:tr>
      <w:tr>
        <w:trPr>
          <w:trHeight w:val="491" w:hRule="atLeast"/>
        </w:trPr>
        <w:tc>
          <w:tcPr>
            <w:tcW w:w="2110" w:type="dxa"/>
          </w:tcPr>
          <w:p>
            <w:pPr>
              <w:pStyle w:val="TableParagraph"/>
              <w:spacing w:before="100"/>
              <w:ind w:right="33"/>
              <w:rPr>
                <w:rFonts w:ascii="Calibri"/>
                <w:b/>
                <w:sz w:val="20"/>
              </w:rPr>
            </w:pPr>
            <w:r>
              <w:rPr>
                <w:rFonts w:ascii="Calibri"/>
                <w:b/>
                <w:sz w:val="20"/>
              </w:rPr>
              <w:t>IL-4</w:t>
            </w:r>
            <w:r>
              <w:rPr>
                <w:rFonts w:ascii="Calibri"/>
                <w:b/>
                <w:spacing w:val="-8"/>
                <w:sz w:val="20"/>
              </w:rPr>
              <w:t> </w:t>
            </w:r>
            <w:r>
              <w:rPr>
                <w:rFonts w:ascii="Calibri"/>
                <w:b/>
                <w:spacing w:val="-2"/>
                <w:sz w:val="20"/>
              </w:rPr>
              <w:t>(pg/ml)</w:t>
            </w:r>
          </w:p>
        </w:tc>
        <w:tc>
          <w:tcPr>
            <w:tcW w:w="2052" w:type="dxa"/>
          </w:tcPr>
          <w:p>
            <w:pPr>
              <w:pStyle w:val="TableParagraph"/>
              <w:spacing w:before="127"/>
              <w:ind w:left="446"/>
              <w:jc w:val="left"/>
              <w:rPr>
                <w:rFonts w:ascii="Calibri" w:hAnsi="Calibri"/>
                <w:sz w:val="24"/>
              </w:rPr>
            </w:pPr>
            <w:r>
              <w:rPr>
                <w:rFonts w:ascii="Calibri" w:hAnsi="Calibri"/>
                <w:sz w:val="24"/>
              </w:rPr>
              <w:t>9.42</w:t>
            </w:r>
            <w:r>
              <w:rPr>
                <w:rFonts w:ascii="Calibri" w:hAnsi="Calibri"/>
                <w:spacing w:val="1"/>
                <w:sz w:val="24"/>
              </w:rPr>
              <w:t> </w:t>
            </w:r>
            <w:r>
              <w:rPr>
                <w:rFonts w:ascii="Calibri" w:hAnsi="Calibri"/>
                <w:sz w:val="24"/>
              </w:rPr>
              <w:t>±</w:t>
            </w:r>
            <w:r>
              <w:rPr>
                <w:rFonts w:ascii="Calibri" w:hAnsi="Calibri"/>
                <w:spacing w:val="-2"/>
                <w:sz w:val="24"/>
              </w:rPr>
              <w:t> 7.08</w:t>
            </w:r>
            <w:r>
              <w:rPr>
                <w:rFonts w:ascii="Calibri" w:hAnsi="Calibri"/>
                <w:spacing w:val="-2"/>
                <w:sz w:val="24"/>
                <w:vertAlign w:val="superscript"/>
              </w:rPr>
              <w:t>a</w:t>
            </w:r>
          </w:p>
        </w:tc>
        <w:tc>
          <w:tcPr>
            <w:tcW w:w="2682" w:type="dxa"/>
          </w:tcPr>
          <w:p>
            <w:pPr>
              <w:pStyle w:val="TableParagraph"/>
              <w:spacing w:before="139"/>
              <w:ind w:left="631"/>
              <w:jc w:val="left"/>
              <w:rPr>
                <w:sz w:val="24"/>
              </w:rPr>
            </w:pPr>
            <w:r>
              <w:rPr>
                <w:sz w:val="24"/>
              </w:rPr>
              <w:t>10.58 ± </w:t>
            </w:r>
            <w:r>
              <w:rPr>
                <w:spacing w:val="-2"/>
                <w:sz w:val="24"/>
              </w:rPr>
              <w:t>6.99</w:t>
            </w:r>
            <w:r>
              <w:rPr>
                <w:spacing w:val="-2"/>
                <w:sz w:val="24"/>
                <w:vertAlign w:val="superscript"/>
              </w:rPr>
              <w:t>a</w:t>
            </w:r>
          </w:p>
        </w:tc>
        <w:tc>
          <w:tcPr>
            <w:tcW w:w="1672" w:type="dxa"/>
          </w:tcPr>
          <w:p>
            <w:pPr>
              <w:pStyle w:val="TableParagraph"/>
              <w:spacing w:before="139"/>
              <w:ind w:left="1" w:right="166"/>
              <w:rPr>
                <w:sz w:val="24"/>
              </w:rPr>
            </w:pPr>
            <w:r>
              <w:rPr>
                <w:spacing w:val="-2"/>
                <w:sz w:val="24"/>
              </w:rPr>
              <w:t>0.851</w:t>
            </w:r>
          </w:p>
        </w:tc>
      </w:tr>
      <w:tr>
        <w:trPr>
          <w:trHeight w:val="484" w:hRule="atLeast"/>
        </w:trPr>
        <w:tc>
          <w:tcPr>
            <w:tcW w:w="2110" w:type="dxa"/>
          </w:tcPr>
          <w:p>
            <w:pPr>
              <w:pStyle w:val="TableParagraph"/>
              <w:spacing w:before="67"/>
              <w:ind w:right="33"/>
              <w:rPr>
                <w:rFonts w:ascii="Calibri"/>
                <w:b/>
                <w:sz w:val="20"/>
              </w:rPr>
            </w:pPr>
            <w:r>
              <w:rPr>
                <w:rFonts w:ascii="Calibri"/>
                <w:b/>
                <w:sz w:val="20"/>
              </w:rPr>
              <w:t>IL-6</w:t>
            </w:r>
            <w:r>
              <w:rPr>
                <w:rFonts w:ascii="Calibri"/>
                <w:b/>
                <w:spacing w:val="-8"/>
                <w:sz w:val="20"/>
              </w:rPr>
              <w:t> </w:t>
            </w:r>
            <w:r>
              <w:rPr>
                <w:rFonts w:ascii="Calibri"/>
                <w:b/>
                <w:spacing w:val="-2"/>
                <w:sz w:val="20"/>
              </w:rPr>
              <w:t>(pg/ml)</w:t>
            </w:r>
          </w:p>
        </w:tc>
        <w:tc>
          <w:tcPr>
            <w:tcW w:w="2052" w:type="dxa"/>
          </w:tcPr>
          <w:p>
            <w:pPr>
              <w:pStyle w:val="TableParagraph"/>
              <w:spacing w:before="94"/>
              <w:ind w:left="326"/>
              <w:jc w:val="left"/>
              <w:rPr>
                <w:rFonts w:ascii="Calibri" w:hAnsi="Calibri"/>
                <w:sz w:val="24"/>
              </w:rPr>
            </w:pPr>
            <w:r>
              <w:rPr>
                <w:rFonts w:ascii="Calibri" w:hAnsi="Calibri"/>
                <w:sz w:val="24"/>
              </w:rPr>
              <w:t>28.00</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24.77</w:t>
            </w:r>
            <w:r>
              <w:rPr>
                <w:rFonts w:ascii="Calibri" w:hAnsi="Calibri"/>
                <w:spacing w:val="-2"/>
                <w:sz w:val="24"/>
                <w:vertAlign w:val="superscript"/>
              </w:rPr>
              <w:t>a</w:t>
            </w:r>
          </w:p>
        </w:tc>
        <w:tc>
          <w:tcPr>
            <w:tcW w:w="2682" w:type="dxa"/>
          </w:tcPr>
          <w:p>
            <w:pPr>
              <w:pStyle w:val="TableParagraph"/>
              <w:spacing w:before="105"/>
              <w:ind w:left="569"/>
              <w:jc w:val="left"/>
              <w:rPr>
                <w:sz w:val="24"/>
              </w:rPr>
            </w:pPr>
            <w:r>
              <w:rPr>
                <w:sz w:val="24"/>
              </w:rPr>
              <w:t>47.72 ± </w:t>
            </w:r>
            <w:r>
              <w:rPr>
                <w:spacing w:val="-2"/>
                <w:sz w:val="24"/>
              </w:rPr>
              <w:t>33.71</w:t>
            </w:r>
            <w:r>
              <w:rPr>
                <w:spacing w:val="-2"/>
                <w:sz w:val="24"/>
                <w:vertAlign w:val="superscript"/>
              </w:rPr>
              <w:t>b</w:t>
            </w:r>
          </w:p>
        </w:tc>
        <w:tc>
          <w:tcPr>
            <w:tcW w:w="1672" w:type="dxa"/>
          </w:tcPr>
          <w:p>
            <w:pPr>
              <w:pStyle w:val="TableParagraph"/>
              <w:spacing w:before="105"/>
              <w:ind w:left="1" w:right="166"/>
              <w:rPr>
                <w:sz w:val="24"/>
              </w:rPr>
            </w:pPr>
            <w:r>
              <w:rPr>
                <w:spacing w:val="-2"/>
                <w:sz w:val="24"/>
              </w:rPr>
              <w:t>0.024</w:t>
            </w:r>
          </w:p>
        </w:tc>
      </w:tr>
      <w:tr>
        <w:trPr>
          <w:trHeight w:val="488" w:hRule="atLeast"/>
        </w:trPr>
        <w:tc>
          <w:tcPr>
            <w:tcW w:w="2110" w:type="dxa"/>
          </w:tcPr>
          <w:p>
            <w:pPr>
              <w:pStyle w:val="TableParagraph"/>
              <w:spacing w:before="77"/>
              <w:ind w:left="3" w:right="33"/>
              <w:rPr>
                <w:rFonts w:ascii="Calibri"/>
                <w:b/>
                <w:sz w:val="20"/>
              </w:rPr>
            </w:pPr>
            <w:r>
              <w:rPr>
                <w:rFonts w:ascii="Calibri"/>
                <w:b/>
                <w:sz w:val="20"/>
              </w:rPr>
              <w:t>IL-10</w:t>
            </w:r>
            <w:r>
              <w:rPr>
                <w:rFonts w:ascii="Calibri"/>
                <w:b/>
                <w:spacing w:val="-9"/>
                <w:sz w:val="20"/>
              </w:rPr>
              <w:t> </w:t>
            </w:r>
            <w:r>
              <w:rPr>
                <w:rFonts w:ascii="Calibri"/>
                <w:b/>
                <w:spacing w:val="-2"/>
                <w:sz w:val="20"/>
              </w:rPr>
              <w:t>(pg/ml)</w:t>
            </w:r>
          </w:p>
        </w:tc>
        <w:tc>
          <w:tcPr>
            <w:tcW w:w="2052" w:type="dxa"/>
          </w:tcPr>
          <w:p>
            <w:pPr>
              <w:pStyle w:val="TableParagraph"/>
              <w:spacing w:before="104"/>
              <w:ind w:left="326"/>
              <w:jc w:val="left"/>
              <w:rPr>
                <w:rFonts w:ascii="Calibri" w:hAnsi="Calibri"/>
                <w:sz w:val="24"/>
              </w:rPr>
            </w:pPr>
            <w:r>
              <w:rPr>
                <w:rFonts w:ascii="Calibri" w:hAnsi="Calibri"/>
                <w:sz w:val="24"/>
              </w:rPr>
              <w:t>31.95</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26.27</w:t>
            </w:r>
            <w:r>
              <w:rPr>
                <w:rFonts w:ascii="Calibri" w:hAnsi="Calibri"/>
                <w:spacing w:val="-2"/>
                <w:sz w:val="24"/>
                <w:vertAlign w:val="superscript"/>
              </w:rPr>
              <w:t>a</w:t>
            </w:r>
          </w:p>
        </w:tc>
        <w:tc>
          <w:tcPr>
            <w:tcW w:w="2682" w:type="dxa"/>
          </w:tcPr>
          <w:p>
            <w:pPr>
              <w:pStyle w:val="TableParagraph"/>
              <w:spacing w:before="104"/>
              <w:ind w:left="574"/>
              <w:jc w:val="left"/>
              <w:rPr>
                <w:rFonts w:ascii="Calibri" w:hAnsi="Calibri"/>
                <w:sz w:val="24"/>
              </w:rPr>
            </w:pPr>
            <w:r>
              <w:rPr>
                <w:rFonts w:ascii="Calibri" w:hAnsi="Calibri"/>
                <w:sz w:val="24"/>
              </w:rPr>
              <w:t>47.49</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34.77</w:t>
            </w:r>
            <w:r>
              <w:rPr>
                <w:rFonts w:ascii="Calibri" w:hAnsi="Calibri"/>
                <w:spacing w:val="-2"/>
                <w:sz w:val="24"/>
                <w:vertAlign w:val="superscript"/>
              </w:rPr>
              <w:t>a</w:t>
            </w:r>
          </w:p>
        </w:tc>
        <w:tc>
          <w:tcPr>
            <w:tcW w:w="1672" w:type="dxa"/>
          </w:tcPr>
          <w:p>
            <w:pPr>
              <w:pStyle w:val="TableParagraph"/>
              <w:spacing w:before="104"/>
              <w:ind w:right="166"/>
              <w:rPr>
                <w:rFonts w:ascii="Calibri"/>
                <w:sz w:val="24"/>
              </w:rPr>
            </w:pPr>
            <w:r>
              <w:rPr>
                <w:rFonts w:ascii="Calibri"/>
                <w:spacing w:val="-2"/>
                <w:sz w:val="24"/>
              </w:rPr>
              <w:t>0.120</w:t>
            </w:r>
          </w:p>
        </w:tc>
      </w:tr>
      <w:tr>
        <w:trPr>
          <w:trHeight w:val="538" w:hRule="atLeast"/>
        </w:trPr>
        <w:tc>
          <w:tcPr>
            <w:tcW w:w="2110" w:type="dxa"/>
          </w:tcPr>
          <w:p>
            <w:pPr>
              <w:pStyle w:val="TableParagraph"/>
              <w:spacing w:before="103"/>
              <w:ind w:left="1" w:right="33"/>
              <w:rPr>
                <w:rFonts w:ascii="Calibri"/>
                <w:b/>
                <w:sz w:val="20"/>
              </w:rPr>
            </w:pPr>
            <w:r>
              <w:rPr>
                <w:rFonts w:ascii="Calibri"/>
                <w:b/>
                <w:sz w:val="20"/>
              </w:rPr>
              <w:t>TOTAL</w:t>
            </w:r>
            <w:r>
              <w:rPr>
                <w:rFonts w:ascii="Calibri"/>
                <w:b/>
                <w:spacing w:val="-7"/>
                <w:sz w:val="20"/>
              </w:rPr>
              <w:t> </w:t>
            </w:r>
            <w:r>
              <w:rPr>
                <w:rFonts w:ascii="Calibri"/>
                <w:b/>
                <w:sz w:val="20"/>
              </w:rPr>
              <w:t>WBC</w:t>
            </w:r>
            <w:r>
              <w:rPr>
                <w:rFonts w:ascii="Calibri"/>
                <w:b/>
                <w:spacing w:val="-6"/>
                <w:sz w:val="20"/>
              </w:rPr>
              <w:t> </w:t>
            </w:r>
            <w:r>
              <w:rPr>
                <w:rFonts w:ascii="Calibri"/>
                <w:b/>
                <w:spacing w:val="-2"/>
                <w:sz w:val="20"/>
              </w:rPr>
              <w:t>(x10</w:t>
            </w:r>
            <w:r>
              <w:rPr>
                <w:rFonts w:ascii="Calibri"/>
                <w:b/>
                <w:spacing w:val="-2"/>
                <w:sz w:val="20"/>
                <w:vertAlign w:val="superscript"/>
              </w:rPr>
              <w:t>9</w:t>
            </w:r>
            <w:r>
              <w:rPr>
                <w:rFonts w:ascii="Calibri"/>
                <w:b/>
                <w:spacing w:val="-2"/>
                <w:sz w:val="20"/>
                <w:vertAlign w:val="baseline"/>
              </w:rPr>
              <w:t>/L)</w:t>
            </w:r>
          </w:p>
        </w:tc>
        <w:tc>
          <w:tcPr>
            <w:tcW w:w="2052" w:type="dxa"/>
          </w:tcPr>
          <w:p>
            <w:pPr>
              <w:pStyle w:val="TableParagraph"/>
              <w:spacing w:before="129"/>
              <w:ind w:left="508"/>
              <w:jc w:val="left"/>
              <w:rPr>
                <w:rFonts w:ascii="Calibri" w:hAnsi="Calibri"/>
                <w:sz w:val="24"/>
              </w:rPr>
            </w:pPr>
            <w:r>
              <w:rPr>
                <w:rFonts w:ascii="Calibri" w:hAnsi="Calibri"/>
                <w:sz w:val="24"/>
              </w:rPr>
              <w:t>7.0</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2.06</w:t>
            </w:r>
            <w:r>
              <w:rPr>
                <w:rFonts w:ascii="Calibri" w:hAnsi="Calibri"/>
                <w:spacing w:val="-2"/>
                <w:sz w:val="24"/>
                <w:vertAlign w:val="superscript"/>
              </w:rPr>
              <w:t>a</w:t>
            </w:r>
          </w:p>
        </w:tc>
        <w:tc>
          <w:tcPr>
            <w:tcW w:w="2682" w:type="dxa"/>
          </w:tcPr>
          <w:p>
            <w:pPr>
              <w:pStyle w:val="TableParagraph"/>
              <w:spacing w:before="129"/>
              <w:ind w:left="754"/>
              <w:jc w:val="left"/>
              <w:rPr>
                <w:rFonts w:ascii="Calibri" w:hAnsi="Calibri"/>
                <w:sz w:val="24"/>
              </w:rPr>
            </w:pPr>
            <w:r>
              <w:rPr>
                <w:rFonts w:ascii="Calibri" w:hAnsi="Calibri"/>
                <w:sz w:val="24"/>
              </w:rPr>
              <w:t>8.0</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1.68</w:t>
            </w:r>
            <w:r>
              <w:rPr>
                <w:rFonts w:ascii="Calibri" w:hAnsi="Calibri"/>
                <w:spacing w:val="-2"/>
                <w:sz w:val="24"/>
                <w:vertAlign w:val="superscript"/>
              </w:rPr>
              <w:t>b</w:t>
            </w:r>
          </w:p>
        </w:tc>
        <w:tc>
          <w:tcPr>
            <w:tcW w:w="1672" w:type="dxa"/>
          </w:tcPr>
          <w:p>
            <w:pPr>
              <w:pStyle w:val="TableParagraph"/>
              <w:spacing w:before="129"/>
              <w:ind w:right="166"/>
              <w:rPr>
                <w:rFonts w:ascii="Calibri"/>
                <w:sz w:val="24"/>
              </w:rPr>
            </w:pPr>
            <w:r>
              <w:rPr>
                <w:rFonts w:ascii="Calibri"/>
                <w:spacing w:val="-2"/>
                <w:sz w:val="24"/>
              </w:rPr>
              <w:t>0.035</w:t>
            </w:r>
          </w:p>
        </w:tc>
      </w:tr>
      <w:tr>
        <w:trPr>
          <w:trHeight w:val="585" w:hRule="atLeast"/>
        </w:trPr>
        <w:tc>
          <w:tcPr>
            <w:tcW w:w="2110" w:type="dxa"/>
          </w:tcPr>
          <w:p>
            <w:pPr>
              <w:pStyle w:val="TableParagraph"/>
              <w:spacing w:before="150"/>
              <w:ind w:left="6" w:right="33"/>
              <w:rPr>
                <w:rFonts w:ascii="Calibri" w:hAnsi="Calibri"/>
                <w:b/>
                <w:sz w:val="20"/>
              </w:rPr>
            </w:pPr>
            <w:r>
              <w:rPr>
                <w:rFonts w:ascii="Calibri" w:hAnsi="Calibri"/>
                <w:b/>
                <w:sz w:val="20"/>
              </w:rPr>
              <w:t>LYM</w:t>
            </w:r>
            <w:r>
              <w:rPr>
                <w:rFonts w:ascii="Calibri" w:hAnsi="Calibri"/>
                <w:b/>
                <w:spacing w:val="-5"/>
                <w:sz w:val="20"/>
              </w:rPr>
              <w:t> </w:t>
            </w:r>
            <w:r>
              <w:rPr>
                <w:rFonts w:ascii="Calibri" w:hAnsi="Calibri"/>
                <w:b/>
                <w:spacing w:val="-2"/>
                <w:sz w:val="20"/>
              </w:rPr>
              <w:t>(</w:t>
            </w:r>
            <w:r>
              <w:rPr>
                <w:b/>
                <w:spacing w:val="-2"/>
                <w:sz w:val="24"/>
              </w:rPr>
              <w:t>×10</w:t>
            </w:r>
            <w:r>
              <w:rPr>
                <w:b/>
                <w:spacing w:val="-2"/>
                <w:sz w:val="24"/>
                <w:vertAlign w:val="superscript"/>
              </w:rPr>
              <w:t>9</w:t>
            </w:r>
            <w:r>
              <w:rPr>
                <w:b/>
                <w:spacing w:val="-2"/>
                <w:sz w:val="24"/>
                <w:vertAlign w:val="baseline"/>
              </w:rPr>
              <w:t>/l</w:t>
            </w:r>
            <w:r>
              <w:rPr>
                <w:rFonts w:ascii="Calibri" w:hAnsi="Calibri"/>
                <w:b/>
                <w:spacing w:val="-2"/>
                <w:sz w:val="20"/>
                <w:vertAlign w:val="baseline"/>
              </w:rPr>
              <w:t>)</w:t>
            </w:r>
          </w:p>
        </w:tc>
        <w:tc>
          <w:tcPr>
            <w:tcW w:w="2052" w:type="dxa"/>
          </w:tcPr>
          <w:p>
            <w:pPr>
              <w:pStyle w:val="TableParagraph"/>
              <w:spacing w:before="176"/>
              <w:ind w:left="508"/>
              <w:jc w:val="left"/>
              <w:rPr>
                <w:rFonts w:ascii="Calibri" w:hAnsi="Calibri"/>
                <w:sz w:val="24"/>
              </w:rPr>
            </w:pPr>
            <w:r>
              <w:rPr>
                <w:rFonts w:ascii="Calibri" w:hAnsi="Calibri"/>
                <w:sz w:val="24"/>
              </w:rPr>
              <w:t>2.3</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0.79</w:t>
            </w:r>
            <w:r>
              <w:rPr>
                <w:rFonts w:ascii="Calibri" w:hAnsi="Calibri"/>
                <w:spacing w:val="-2"/>
                <w:sz w:val="24"/>
                <w:vertAlign w:val="superscript"/>
              </w:rPr>
              <w:t>a</w:t>
            </w:r>
          </w:p>
        </w:tc>
        <w:tc>
          <w:tcPr>
            <w:tcW w:w="2682" w:type="dxa"/>
          </w:tcPr>
          <w:p>
            <w:pPr>
              <w:pStyle w:val="TableParagraph"/>
              <w:spacing w:before="176"/>
              <w:ind w:left="756"/>
              <w:jc w:val="left"/>
              <w:rPr>
                <w:rFonts w:ascii="Calibri" w:hAnsi="Calibri"/>
                <w:sz w:val="24"/>
              </w:rPr>
            </w:pPr>
            <w:r>
              <w:rPr>
                <w:rFonts w:ascii="Calibri" w:hAnsi="Calibri"/>
                <w:sz w:val="24"/>
              </w:rPr>
              <w:t>2.3</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0.69</w:t>
            </w:r>
            <w:r>
              <w:rPr>
                <w:rFonts w:ascii="Calibri" w:hAnsi="Calibri"/>
                <w:spacing w:val="-2"/>
                <w:sz w:val="24"/>
                <w:vertAlign w:val="superscript"/>
              </w:rPr>
              <w:t>a</w:t>
            </w:r>
          </w:p>
        </w:tc>
        <w:tc>
          <w:tcPr>
            <w:tcW w:w="1672" w:type="dxa"/>
          </w:tcPr>
          <w:p>
            <w:pPr>
              <w:pStyle w:val="TableParagraph"/>
              <w:spacing w:before="176"/>
              <w:ind w:right="166"/>
              <w:rPr>
                <w:rFonts w:ascii="Calibri"/>
                <w:sz w:val="24"/>
              </w:rPr>
            </w:pPr>
            <w:r>
              <w:rPr>
                <w:rFonts w:ascii="Calibri"/>
                <w:spacing w:val="-2"/>
                <w:sz w:val="24"/>
              </w:rPr>
              <w:t>0.059</w:t>
            </w:r>
          </w:p>
        </w:tc>
      </w:tr>
      <w:tr>
        <w:trPr>
          <w:trHeight w:val="584" w:hRule="atLeast"/>
        </w:trPr>
        <w:tc>
          <w:tcPr>
            <w:tcW w:w="2110" w:type="dxa"/>
          </w:tcPr>
          <w:p>
            <w:pPr>
              <w:pStyle w:val="TableParagraph"/>
              <w:spacing w:before="150"/>
              <w:ind w:left="6" w:right="33"/>
              <w:rPr>
                <w:rFonts w:ascii="Calibri" w:hAnsi="Calibri"/>
                <w:b/>
                <w:sz w:val="20"/>
              </w:rPr>
            </w:pPr>
            <w:r>
              <w:rPr>
                <w:rFonts w:ascii="Calibri" w:hAnsi="Calibri"/>
                <w:b/>
                <w:sz w:val="20"/>
              </w:rPr>
              <w:t>NEU</w:t>
            </w:r>
            <w:r>
              <w:rPr>
                <w:rFonts w:ascii="Calibri" w:hAnsi="Calibri"/>
                <w:b/>
                <w:spacing w:val="-7"/>
                <w:sz w:val="20"/>
              </w:rPr>
              <w:t> </w:t>
            </w:r>
            <w:r>
              <w:rPr>
                <w:rFonts w:ascii="Calibri" w:hAnsi="Calibri"/>
                <w:b/>
                <w:spacing w:val="-2"/>
                <w:sz w:val="20"/>
              </w:rPr>
              <w:t>(</w:t>
            </w:r>
            <w:r>
              <w:rPr>
                <w:b/>
                <w:spacing w:val="-2"/>
                <w:sz w:val="24"/>
              </w:rPr>
              <w:t>×10</w:t>
            </w:r>
            <w:r>
              <w:rPr>
                <w:b/>
                <w:spacing w:val="-2"/>
                <w:sz w:val="24"/>
                <w:vertAlign w:val="superscript"/>
              </w:rPr>
              <w:t>9</w:t>
            </w:r>
            <w:r>
              <w:rPr>
                <w:b/>
                <w:spacing w:val="-2"/>
                <w:sz w:val="24"/>
                <w:vertAlign w:val="baseline"/>
              </w:rPr>
              <w:t>/l</w:t>
            </w:r>
            <w:r>
              <w:rPr>
                <w:rFonts w:ascii="Calibri" w:hAnsi="Calibri"/>
                <w:b/>
                <w:spacing w:val="-2"/>
                <w:sz w:val="20"/>
                <w:vertAlign w:val="baseline"/>
              </w:rPr>
              <w:t>)</w:t>
            </w:r>
          </w:p>
        </w:tc>
        <w:tc>
          <w:tcPr>
            <w:tcW w:w="2052" w:type="dxa"/>
          </w:tcPr>
          <w:p>
            <w:pPr>
              <w:pStyle w:val="TableParagraph"/>
              <w:spacing w:before="176"/>
              <w:ind w:left="508"/>
              <w:jc w:val="left"/>
              <w:rPr>
                <w:rFonts w:ascii="Calibri" w:hAnsi="Calibri"/>
                <w:sz w:val="24"/>
              </w:rPr>
            </w:pPr>
            <w:r>
              <w:rPr>
                <w:rFonts w:ascii="Calibri" w:hAnsi="Calibri"/>
                <w:sz w:val="24"/>
              </w:rPr>
              <w:t>3.8</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0.95</w:t>
            </w:r>
            <w:r>
              <w:rPr>
                <w:rFonts w:ascii="Calibri" w:hAnsi="Calibri"/>
                <w:spacing w:val="-2"/>
                <w:sz w:val="24"/>
                <w:vertAlign w:val="superscript"/>
              </w:rPr>
              <w:t>a</w:t>
            </w:r>
          </w:p>
        </w:tc>
        <w:tc>
          <w:tcPr>
            <w:tcW w:w="2682" w:type="dxa"/>
          </w:tcPr>
          <w:p>
            <w:pPr>
              <w:pStyle w:val="TableParagraph"/>
              <w:spacing w:before="176"/>
              <w:ind w:left="754"/>
              <w:jc w:val="left"/>
              <w:rPr>
                <w:rFonts w:ascii="Calibri" w:hAnsi="Calibri"/>
                <w:sz w:val="24"/>
              </w:rPr>
            </w:pPr>
            <w:r>
              <w:rPr>
                <w:rFonts w:ascii="Calibri" w:hAnsi="Calibri"/>
                <w:sz w:val="24"/>
              </w:rPr>
              <w:t>4.7</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0.76</w:t>
            </w:r>
            <w:r>
              <w:rPr>
                <w:rFonts w:ascii="Calibri" w:hAnsi="Calibri"/>
                <w:spacing w:val="-2"/>
                <w:sz w:val="24"/>
                <w:vertAlign w:val="superscript"/>
              </w:rPr>
              <w:t>b</w:t>
            </w:r>
          </w:p>
        </w:tc>
        <w:tc>
          <w:tcPr>
            <w:tcW w:w="1672" w:type="dxa"/>
          </w:tcPr>
          <w:p>
            <w:pPr>
              <w:pStyle w:val="TableParagraph"/>
              <w:spacing w:before="176"/>
              <w:ind w:right="166"/>
              <w:rPr>
                <w:rFonts w:ascii="Calibri"/>
                <w:sz w:val="24"/>
              </w:rPr>
            </w:pPr>
            <w:r>
              <w:rPr>
                <w:rFonts w:ascii="Calibri"/>
                <w:spacing w:val="-2"/>
                <w:sz w:val="24"/>
              </w:rPr>
              <w:t>0.042</w:t>
            </w:r>
          </w:p>
        </w:tc>
      </w:tr>
      <w:tr>
        <w:trPr>
          <w:trHeight w:val="735" w:hRule="atLeast"/>
        </w:trPr>
        <w:tc>
          <w:tcPr>
            <w:tcW w:w="2110" w:type="dxa"/>
            <w:tcBorders>
              <w:bottom w:val="single" w:sz="8" w:space="0" w:color="000000"/>
            </w:tcBorders>
          </w:tcPr>
          <w:p>
            <w:pPr>
              <w:pStyle w:val="TableParagraph"/>
              <w:spacing w:before="149"/>
              <w:ind w:left="6" w:right="33"/>
              <w:rPr>
                <w:rFonts w:ascii="Calibri" w:hAnsi="Calibri"/>
                <w:b/>
                <w:sz w:val="20"/>
              </w:rPr>
            </w:pPr>
            <w:r>
              <w:rPr>
                <w:rFonts w:ascii="Calibri" w:hAnsi="Calibri"/>
                <w:b/>
                <w:sz w:val="20"/>
              </w:rPr>
              <w:t>MXD</w:t>
            </w:r>
            <w:r>
              <w:rPr>
                <w:rFonts w:ascii="Calibri" w:hAnsi="Calibri"/>
                <w:b/>
                <w:spacing w:val="-5"/>
                <w:sz w:val="20"/>
              </w:rPr>
              <w:t> </w:t>
            </w:r>
            <w:r>
              <w:rPr>
                <w:rFonts w:ascii="Calibri" w:hAnsi="Calibri"/>
                <w:b/>
                <w:spacing w:val="-2"/>
                <w:sz w:val="20"/>
              </w:rPr>
              <w:t>(</w:t>
            </w:r>
            <w:r>
              <w:rPr>
                <w:b/>
                <w:spacing w:val="-2"/>
                <w:sz w:val="24"/>
              </w:rPr>
              <w:t>×10</w:t>
            </w:r>
            <w:r>
              <w:rPr>
                <w:b/>
                <w:spacing w:val="-2"/>
                <w:sz w:val="24"/>
                <w:vertAlign w:val="superscript"/>
              </w:rPr>
              <w:t>9</w:t>
            </w:r>
            <w:r>
              <w:rPr>
                <w:b/>
                <w:spacing w:val="-2"/>
                <w:sz w:val="24"/>
                <w:vertAlign w:val="baseline"/>
              </w:rPr>
              <w:t>/l</w:t>
            </w:r>
            <w:r>
              <w:rPr>
                <w:rFonts w:ascii="Calibri" w:hAnsi="Calibri"/>
                <w:b/>
                <w:spacing w:val="-2"/>
                <w:sz w:val="20"/>
                <w:vertAlign w:val="baseline"/>
              </w:rPr>
              <w:t>)</w:t>
            </w:r>
          </w:p>
        </w:tc>
        <w:tc>
          <w:tcPr>
            <w:tcW w:w="2052" w:type="dxa"/>
            <w:tcBorders>
              <w:bottom w:val="single" w:sz="8" w:space="0" w:color="000000"/>
            </w:tcBorders>
          </w:tcPr>
          <w:p>
            <w:pPr>
              <w:pStyle w:val="TableParagraph"/>
              <w:spacing w:before="175"/>
              <w:ind w:left="508"/>
              <w:jc w:val="left"/>
              <w:rPr>
                <w:rFonts w:ascii="Calibri" w:hAnsi="Calibri"/>
                <w:sz w:val="24"/>
              </w:rPr>
            </w:pPr>
            <w:r>
              <w:rPr>
                <w:rFonts w:ascii="Calibri" w:hAnsi="Calibri"/>
                <w:sz w:val="24"/>
              </w:rPr>
              <w:t>0.9</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0.42</w:t>
            </w:r>
            <w:r>
              <w:rPr>
                <w:rFonts w:ascii="Calibri" w:hAnsi="Calibri"/>
                <w:spacing w:val="-2"/>
                <w:sz w:val="24"/>
                <w:vertAlign w:val="superscript"/>
              </w:rPr>
              <w:t>a</w:t>
            </w:r>
          </w:p>
        </w:tc>
        <w:tc>
          <w:tcPr>
            <w:tcW w:w="2682" w:type="dxa"/>
            <w:tcBorders>
              <w:bottom w:val="single" w:sz="8" w:space="0" w:color="000000"/>
            </w:tcBorders>
          </w:tcPr>
          <w:p>
            <w:pPr>
              <w:pStyle w:val="TableParagraph"/>
              <w:spacing w:before="175"/>
              <w:ind w:left="756"/>
              <w:jc w:val="left"/>
              <w:rPr>
                <w:rFonts w:ascii="Calibri" w:hAnsi="Calibri"/>
                <w:sz w:val="24"/>
              </w:rPr>
            </w:pPr>
            <w:r>
              <w:rPr>
                <w:rFonts w:ascii="Calibri" w:hAnsi="Calibri"/>
                <w:sz w:val="24"/>
              </w:rPr>
              <w:t>1.0</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2"/>
                <w:sz w:val="24"/>
              </w:rPr>
              <w:t>0.40</w:t>
            </w:r>
            <w:r>
              <w:rPr>
                <w:rFonts w:ascii="Calibri" w:hAnsi="Calibri"/>
                <w:spacing w:val="-2"/>
                <w:sz w:val="24"/>
                <w:vertAlign w:val="superscript"/>
              </w:rPr>
              <w:t>a</w:t>
            </w:r>
          </w:p>
        </w:tc>
        <w:tc>
          <w:tcPr>
            <w:tcW w:w="1672" w:type="dxa"/>
            <w:tcBorders>
              <w:bottom w:val="single" w:sz="8" w:space="0" w:color="000000"/>
            </w:tcBorders>
          </w:tcPr>
          <w:p>
            <w:pPr>
              <w:pStyle w:val="TableParagraph"/>
              <w:spacing w:before="175"/>
              <w:ind w:right="166"/>
              <w:rPr>
                <w:rFonts w:ascii="Calibri"/>
                <w:sz w:val="24"/>
              </w:rPr>
            </w:pPr>
            <w:r>
              <w:rPr>
                <w:rFonts w:ascii="Calibri"/>
                <w:spacing w:val="-2"/>
                <w:sz w:val="24"/>
              </w:rPr>
              <w:t>0.293</w:t>
            </w:r>
          </w:p>
        </w:tc>
      </w:tr>
    </w:tbl>
    <w:p>
      <w:pPr>
        <w:spacing w:line="227" w:lineRule="exact" w:before="164"/>
        <w:ind w:left="560" w:right="0" w:firstLine="0"/>
        <w:jc w:val="left"/>
        <w:rPr>
          <w:b/>
          <w:sz w:val="20"/>
        </w:rPr>
      </w:pPr>
      <w:r>
        <w:rPr>
          <w:b/>
          <w:spacing w:val="-4"/>
          <w:sz w:val="20"/>
        </w:rPr>
        <w:t>Key:</w:t>
      </w:r>
    </w:p>
    <w:p>
      <w:pPr>
        <w:spacing w:line="227" w:lineRule="exact" w:before="0"/>
        <w:ind w:left="560" w:right="0" w:firstLine="0"/>
        <w:jc w:val="left"/>
        <w:rPr>
          <w:sz w:val="20"/>
        </w:rPr>
      </w:pPr>
      <w:r>
        <w:rPr>
          <w:sz w:val="20"/>
        </w:rPr>
        <w:t>α-level</w:t>
      </w:r>
      <w:r>
        <w:rPr>
          <w:spacing w:val="-2"/>
          <w:sz w:val="20"/>
        </w:rPr>
        <w:t> </w:t>
      </w:r>
      <w:r>
        <w:rPr>
          <w:sz w:val="20"/>
        </w:rPr>
        <w:t>set</w:t>
      </w:r>
      <w:r>
        <w:rPr>
          <w:spacing w:val="-4"/>
          <w:sz w:val="20"/>
        </w:rPr>
        <w:t> </w:t>
      </w:r>
      <w:r>
        <w:rPr>
          <w:sz w:val="20"/>
        </w:rPr>
        <w:t>at</w:t>
      </w:r>
      <w:r>
        <w:rPr>
          <w:spacing w:val="-5"/>
          <w:sz w:val="20"/>
        </w:rPr>
        <w:t> </w:t>
      </w:r>
      <w:r>
        <w:rPr>
          <w:spacing w:val="-4"/>
          <w:sz w:val="20"/>
        </w:rPr>
        <w:t>0.05</w:t>
      </w:r>
    </w:p>
    <w:p>
      <w:pPr>
        <w:spacing w:before="0"/>
        <w:ind w:left="560" w:right="0" w:firstLine="0"/>
        <w:jc w:val="left"/>
        <w:rPr>
          <w:sz w:val="20"/>
        </w:rPr>
      </w:pPr>
      <w:r>
        <w:rPr>
          <w:sz w:val="20"/>
        </w:rPr>
        <w:t>a</w:t>
      </w:r>
      <w:r>
        <w:rPr>
          <w:spacing w:val="-5"/>
          <w:sz w:val="20"/>
        </w:rPr>
        <w:t> </w:t>
      </w:r>
      <w:r>
        <w:rPr>
          <w:sz w:val="20"/>
        </w:rPr>
        <w:t>and</w:t>
      </w:r>
      <w:r>
        <w:rPr>
          <w:spacing w:val="-3"/>
          <w:sz w:val="20"/>
        </w:rPr>
        <w:t> </w:t>
      </w:r>
      <w:r>
        <w:rPr>
          <w:sz w:val="20"/>
        </w:rPr>
        <w:t>b</w:t>
      </w:r>
      <w:r>
        <w:rPr>
          <w:spacing w:val="-4"/>
          <w:sz w:val="20"/>
        </w:rPr>
        <w:t> </w:t>
      </w:r>
      <w:r>
        <w:rPr>
          <w:sz w:val="20"/>
        </w:rPr>
        <w:t>are</w:t>
      </w:r>
      <w:r>
        <w:rPr>
          <w:spacing w:val="-4"/>
          <w:sz w:val="20"/>
        </w:rPr>
        <w:t> </w:t>
      </w:r>
      <w:r>
        <w:rPr>
          <w:sz w:val="20"/>
        </w:rPr>
        <w:t>superscripts</w:t>
      </w:r>
      <w:r>
        <w:rPr>
          <w:spacing w:val="-6"/>
          <w:sz w:val="20"/>
        </w:rPr>
        <w:t> </w:t>
      </w:r>
      <w:r>
        <w:rPr>
          <w:sz w:val="20"/>
        </w:rPr>
        <w:t>used</w:t>
      </w:r>
      <w:r>
        <w:rPr>
          <w:spacing w:val="-3"/>
          <w:sz w:val="20"/>
        </w:rPr>
        <w:t> </w:t>
      </w:r>
      <w:r>
        <w:rPr>
          <w:sz w:val="20"/>
        </w:rPr>
        <w:t>to</w:t>
      </w:r>
      <w:r>
        <w:rPr>
          <w:spacing w:val="-4"/>
          <w:sz w:val="20"/>
        </w:rPr>
        <w:t> </w:t>
      </w:r>
      <w:r>
        <w:rPr>
          <w:sz w:val="20"/>
        </w:rPr>
        <w:t>show</w:t>
      </w:r>
      <w:r>
        <w:rPr>
          <w:spacing w:val="-6"/>
          <w:sz w:val="20"/>
        </w:rPr>
        <w:t> </w:t>
      </w:r>
      <w:r>
        <w:rPr>
          <w:sz w:val="20"/>
        </w:rPr>
        <w:t>significant</w:t>
      </w:r>
      <w:r>
        <w:rPr>
          <w:spacing w:val="-5"/>
          <w:sz w:val="20"/>
        </w:rPr>
        <w:t> </w:t>
      </w:r>
      <w:r>
        <w:rPr>
          <w:spacing w:val="-2"/>
          <w:sz w:val="20"/>
        </w:rPr>
        <w:t>difference.</w:t>
      </w:r>
    </w:p>
    <w:p>
      <w:pPr>
        <w:spacing w:before="1"/>
        <w:ind w:left="560" w:right="3345" w:firstLine="0"/>
        <w:jc w:val="left"/>
        <w:rPr>
          <w:sz w:val="20"/>
        </w:rPr>
      </w:pPr>
      <w:r>
        <w:rPr>
          <w:sz w:val="20"/>
        </w:rPr>
        <w:t>Values</w:t>
      </w:r>
      <w:r>
        <w:rPr>
          <w:spacing w:val="-3"/>
          <w:sz w:val="20"/>
        </w:rPr>
        <w:t> </w:t>
      </w:r>
      <w:r>
        <w:rPr>
          <w:sz w:val="20"/>
        </w:rPr>
        <w:t>not</w:t>
      </w:r>
      <w:r>
        <w:rPr>
          <w:spacing w:val="-5"/>
          <w:sz w:val="20"/>
        </w:rPr>
        <w:t> </w:t>
      </w:r>
      <w:r>
        <w:rPr>
          <w:sz w:val="20"/>
        </w:rPr>
        <w:t>sharing</w:t>
      </w:r>
      <w:r>
        <w:rPr>
          <w:spacing w:val="-5"/>
          <w:sz w:val="20"/>
        </w:rPr>
        <w:t> </w:t>
      </w:r>
      <w:r>
        <w:rPr>
          <w:sz w:val="20"/>
        </w:rPr>
        <w:t>the</w:t>
      </w:r>
      <w:r>
        <w:rPr>
          <w:spacing w:val="-4"/>
          <w:sz w:val="20"/>
        </w:rPr>
        <w:t> </w:t>
      </w:r>
      <w:r>
        <w:rPr>
          <w:sz w:val="20"/>
        </w:rPr>
        <w:t>same</w:t>
      </w:r>
      <w:r>
        <w:rPr>
          <w:spacing w:val="-4"/>
          <w:sz w:val="20"/>
        </w:rPr>
        <w:t> </w:t>
      </w:r>
      <w:r>
        <w:rPr>
          <w:sz w:val="20"/>
        </w:rPr>
        <w:t>superscript</w:t>
      </w:r>
      <w:r>
        <w:rPr>
          <w:spacing w:val="-3"/>
          <w:sz w:val="20"/>
        </w:rPr>
        <w:t> </w:t>
      </w:r>
      <w:r>
        <w:rPr>
          <w:sz w:val="20"/>
        </w:rPr>
        <w:t>means</w:t>
      </w:r>
      <w:r>
        <w:rPr>
          <w:spacing w:val="-5"/>
          <w:sz w:val="20"/>
        </w:rPr>
        <w:t> </w:t>
      </w:r>
      <w:r>
        <w:rPr>
          <w:sz w:val="20"/>
        </w:rPr>
        <w:t>there</w:t>
      </w:r>
      <w:r>
        <w:rPr>
          <w:spacing w:val="-4"/>
          <w:sz w:val="20"/>
        </w:rPr>
        <w:t> </w:t>
      </w:r>
      <w:r>
        <w:rPr>
          <w:sz w:val="20"/>
        </w:rPr>
        <w:t>is</w:t>
      </w:r>
      <w:r>
        <w:rPr>
          <w:spacing w:val="-1"/>
          <w:sz w:val="20"/>
        </w:rPr>
        <w:t> </w:t>
      </w:r>
      <w:r>
        <w:rPr>
          <w:sz w:val="20"/>
        </w:rPr>
        <w:t>a</w:t>
      </w:r>
      <w:r>
        <w:rPr>
          <w:spacing w:val="-4"/>
          <w:sz w:val="20"/>
        </w:rPr>
        <w:t> </w:t>
      </w:r>
      <w:r>
        <w:rPr>
          <w:sz w:val="20"/>
        </w:rPr>
        <w:t>significant</w:t>
      </w:r>
      <w:r>
        <w:rPr>
          <w:spacing w:val="-5"/>
          <w:sz w:val="20"/>
        </w:rPr>
        <w:t> </w:t>
      </w:r>
      <w:r>
        <w:rPr>
          <w:sz w:val="20"/>
        </w:rPr>
        <w:t>difference Values sharing the same superscript mean there is no significant difference</w:t>
      </w:r>
    </w:p>
    <w:p>
      <w:pPr>
        <w:spacing w:after="0"/>
        <w:jc w:val="left"/>
        <w:rPr>
          <w:sz w:val="20"/>
        </w:rPr>
        <w:sectPr>
          <w:pgSz w:w="11910" w:h="16840"/>
          <w:pgMar w:header="0" w:footer="1067" w:top="1060" w:bottom="1260" w:left="880" w:right="640"/>
        </w:sectPr>
      </w:pPr>
    </w:p>
    <w:p>
      <w:pPr>
        <w:pStyle w:val="Heading3"/>
        <w:numPr>
          <w:ilvl w:val="1"/>
          <w:numId w:val="12"/>
        </w:numPr>
        <w:tabs>
          <w:tab w:pos="1220" w:val="left" w:leader="none"/>
        </w:tabs>
        <w:spacing w:line="240" w:lineRule="auto" w:before="75" w:after="0"/>
        <w:ind w:left="1220" w:right="0" w:hanging="660"/>
        <w:jc w:val="left"/>
      </w:pPr>
      <w:r>
        <w:rPr/>
        <w:t>Definitions</w:t>
      </w:r>
      <w:r>
        <w:rPr>
          <w:spacing w:val="-2"/>
        </w:rPr>
        <w:t> </w:t>
      </w:r>
      <w:r>
        <w:rPr/>
        <w:t>of Cut-off </w:t>
      </w:r>
      <w:r>
        <w:rPr>
          <w:spacing w:val="-2"/>
        </w:rPr>
        <w:t>Values</w:t>
      </w:r>
    </w:p>
    <w:p>
      <w:pPr>
        <w:pStyle w:val="BodyText"/>
        <w:spacing w:before="271"/>
        <w:ind w:left="560"/>
      </w:pPr>
      <w:r>
        <w:rPr/>
        <w:t>In</w:t>
      </w:r>
      <w:r>
        <w:rPr>
          <w:spacing w:val="24"/>
        </w:rPr>
        <w:t> </w:t>
      </w:r>
      <w:r>
        <w:rPr/>
        <w:t>this</w:t>
      </w:r>
      <w:r>
        <w:rPr>
          <w:spacing w:val="26"/>
        </w:rPr>
        <w:t> </w:t>
      </w:r>
      <w:r>
        <w:rPr/>
        <w:t>study,</w:t>
      </w:r>
      <w:r>
        <w:rPr>
          <w:spacing w:val="27"/>
        </w:rPr>
        <w:t> </w:t>
      </w:r>
      <w:r>
        <w:rPr/>
        <w:t>pregnant</w:t>
      </w:r>
      <w:r>
        <w:rPr>
          <w:spacing w:val="27"/>
        </w:rPr>
        <w:t> </w:t>
      </w:r>
      <w:r>
        <w:rPr/>
        <w:t>and</w:t>
      </w:r>
      <w:r>
        <w:rPr>
          <w:spacing w:val="26"/>
        </w:rPr>
        <w:t> </w:t>
      </w:r>
      <w:r>
        <w:rPr/>
        <w:t>non-pregnant</w:t>
      </w:r>
      <w:r>
        <w:rPr>
          <w:spacing w:val="28"/>
        </w:rPr>
        <w:t> </w:t>
      </w:r>
      <w:r>
        <w:rPr/>
        <w:t>women</w:t>
      </w:r>
      <w:r>
        <w:rPr>
          <w:spacing w:val="28"/>
        </w:rPr>
        <w:t> </w:t>
      </w:r>
      <w:r>
        <w:rPr/>
        <w:t>with</w:t>
      </w:r>
      <w:r>
        <w:rPr>
          <w:spacing w:val="27"/>
        </w:rPr>
        <w:t> </w:t>
      </w:r>
      <w:r>
        <w:rPr/>
        <w:t>haemoglobin</w:t>
      </w:r>
      <w:r>
        <w:rPr>
          <w:spacing w:val="28"/>
        </w:rPr>
        <w:t> </w:t>
      </w:r>
      <w:r>
        <w:rPr/>
        <w:t>&lt;110g/L</w:t>
      </w:r>
      <w:r>
        <w:rPr>
          <w:spacing w:val="21"/>
        </w:rPr>
        <w:t> </w:t>
      </w:r>
      <w:r>
        <w:rPr/>
        <w:t>(&lt;11g/dl)</w:t>
      </w:r>
      <w:r>
        <w:rPr>
          <w:spacing w:val="26"/>
        </w:rPr>
        <w:t> </w:t>
      </w:r>
      <w:r>
        <w:rPr>
          <w:spacing w:val="-5"/>
        </w:rPr>
        <w:t>and</w:t>
      </w:r>
    </w:p>
    <w:p>
      <w:pPr>
        <w:pStyle w:val="BodyText"/>
      </w:pPr>
    </w:p>
    <w:p>
      <w:pPr>
        <w:pStyle w:val="BodyText"/>
        <w:tabs>
          <w:tab w:pos="1707" w:val="left" w:leader="none"/>
          <w:tab w:pos="2779" w:val="left" w:leader="none"/>
          <w:tab w:pos="4061" w:val="left" w:leader="none"/>
          <w:tab w:pos="5077" w:val="left" w:leader="none"/>
          <w:tab w:pos="5733" w:val="left" w:leader="none"/>
          <w:tab w:pos="6719" w:val="left" w:leader="none"/>
          <w:tab w:pos="8280" w:val="left" w:leader="none"/>
        </w:tabs>
        <w:spacing w:line="480" w:lineRule="auto" w:before="1"/>
        <w:ind w:left="560" w:right="795"/>
      </w:pPr>
      <w:r>
        <w:rPr/>
        <w:t>&lt;120g/L (&lt;12.0g/dl) respectively were considered anaemic in accordance with World Health Organization‟s definition (WHO, 2000). For sTfR, values 25.13- 64nmol/L and &gt;64nmol/L were adopted respectively as indicators for normal and increased erythropoiesis(Monobind,</w:t>
      </w:r>
      <w:r>
        <w:rPr>
          <w:spacing w:val="40"/>
        </w:rPr>
        <w:t> </w:t>
      </w:r>
      <w:r>
        <w:rPr/>
        <w:t>2013) while serum ferritin &lt;12μg/L wasadopted as indicator ofdecreasediron stores (WHO,</w:t>
      </w:r>
      <w:r>
        <w:rPr>
          <w:spacing w:val="40"/>
        </w:rPr>
        <w:t> </w:t>
      </w:r>
      <w:r>
        <w:rPr/>
        <w:t>2000).C-reactive protein (C-RP) &gt;10mg/L was adopted as indicator for inflammation (Cook and Skikne, 1989). The results of the parameters of the subjects were presented as follows: Table</w:t>
      </w:r>
      <w:r>
        <w:rPr>
          <w:spacing w:val="-3"/>
        </w:rPr>
        <w:t> </w:t>
      </w:r>
      <w:r>
        <w:rPr/>
        <w:t>4.10</w:t>
      </w:r>
      <w:r>
        <w:rPr>
          <w:spacing w:val="-4"/>
        </w:rPr>
        <w:t> </w:t>
      </w:r>
      <w:r>
        <w:rPr/>
        <w:t>shows</w:t>
      </w:r>
      <w:r>
        <w:rPr>
          <w:spacing w:val="-3"/>
        </w:rPr>
        <w:t> </w:t>
      </w:r>
      <w:r>
        <w:rPr/>
        <w:t>thePercentage</w:t>
      </w:r>
      <w:r>
        <w:rPr>
          <w:spacing w:val="-1"/>
        </w:rPr>
        <w:t> </w:t>
      </w:r>
      <w:r>
        <w:rPr/>
        <w:t>distribution</w:t>
      </w:r>
      <w:r>
        <w:rPr>
          <w:spacing w:val="-3"/>
        </w:rPr>
        <w:t> </w:t>
      </w:r>
      <w:r>
        <w:rPr/>
        <w:t>of</w:t>
      </w:r>
      <w:r>
        <w:rPr>
          <w:spacing w:val="-4"/>
        </w:rPr>
        <w:t> </w:t>
      </w:r>
      <w:r>
        <w:rPr/>
        <w:t>anaemia</w:t>
      </w:r>
      <w:r>
        <w:rPr>
          <w:spacing w:val="-4"/>
        </w:rPr>
        <w:t> </w:t>
      </w:r>
      <w:r>
        <w:rPr/>
        <w:t>among</w:t>
      </w:r>
      <w:r>
        <w:rPr>
          <w:spacing w:val="-3"/>
        </w:rPr>
        <w:t> </w:t>
      </w:r>
      <w:r>
        <w:rPr/>
        <w:t>pregnant</w:t>
      </w:r>
      <w:r>
        <w:rPr>
          <w:spacing w:val="-1"/>
        </w:rPr>
        <w:t> </w:t>
      </w:r>
      <w:r>
        <w:rPr/>
        <w:t>women</w:t>
      </w:r>
      <w:r>
        <w:rPr>
          <w:spacing w:val="-3"/>
        </w:rPr>
        <w:t> </w:t>
      </w:r>
      <w:r>
        <w:rPr/>
        <w:t>with</w:t>
      </w:r>
      <w:r>
        <w:rPr>
          <w:spacing w:val="-3"/>
        </w:rPr>
        <w:t> </w:t>
      </w:r>
      <w:r>
        <w:rPr/>
        <w:t>malaria and</w:t>
      </w:r>
      <w:r>
        <w:rPr>
          <w:spacing w:val="35"/>
        </w:rPr>
        <w:t> </w:t>
      </w:r>
      <w:r>
        <w:rPr/>
        <w:t>their</w:t>
      </w:r>
      <w:r>
        <w:rPr>
          <w:spacing w:val="35"/>
        </w:rPr>
        <w:t> </w:t>
      </w:r>
      <w:r>
        <w:rPr/>
        <w:t>uninfected</w:t>
      </w:r>
      <w:r>
        <w:rPr>
          <w:spacing w:val="36"/>
        </w:rPr>
        <w:t> </w:t>
      </w:r>
      <w:r>
        <w:rPr/>
        <w:t>counterparts</w:t>
      </w:r>
      <w:r>
        <w:rPr>
          <w:spacing w:val="35"/>
        </w:rPr>
        <w:t> </w:t>
      </w:r>
      <w:r>
        <w:rPr/>
        <w:t>using</w:t>
      </w:r>
      <w:r>
        <w:rPr>
          <w:spacing w:val="35"/>
        </w:rPr>
        <w:t> </w:t>
      </w:r>
      <w:r>
        <w:rPr/>
        <w:t>their</w:t>
      </w:r>
      <w:r>
        <w:rPr>
          <w:spacing w:val="35"/>
        </w:rPr>
        <w:t> </w:t>
      </w:r>
      <w:r>
        <w:rPr/>
        <w:t>haemoglobin</w:t>
      </w:r>
      <w:r>
        <w:rPr>
          <w:spacing w:val="35"/>
        </w:rPr>
        <w:t> </w:t>
      </w:r>
      <w:r>
        <w:rPr/>
        <w:t>levels.</w:t>
      </w:r>
      <w:r>
        <w:rPr>
          <w:spacing w:val="40"/>
        </w:rPr>
        <w:t> </w:t>
      </w:r>
      <w:r>
        <w:rPr/>
        <w:t>For</w:t>
      </w:r>
      <w:r>
        <w:rPr>
          <w:spacing w:val="35"/>
        </w:rPr>
        <w:t> </w:t>
      </w:r>
      <w:r>
        <w:rPr/>
        <w:t>the</w:t>
      </w:r>
      <w:r>
        <w:rPr>
          <w:spacing w:val="35"/>
        </w:rPr>
        <w:t> </w:t>
      </w:r>
      <w:r>
        <w:rPr/>
        <w:t>malaria</w:t>
      </w:r>
      <w:r>
        <w:rPr>
          <w:spacing w:val="34"/>
        </w:rPr>
        <w:t> </w:t>
      </w:r>
      <w:r>
        <w:rPr/>
        <w:t>infected </w:t>
      </w:r>
      <w:r>
        <w:rPr>
          <w:spacing w:val="-2"/>
        </w:rPr>
        <w:t>pregnant</w:t>
      </w:r>
      <w:r>
        <w:rPr/>
        <w:tab/>
      </w:r>
      <w:r>
        <w:rPr>
          <w:spacing w:val="-2"/>
        </w:rPr>
        <w:t>women,</w:t>
      </w:r>
      <w:r>
        <w:rPr/>
        <w:tab/>
      </w:r>
      <w:r>
        <w:rPr>
          <w:spacing w:val="-2"/>
        </w:rPr>
        <w:t>thirty-five</w:t>
      </w:r>
      <w:r>
        <w:rPr/>
        <w:tab/>
      </w:r>
      <w:r>
        <w:rPr>
          <w:spacing w:val="-2"/>
        </w:rPr>
        <w:t>percent</w:t>
      </w:r>
      <w:r>
        <w:rPr/>
        <w:tab/>
      </w:r>
      <w:r>
        <w:rPr>
          <w:spacing w:val="-4"/>
        </w:rPr>
        <w:t>had</w:t>
      </w:r>
      <w:r>
        <w:rPr/>
        <w:tab/>
      </w:r>
      <w:r>
        <w:rPr>
          <w:spacing w:val="-2"/>
        </w:rPr>
        <w:t>normal</w:t>
      </w:r>
      <w:r>
        <w:rPr/>
        <w:tab/>
      </w:r>
      <w:r>
        <w:rPr>
          <w:spacing w:val="-2"/>
        </w:rPr>
        <w:t>haemoglobin</w:t>
      </w:r>
      <w:r>
        <w:rPr/>
        <w:tab/>
      </w:r>
      <w:r>
        <w:rPr>
          <w:spacing w:val="-2"/>
        </w:rPr>
        <w:t>concentration </w:t>
      </w:r>
      <w:r>
        <w:rPr/>
        <w:t>(Hb&gt;110g/dl)while</w:t>
      </w:r>
      <w:r>
        <w:rPr>
          <w:spacing w:val="71"/>
        </w:rPr>
        <w:t> </w:t>
      </w:r>
      <w:r>
        <w:rPr/>
        <w:t>64.6%</w:t>
      </w:r>
      <w:r>
        <w:rPr>
          <w:spacing w:val="71"/>
        </w:rPr>
        <w:t> </w:t>
      </w:r>
      <w:r>
        <w:rPr/>
        <w:t>had</w:t>
      </w:r>
      <w:r>
        <w:rPr>
          <w:spacing w:val="72"/>
        </w:rPr>
        <w:t> </w:t>
      </w:r>
      <w:r>
        <w:rPr/>
        <w:t>anaemia.</w:t>
      </w:r>
      <w:r>
        <w:rPr>
          <w:spacing w:val="71"/>
        </w:rPr>
        <w:t> </w:t>
      </w:r>
      <w:r>
        <w:rPr/>
        <w:t>Mild</w:t>
      </w:r>
      <w:r>
        <w:rPr>
          <w:spacing w:val="73"/>
        </w:rPr>
        <w:t> </w:t>
      </w:r>
      <w:r>
        <w:rPr/>
        <w:t>anaemia</w:t>
      </w:r>
      <w:r>
        <w:rPr>
          <w:spacing w:val="71"/>
        </w:rPr>
        <w:t> </w:t>
      </w:r>
      <w:r>
        <w:rPr/>
        <w:t>(Hb</w:t>
      </w:r>
      <w:r>
        <w:rPr>
          <w:spacing w:val="71"/>
        </w:rPr>
        <w:t> </w:t>
      </w:r>
      <w:r>
        <w:rPr/>
        <w:t>90</w:t>
      </w:r>
      <w:r>
        <w:rPr>
          <w:spacing w:val="75"/>
        </w:rPr>
        <w:t> </w:t>
      </w:r>
      <w:r>
        <w:rPr/>
        <w:t>–</w:t>
      </w:r>
      <w:r>
        <w:rPr>
          <w:spacing w:val="71"/>
        </w:rPr>
        <w:t> </w:t>
      </w:r>
      <w:r>
        <w:rPr/>
        <w:t>109.9g/L)</w:t>
      </w:r>
      <w:r>
        <w:rPr>
          <w:spacing w:val="71"/>
        </w:rPr>
        <w:t> </w:t>
      </w:r>
      <w:r>
        <w:rPr/>
        <w:t>showed</w:t>
      </w:r>
      <w:r>
        <w:rPr>
          <w:spacing w:val="72"/>
        </w:rPr>
        <w:t> </w:t>
      </w:r>
      <w:r>
        <w:rPr/>
        <w:t>at 56.94%, moderate anaemia (Hb 70-89.9g/L) at7.64% while none of the subjects had severe</w:t>
      </w:r>
      <w:r>
        <w:rPr>
          <w:spacing w:val="40"/>
        </w:rPr>
        <w:t> </w:t>
      </w:r>
      <w:r>
        <w:rPr/>
        <w:t>anaemia. For the uninfected pregnant subjects, 37.09% had Hb&gt;110g/L while anaemia was</w:t>
      </w:r>
      <w:r>
        <w:rPr>
          <w:spacing w:val="80"/>
        </w:rPr>
        <w:t> </w:t>
      </w:r>
      <w:r>
        <w:rPr/>
        <w:t>recorded</w:t>
      </w:r>
      <w:r>
        <w:rPr>
          <w:spacing w:val="25"/>
        </w:rPr>
        <w:t> </w:t>
      </w:r>
      <w:r>
        <w:rPr/>
        <w:t>at</w:t>
      </w:r>
      <w:r>
        <w:rPr>
          <w:spacing w:val="26"/>
        </w:rPr>
        <w:t> </w:t>
      </w:r>
      <w:r>
        <w:rPr/>
        <w:t>62.9%.</w:t>
      </w:r>
      <w:r>
        <w:rPr>
          <w:spacing w:val="25"/>
        </w:rPr>
        <w:t> </w:t>
      </w:r>
      <w:r>
        <w:rPr/>
        <w:t>Mild</w:t>
      </w:r>
      <w:r>
        <w:rPr>
          <w:spacing w:val="28"/>
        </w:rPr>
        <w:t> </w:t>
      </w:r>
      <w:r>
        <w:rPr/>
        <w:t>anaemia</w:t>
      </w:r>
      <w:r>
        <w:rPr>
          <w:spacing w:val="24"/>
        </w:rPr>
        <w:t> </w:t>
      </w:r>
      <w:r>
        <w:rPr/>
        <w:t>was</w:t>
      </w:r>
      <w:r>
        <w:rPr>
          <w:spacing w:val="25"/>
        </w:rPr>
        <w:t> </w:t>
      </w:r>
      <w:r>
        <w:rPr/>
        <w:t>56.45%,</w:t>
      </w:r>
      <w:r>
        <w:rPr>
          <w:spacing w:val="28"/>
        </w:rPr>
        <w:t> </w:t>
      </w:r>
      <w:r>
        <w:rPr/>
        <w:t>moderate</w:t>
      </w:r>
      <w:r>
        <w:rPr>
          <w:spacing w:val="25"/>
        </w:rPr>
        <w:t> </w:t>
      </w:r>
      <w:r>
        <w:rPr/>
        <w:t>anaemia</w:t>
      </w:r>
      <w:r>
        <w:rPr>
          <w:spacing w:val="24"/>
        </w:rPr>
        <w:t> </w:t>
      </w:r>
      <w:r>
        <w:rPr/>
        <w:t>was</w:t>
      </w:r>
      <w:r>
        <w:rPr>
          <w:spacing w:val="25"/>
        </w:rPr>
        <w:t> </w:t>
      </w:r>
      <w:r>
        <w:rPr/>
        <w:t>3.23%</w:t>
      </w:r>
      <w:r>
        <w:rPr>
          <w:spacing w:val="28"/>
        </w:rPr>
        <w:t> </w:t>
      </w:r>
      <w:r>
        <w:rPr/>
        <w:t>while</w:t>
      </w:r>
      <w:r>
        <w:rPr>
          <w:spacing w:val="25"/>
        </w:rPr>
        <w:t> </w:t>
      </w:r>
      <w:r>
        <w:rPr/>
        <w:t>severe anaemia was 3.23%.</w:t>
      </w:r>
    </w:p>
    <w:p>
      <w:pPr>
        <w:pStyle w:val="BodyText"/>
        <w:spacing w:line="480" w:lineRule="auto" w:before="1"/>
        <w:ind w:left="560" w:right="796"/>
        <w:jc w:val="both"/>
      </w:pPr>
      <w:r>
        <w:rPr/>
        <w:t>Table 4.11 shows Comparison of sTfR levels in malaria infected pregnant women with those not infected with malaria. For the malaria infected pregnant women, 48.6% had normal erythropoiesis while 50.7% had increased erythropoiesis and 0.7% had marked</w:t>
      </w:r>
      <w:r>
        <w:rPr>
          <w:spacing w:val="40"/>
        </w:rPr>
        <w:t> </w:t>
      </w:r>
      <w:r>
        <w:rPr/>
        <w:t>erythropoiesis. With the uninfected pregnant women, 67.74% had normal iron supply,</w:t>
      </w:r>
      <w:r>
        <w:rPr>
          <w:spacing w:val="40"/>
        </w:rPr>
        <w:t> </w:t>
      </w:r>
      <w:r>
        <w:rPr/>
        <w:t>29.03% had increased erythropoiesis and 3.23% had marked erythropoiesis.</w:t>
      </w:r>
    </w:p>
    <w:p>
      <w:pPr>
        <w:pStyle w:val="BodyText"/>
        <w:spacing w:line="480" w:lineRule="auto" w:before="1"/>
        <w:ind w:left="560" w:right="797"/>
        <w:jc w:val="both"/>
      </w:pPr>
      <w:r>
        <w:rPr/>
        <w:t>Table 4.12SF levels among malaria infected pregnant women compared with uninfected pregnant</w:t>
      </w:r>
      <w:r>
        <w:rPr>
          <w:spacing w:val="-1"/>
        </w:rPr>
        <w:t> </w:t>
      </w:r>
      <w:r>
        <w:rPr/>
        <w:t>women.</w:t>
      </w:r>
      <w:r>
        <w:rPr>
          <w:spacing w:val="-1"/>
        </w:rPr>
        <w:t> </w:t>
      </w:r>
      <w:r>
        <w:rPr/>
        <w:t>For</w:t>
      </w:r>
      <w:r>
        <w:rPr>
          <w:spacing w:val="-2"/>
        </w:rPr>
        <w:t> </w:t>
      </w:r>
      <w:r>
        <w:rPr/>
        <w:t>the malaria</w:t>
      </w:r>
      <w:r>
        <w:rPr>
          <w:spacing w:val="-3"/>
        </w:rPr>
        <w:t> </w:t>
      </w:r>
      <w:r>
        <w:rPr/>
        <w:t>infected</w:t>
      </w:r>
      <w:r>
        <w:rPr>
          <w:spacing w:val="-2"/>
        </w:rPr>
        <w:t> </w:t>
      </w:r>
      <w:r>
        <w:rPr/>
        <w:t>pregnant</w:t>
      </w:r>
      <w:r>
        <w:rPr>
          <w:spacing w:val="-1"/>
        </w:rPr>
        <w:t> </w:t>
      </w:r>
      <w:r>
        <w:rPr/>
        <w:t>women a</w:t>
      </w:r>
      <w:r>
        <w:rPr>
          <w:spacing w:val="-2"/>
        </w:rPr>
        <w:t> </w:t>
      </w:r>
      <w:r>
        <w:rPr/>
        <w:t>total</w:t>
      </w:r>
      <w:r>
        <w:rPr>
          <w:spacing w:val="-1"/>
        </w:rPr>
        <w:t> </w:t>
      </w:r>
      <w:r>
        <w:rPr/>
        <w:t>of</w:t>
      </w:r>
      <w:r>
        <w:rPr>
          <w:spacing w:val="-1"/>
        </w:rPr>
        <w:t> </w:t>
      </w:r>
      <w:r>
        <w:rPr/>
        <w:t>72.22%</w:t>
      </w:r>
      <w:r>
        <w:rPr>
          <w:spacing w:val="-2"/>
        </w:rPr>
        <w:t> </w:t>
      </w:r>
      <w:r>
        <w:rPr/>
        <w:t>had</w:t>
      </w:r>
      <w:r>
        <w:rPr>
          <w:spacing w:val="-1"/>
        </w:rPr>
        <w:t> </w:t>
      </w:r>
      <w:r>
        <w:rPr/>
        <w:t>normal</w:t>
      </w:r>
      <w:r>
        <w:rPr>
          <w:spacing w:val="-1"/>
        </w:rPr>
        <w:t> </w:t>
      </w:r>
      <w:r>
        <w:rPr/>
        <w:t>iron stores, 25.70% decreased iron stores, while 2.08% had increased iron stores. For the uninfected pregnant women, 75.81% had normal iron stores and 24.19%decreased iron</w:t>
      </w:r>
      <w:r>
        <w:rPr>
          <w:spacing w:val="80"/>
        </w:rPr>
        <w:t> </w:t>
      </w:r>
      <w:r>
        <w:rPr>
          <w:spacing w:val="-2"/>
        </w:rPr>
        <w:t>stores.</w:t>
      </w:r>
    </w:p>
    <w:p>
      <w:pPr>
        <w:spacing w:after="0" w:line="480" w:lineRule="auto"/>
        <w:jc w:val="both"/>
        <w:sectPr>
          <w:pgSz w:w="11910" w:h="16840"/>
          <w:pgMar w:header="0" w:footer="1067" w:top="1060" w:bottom="1260" w:left="880" w:right="640"/>
        </w:sectPr>
      </w:pPr>
    </w:p>
    <w:p>
      <w:pPr>
        <w:pStyle w:val="Heading3"/>
        <w:spacing w:line="360" w:lineRule="auto" w:before="77"/>
        <w:ind w:right="465"/>
        <w:jc w:val="both"/>
      </w:pPr>
      <w:r>
        <w:rPr/>
        <w:t>TABLE 4.10: PERCENTAGE DISTRIBUTION OF ANAEMIA AMONG PREGNANT WOMEN INFECTED WITH MALARIA AND THEIR UNINFECTED</w:t>
      </w:r>
      <w:r>
        <w:rPr>
          <w:spacing w:val="40"/>
        </w:rPr>
        <w:t> </w:t>
      </w:r>
      <w:r>
        <w:rPr/>
        <w:t>COUNTERPARTS USING THEIR Hb LEVELS</w:t>
      </w:r>
    </w:p>
    <w:p>
      <w:pPr>
        <w:pStyle w:val="BodyText"/>
        <w:spacing w:before="185" w:after="1"/>
        <w:rPr>
          <w:b/>
          <w:sz w:val="20"/>
        </w:rPr>
      </w:pPr>
    </w:p>
    <w:tbl>
      <w:tblPr>
        <w:tblW w:w="0" w:type="auto"/>
        <w:jc w:val="lef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5"/>
        <w:gridCol w:w="2345"/>
        <w:gridCol w:w="1486"/>
        <w:gridCol w:w="1639"/>
        <w:gridCol w:w="1579"/>
        <w:gridCol w:w="1691"/>
      </w:tblGrid>
      <w:tr>
        <w:trPr>
          <w:trHeight w:val="828" w:hRule="atLeast"/>
        </w:trPr>
        <w:tc>
          <w:tcPr>
            <w:tcW w:w="3440" w:type="dxa"/>
            <w:gridSpan w:val="2"/>
            <w:tcBorders>
              <w:top w:val="single" w:sz="4" w:space="0" w:color="000000"/>
            </w:tcBorders>
          </w:tcPr>
          <w:p>
            <w:pPr>
              <w:pStyle w:val="TableParagraph"/>
              <w:tabs>
                <w:tab w:pos="2755" w:val="left" w:leader="none"/>
              </w:tabs>
              <w:spacing w:line="360" w:lineRule="auto"/>
              <w:ind w:left="108" w:right="105"/>
              <w:jc w:val="left"/>
              <w:rPr>
                <w:b/>
                <w:sz w:val="22"/>
              </w:rPr>
            </w:pPr>
            <w:r>
              <w:rPr>
                <w:b/>
                <w:spacing w:val="-2"/>
                <w:sz w:val="22"/>
              </w:rPr>
              <w:t>FUNCTIONAL</w:t>
            </w:r>
            <w:r>
              <w:rPr>
                <w:b/>
                <w:sz w:val="22"/>
              </w:rPr>
              <w:tab/>
            </w:r>
            <w:r>
              <w:rPr>
                <w:b/>
                <w:spacing w:val="-4"/>
                <w:sz w:val="22"/>
              </w:rPr>
              <w:t>IRON </w:t>
            </w:r>
            <w:r>
              <w:rPr>
                <w:b/>
                <w:spacing w:val="-2"/>
                <w:sz w:val="22"/>
              </w:rPr>
              <w:t>COMPARTMENT</w:t>
            </w:r>
          </w:p>
        </w:tc>
        <w:tc>
          <w:tcPr>
            <w:tcW w:w="3125" w:type="dxa"/>
            <w:gridSpan w:val="2"/>
            <w:tcBorders>
              <w:top w:val="single" w:sz="4" w:space="0" w:color="000000"/>
            </w:tcBorders>
          </w:tcPr>
          <w:p>
            <w:pPr>
              <w:pStyle w:val="TableParagraph"/>
              <w:spacing w:line="360" w:lineRule="auto"/>
              <w:ind w:left="474" w:right="417" w:hanging="36"/>
              <w:jc w:val="left"/>
              <w:rPr>
                <w:b/>
                <w:sz w:val="22"/>
              </w:rPr>
            </w:pPr>
            <w:r>
              <w:rPr>
                <w:b/>
                <w:sz w:val="22"/>
              </w:rPr>
              <w:t>MALARIA</w:t>
            </w:r>
            <w:r>
              <w:rPr>
                <w:b/>
                <w:spacing w:val="-14"/>
                <w:sz w:val="22"/>
              </w:rPr>
              <w:t> </w:t>
            </w:r>
            <w:r>
              <w:rPr>
                <w:b/>
                <w:sz w:val="22"/>
              </w:rPr>
              <w:t>INFECTED PREGNANT</w:t>
            </w:r>
            <w:r>
              <w:rPr>
                <w:b/>
                <w:spacing w:val="-10"/>
                <w:sz w:val="22"/>
              </w:rPr>
              <w:t> </w:t>
            </w:r>
            <w:r>
              <w:rPr>
                <w:b/>
                <w:spacing w:val="-2"/>
                <w:sz w:val="22"/>
              </w:rPr>
              <w:t>WOMEN</w:t>
            </w:r>
          </w:p>
        </w:tc>
        <w:tc>
          <w:tcPr>
            <w:tcW w:w="3270" w:type="dxa"/>
            <w:gridSpan w:val="2"/>
            <w:tcBorders>
              <w:top w:val="single" w:sz="4" w:space="0" w:color="000000"/>
            </w:tcBorders>
          </w:tcPr>
          <w:p>
            <w:pPr>
              <w:pStyle w:val="TableParagraph"/>
              <w:spacing w:line="360" w:lineRule="auto"/>
              <w:ind w:left="547" w:right="332" w:hanging="197"/>
              <w:jc w:val="left"/>
              <w:rPr>
                <w:b/>
                <w:sz w:val="22"/>
              </w:rPr>
            </w:pPr>
            <w:r>
              <w:rPr>
                <w:b/>
                <w:sz w:val="22"/>
              </w:rPr>
              <w:t>MALARIA</w:t>
            </w:r>
            <w:r>
              <w:rPr>
                <w:b/>
                <w:spacing w:val="-14"/>
                <w:sz w:val="22"/>
              </w:rPr>
              <w:t> </w:t>
            </w:r>
            <w:r>
              <w:rPr>
                <w:b/>
                <w:sz w:val="22"/>
              </w:rPr>
              <w:t>UNINFECTED PREGNANT WOMEN</w:t>
            </w:r>
          </w:p>
        </w:tc>
      </w:tr>
      <w:tr>
        <w:trPr>
          <w:trHeight w:val="1122" w:hRule="atLeast"/>
        </w:trPr>
        <w:tc>
          <w:tcPr>
            <w:tcW w:w="1095" w:type="dxa"/>
            <w:tcBorders>
              <w:bottom w:val="single" w:sz="4" w:space="0" w:color="000000"/>
            </w:tcBorders>
          </w:tcPr>
          <w:p>
            <w:pPr>
              <w:pStyle w:val="TableParagraph"/>
              <w:jc w:val="left"/>
              <w:rPr>
                <w:sz w:val="22"/>
              </w:rPr>
            </w:pPr>
          </w:p>
        </w:tc>
        <w:tc>
          <w:tcPr>
            <w:tcW w:w="2345" w:type="dxa"/>
            <w:tcBorders>
              <w:bottom w:val="single" w:sz="4" w:space="0" w:color="000000"/>
            </w:tcBorders>
          </w:tcPr>
          <w:p>
            <w:pPr>
              <w:pStyle w:val="TableParagraph"/>
              <w:jc w:val="left"/>
              <w:rPr>
                <w:sz w:val="22"/>
              </w:rPr>
            </w:pPr>
          </w:p>
        </w:tc>
        <w:tc>
          <w:tcPr>
            <w:tcW w:w="1486" w:type="dxa"/>
            <w:tcBorders>
              <w:bottom w:val="single" w:sz="4" w:space="0" w:color="000000"/>
            </w:tcBorders>
          </w:tcPr>
          <w:p>
            <w:pPr>
              <w:pStyle w:val="TableParagraph"/>
              <w:spacing w:before="189"/>
              <w:ind w:left="105"/>
              <w:jc w:val="left"/>
              <w:rPr>
                <w:b/>
                <w:sz w:val="20"/>
              </w:rPr>
            </w:pPr>
            <w:r>
              <w:rPr>
                <w:b/>
                <w:spacing w:val="-2"/>
                <w:sz w:val="20"/>
              </w:rPr>
              <w:t>FREQUENCY</w:t>
            </w:r>
          </w:p>
          <w:p>
            <w:pPr>
              <w:pStyle w:val="TableParagraph"/>
              <w:spacing w:before="125"/>
              <w:jc w:val="left"/>
              <w:rPr>
                <w:b/>
                <w:sz w:val="20"/>
              </w:rPr>
            </w:pPr>
          </w:p>
          <w:p>
            <w:pPr>
              <w:pStyle w:val="TableParagraph"/>
              <w:ind w:left="105"/>
              <w:jc w:val="left"/>
              <w:rPr>
                <w:b/>
                <w:sz w:val="20"/>
              </w:rPr>
            </w:pPr>
            <w:r>
              <w:rPr>
                <w:b/>
                <w:spacing w:val="-4"/>
                <w:sz w:val="20"/>
              </w:rPr>
              <w:t>(No)</w:t>
            </w:r>
          </w:p>
        </w:tc>
        <w:tc>
          <w:tcPr>
            <w:tcW w:w="1639" w:type="dxa"/>
            <w:tcBorders>
              <w:bottom w:val="single" w:sz="4" w:space="0" w:color="000000"/>
            </w:tcBorders>
          </w:tcPr>
          <w:p>
            <w:pPr>
              <w:pStyle w:val="TableParagraph"/>
              <w:spacing w:before="189"/>
              <w:ind w:left="112"/>
              <w:jc w:val="left"/>
              <w:rPr>
                <w:b/>
                <w:sz w:val="20"/>
              </w:rPr>
            </w:pPr>
            <w:r>
              <w:rPr>
                <w:b/>
                <w:spacing w:val="-2"/>
                <w:sz w:val="20"/>
              </w:rPr>
              <w:t>PERCENTAGE</w:t>
            </w:r>
          </w:p>
          <w:p>
            <w:pPr>
              <w:pStyle w:val="TableParagraph"/>
              <w:spacing w:before="125"/>
              <w:jc w:val="left"/>
              <w:rPr>
                <w:b/>
                <w:sz w:val="20"/>
              </w:rPr>
            </w:pPr>
          </w:p>
          <w:p>
            <w:pPr>
              <w:pStyle w:val="TableParagraph"/>
              <w:ind w:left="112"/>
              <w:jc w:val="left"/>
              <w:rPr>
                <w:b/>
                <w:sz w:val="20"/>
              </w:rPr>
            </w:pPr>
            <w:r>
              <w:rPr>
                <w:b/>
                <w:spacing w:val="-5"/>
                <w:sz w:val="20"/>
              </w:rPr>
              <w:t>(%)</w:t>
            </w:r>
          </w:p>
        </w:tc>
        <w:tc>
          <w:tcPr>
            <w:tcW w:w="1579" w:type="dxa"/>
            <w:tcBorders>
              <w:bottom w:val="single" w:sz="4" w:space="0" w:color="000000"/>
            </w:tcBorders>
          </w:tcPr>
          <w:p>
            <w:pPr>
              <w:pStyle w:val="TableParagraph"/>
              <w:spacing w:before="189"/>
              <w:ind w:left="131"/>
              <w:jc w:val="left"/>
              <w:rPr>
                <w:b/>
                <w:sz w:val="20"/>
              </w:rPr>
            </w:pPr>
            <w:r>
              <w:rPr>
                <w:b/>
                <w:spacing w:val="-2"/>
                <w:sz w:val="20"/>
              </w:rPr>
              <w:t>FREQUENCY</w:t>
            </w:r>
          </w:p>
          <w:p>
            <w:pPr>
              <w:pStyle w:val="TableParagraph"/>
              <w:spacing w:before="125"/>
              <w:jc w:val="left"/>
              <w:rPr>
                <w:b/>
                <w:sz w:val="20"/>
              </w:rPr>
            </w:pPr>
          </w:p>
          <w:p>
            <w:pPr>
              <w:pStyle w:val="TableParagraph"/>
              <w:ind w:left="131"/>
              <w:jc w:val="left"/>
              <w:rPr>
                <w:b/>
                <w:sz w:val="20"/>
              </w:rPr>
            </w:pPr>
            <w:r>
              <w:rPr>
                <w:b/>
                <w:spacing w:val="-4"/>
                <w:sz w:val="20"/>
              </w:rPr>
              <w:t>(No)</w:t>
            </w:r>
          </w:p>
        </w:tc>
        <w:tc>
          <w:tcPr>
            <w:tcW w:w="1691" w:type="dxa"/>
            <w:tcBorders>
              <w:bottom w:val="single" w:sz="4" w:space="0" w:color="000000"/>
            </w:tcBorders>
          </w:tcPr>
          <w:p>
            <w:pPr>
              <w:pStyle w:val="TableParagraph"/>
              <w:spacing w:before="189"/>
              <w:ind w:left="173"/>
              <w:jc w:val="left"/>
              <w:rPr>
                <w:b/>
                <w:sz w:val="20"/>
              </w:rPr>
            </w:pPr>
            <w:r>
              <w:rPr>
                <w:b/>
                <w:spacing w:val="-2"/>
                <w:sz w:val="20"/>
              </w:rPr>
              <w:t>PERCENTAGE</w:t>
            </w:r>
          </w:p>
          <w:p>
            <w:pPr>
              <w:pStyle w:val="TableParagraph"/>
              <w:spacing w:before="125"/>
              <w:jc w:val="left"/>
              <w:rPr>
                <w:b/>
                <w:sz w:val="20"/>
              </w:rPr>
            </w:pPr>
          </w:p>
          <w:p>
            <w:pPr>
              <w:pStyle w:val="TableParagraph"/>
              <w:ind w:left="173"/>
              <w:jc w:val="left"/>
              <w:rPr>
                <w:b/>
                <w:sz w:val="20"/>
              </w:rPr>
            </w:pPr>
            <w:r>
              <w:rPr>
                <w:b/>
                <w:spacing w:val="-5"/>
                <w:sz w:val="20"/>
              </w:rPr>
              <w:t>(%)</w:t>
            </w:r>
          </w:p>
        </w:tc>
      </w:tr>
      <w:tr>
        <w:trPr>
          <w:trHeight w:val="703" w:hRule="atLeast"/>
        </w:trPr>
        <w:tc>
          <w:tcPr>
            <w:tcW w:w="1095" w:type="dxa"/>
            <w:tcBorders>
              <w:top w:val="single" w:sz="4" w:space="0" w:color="000000"/>
            </w:tcBorders>
          </w:tcPr>
          <w:p>
            <w:pPr>
              <w:pStyle w:val="TableParagraph"/>
              <w:jc w:val="left"/>
              <w:rPr>
                <w:sz w:val="22"/>
              </w:rPr>
            </w:pPr>
          </w:p>
        </w:tc>
        <w:tc>
          <w:tcPr>
            <w:tcW w:w="2345" w:type="dxa"/>
            <w:tcBorders>
              <w:top w:val="single" w:sz="4" w:space="0" w:color="000000"/>
            </w:tcBorders>
          </w:tcPr>
          <w:p>
            <w:pPr>
              <w:pStyle w:val="TableParagraph"/>
              <w:spacing w:before="234"/>
              <w:ind w:left="200"/>
              <w:jc w:val="left"/>
              <w:rPr>
                <w:sz w:val="24"/>
              </w:rPr>
            </w:pPr>
            <w:r>
              <w:rPr>
                <w:sz w:val="24"/>
              </w:rPr>
              <w:t>&gt;110</w:t>
            </w:r>
            <w:r>
              <w:rPr>
                <w:spacing w:val="-1"/>
                <w:sz w:val="24"/>
              </w:rPr>
              <w:t> </w:t>
            </w:r>
            <w:r>
              <w:rPr>
                <w:spacing w:val="-2"/>
                <w:sz w:val="24"/>
              </w:rPr>
              <w:t>(Normal)</w:t>
            </w:r>
          </w:p>
        </w:tc>
        <w:tc>
          <w:tcPr>
            <w:tcW w:w="1486" w:type="dxa"/>
            <w:tcBorders>
              <w:top w:val="single" w:sz="4" w:space="0" w:color="000000"/>
            </w:tcBorders>
          </w:tcPr>
          <w:p>
            <w:pPr>
              <w:pStyle w:val="TableParagraph"/>
              <w:spacing w:before="234"/>
              <w:ind w:left="105"/>
              <w:jc w:val="left"/>
              <w:rPr>
                <w:sz w:val="24"/>
              </w:rPr>
            </w:pPr>
            <w:r>
              <w:rPr>
                <w:spacing w:val="-5"/>
                <w:sz w:val="24"/>
              </w:rPr>
              <w:t>51</w:t>
            </w:r>
          </w:p>
        </w:tc>
        <w:tc>
          <w:tcPr>
            <w:tcW w:w="1639" w:type="dxa"/>
            <w:tcBorders>
              <w:top w:val="single" w:sz="4" w:space="0" w:color="000000"/>
            </w:tcBorders>
          </w:tcPr>
          <w:p>
            <w:pPr>
              <w:pStyle w:val="TableParagraph"/>
              <w:spacing w:before="234"/>
              <w:ind w:left="112"/>
              <w:jc w:val="left"/>
              <w:rPr>
                <w:sz w:val="24"/>
              </w:rPr>
            </w:pPr>
            <w:r>
              <w:rPr>
                <w:spacing w:val="-2"/>
                <w:sz w:val="24"/>
              </w:rPr>
              <w:t>35.42</w:t>
            </w:r>
          </w:p>
        </w:tc>
        <w:tc>
          <w:tcPr>
            <w:tcW w:w="1579" w:type="dxa"/>
            <w:tcBorders>
              <w:top w:val="single" w:sz="4" w:space="0" w:color="000000"/>
            </w:tcBorders>
          </w:tcPr>
          <w:p>
            <w:pPr>
              <w:pStyle w:val="TableParagraph"/>
              <w:spacing w:before="234"/>
              <w:ind w:left="131"/>
              <w:jc w:val="left"/>
              <w:rPr>
                <w:sz w:val="24"/>
              </w:rPr>
            </w:pPr>
            <w:r>
              <w:rPr>
                <w:spacing w:val="-5"/>
                <w:sz w:val="24"/>
              </w:rPr>
              <w:t>23</w:t>
            </w:r>
          </w:p>
        </w:tc>
        <w:tc>
          <w:tcPr>
            <w:tcW w:w="1691" w:type="dxa"/>
            <w:tcBorders>
              <w:top w:val="single" w:sz="4" w:space="0" w:color="000000"/>
            </w:tcBorders>
          </w:tcPr>
          <w:p>
            <w:pPr>
              <w:pStyle w:val="TableParagraph"/>
              <w:spacing w:before="234"/>
              <w:ind w:left="173"/>
              <w:jc w:val="left"/>
              <w:rPr>
                <w:sz w:val="24"/>
              </w:rPr>
            </w:pPr>
            <w:r>
              <w:rPr>
                <w:spacing w:val="-2"/>
                <w:sz w:val="24"/>
              </w:rPr>
              <w:t>37.09</w:t>
            </w:r>
          </w:p>
        </w:tc>
      </w:tr>
      <w:tr>
        <w:trPr>
          <w:trHeight w:val="654" w:hRule="atLeast"/>
        </w:trPr>
        <w:tc>
          <w:tcPr>
            <w:tcW w:w="1095" w:type="dxa"/>
          </w:tcPr>
          <w:p>
            <w:pPr>
              <w:pStyle w:val="TableParagraph"/>
              <w:spacing w:before="183"/>
              <w:ind w:left="108"/>
              <w:jc w:val="left"/>
              <w:rPr>
                <w:sz w:val="24"/>
              </w:rPr>
            </w:pPr>
            <w:r>
              <w:rPr>
                <w:spacing w:val="-2"/>
                <w:sz w:val="24"/>
              </w:rPr>
              <w:t>Hb(g/L)</w:t>
            </w:r>
          </w:p>
        </w:tc>
        <w:tc>
          <w:tcPr>
            <w:tcW w:w="2345" w:type="dxa"/>
          </w:tcPr>
          <w:p>
            <w:pPr>
              <w:pStyle w:val="TableParagraph"/>
              <w:spacing w:before="183"/>
              <w:ind w:left="200"/>
              <w:jc w:val="left"/>
              <w:rPr>
                <w:sz w:val="24"/>
              </w:rPr>
            </w:pPr>
            <w:r>
              <w:rPr>
                <w:sz w:val="24"/>
              </w:rPr>
              <w:t>90-109.0</w:t>
            </w:r>
            <w:r>
              <w:rPr>
                <w:spacing w:val="-1"/>
                <w:sz w:val="24"/>
              </w:rPr>
              <w:t> </w:t>
            </w:r>
            <w:r>
              <w:rPr>
                <w:spacing w:val="-2"/>
                <w:sz w:val="24"/>
              </w:rPr>
              <w:t>(Mild)</w:t>
            </w:r>
          </w:p>
        </w:tc>
        <w:tc>
          <w:tcPr>
            <w:tcW w:w="1486" w:type="dxa"/>
          </w:tcPr>
          <w:p>
            <w:pPr>
              <w:pStyle w:val="TableParagraph"/>
              <w:spacing w:before="183"/>
              <w:ind w:left="105"/>
              <w:jc w:val="left"/>
              <w:rPr>
                <w:sz w:val="24"/>
              </w:rPr>
            </w:pPr>
            <w:r>
              <w:rPr>
                <w:spacing w:val="-5"/>
                <w:sz w:val="24"/>
              </w:rPr>
              <w:t>82</w:t>
            </w:r>
          </w:p>
        </w:tc>
        <w:tc>
          <w:tcPr>
            <w:tcW w:w="1639" w:type="dxa"/>
          </w:tcPr>
          <w:p>
            <w:pPr>
              <w:pStyle w:val="TableParagraph"/>
              <w:spacing w:before="183"/>
              <w:ind w:left="112"/>
              <w:jc w:val="left"/>
              <w:rPr>
                <w:sz w:val="24"/>
              </w:rPr>
            </w:pPr>
            <w:r>
              <w:rPr>
                <w:spacing w:val="-2"/>
                <w:sz w:val="24"/>
              </w:rPr>
              <w:t>56.94</w:t>
            </w:r>
          </w:p>
        </w:tc>
        <w:tc>
          <w:tcPr>
            <w:tcW w:w="1579" w:type="dxa"/>
          </w:tcPr>
          <w:p>
            <w:pPr>
              <w:pStyle w:val="TableParagraph"/>
              <w:spacing w:before="183"/>
              <w:ind w:left="131"/>
              <w:jc w:val="left"/>
              <w:rPr>
                <w:sz w:val="24"/>
              </w:rPr>
            </w:pPr>
            <w:r>
              <w:rPr>
                <w:spacing w:val="-5"/>
                <w:sz w:val="24"/>
              </w:rPr>
              <w:t>35</w:t>
            </w:r>
          </w:p>
        </w:tc>
        <w:tc>
          <w:tcPr>
            <w:tcW w:w="1691" w:type="dxa"/>
          </w:tcPr>
          <w:p>
            <w:pPr>
              <w:pStyle w:val="TableParagraph"/>
              <w:spacing w:before="183"/>
              <w:ind w:left="173"/>
              <w:jc w:val="left"/>
              <w:rPr>
                <w:sz w:val="24"/>
              </w:rPr>
            </w:pPr>
            <w:r>
              <w:rPr>
                <w:spacing w:val="-2"/>
                <w:sz w:val="24"/>
              </w:rPr>
              <w:t>56.45</w:t>
            </w:r>
          </w:p>
        </w:tc>
      </w:tr>
      <w:tr>
        <w:trPr>
          <w:trHeight w:val="653" w:hRule="atLeast"/>
        </w:trPr>
        <w:tc>
          <w:tcPr>
            <w:tcW w:w="1095" w:type="dxa"/>
          </w:tcPr>
          <w:p>
            <w:pPr>
              <w:pStyle w:val="TableParagraph"/>
              <w:jc w:val="left"/>
              <w:rPr>
                <w:sz w:val="22"/>
              </w:rPr>
            </w:pPr>
          </w:p>
        </w:tc>
        <w:tc>
          <w:tcPr>
            <w:tcW w:w="2345" w:type="dxa"/>
          </w:tcPr>
          <w:p>
            <w:pPr>
              <w:pStyle w:val="TableParagraph"/>
              <w:spacing w:before="184"/>
              <w:ind w:left="200"/>
              <w:jc w:val="left"/>
              <w:rPr>
                <w:sz w:val="24"/>
              </w:rPr>
            </w:pPr>
            <w:r>
              <w:rPr>
                <w:sz w:val="24"/>
              </w:rPr>
              <w:t>70-89.9</w:t>
            </w:r>
            <w:r>
              <w:rPr>
                <w:spacing w:val="-1"/>
                <w:sz w:val="24"/>
              </w:rPr>
              <w:t> </w:t>
            </w:r>
            <w:r>
              <w:rPr>
                <w:spacing w:val="-2"/>
                <w:sz w:val="24"/>
              </w:rPr>
              <w:t>(Moderate)</w:t>
            </w:r>
          </w:p>
        </w:tc>
        <w:tc>
          <w:tcPr>
            <w:tcW w:w="1486" w:type="dxa"/>
          </w:tcPr>
          <w:p>
            <w:pPr>
              <w:pStyle w:val="TableParagraph"/>
              <w:spacing w:before="184"/>
              <w:ind w:left="285"/>
              <w:jc w:val="left"/>
              <w:rPr>
                <w:sz w:val="24"/>
              </w:rPr>
            </w:pPr>
            <w:r>
              <w:rPr>
                <w:spacing w:val="-5"/>
                <w:sz w:val="24"/>
              </w:rPr>
              <w:t>11</w:t>
            </w:r>
          </w:p>
        </w:tc>
        <w:tc>
          <w:tcPr>
            <w:tcW w:w="1639" w:type="dxa"/>
          </w:tcPr>
          <w:p>
            <w:pPr>
              <w:pStyle w:val="TableParagraph"/>
              <w:spacing w:before="184"/>
              <w:ind w:left="112"/>
              <w:jc w:val="left"/>
              <w:rPr>
                <w:sz w:val="24"/>
              </w:rPr>
            </w:pPr>
            <w:r>
              <w:rPr>
                <w:spacing w:val="-4"/>
                <w:sz w:val="24"/>
              </w:rPr>
              <w:t>7.64</w:t>
            </w:r>
          </w:p>
        </w:tc>
        <w:tc>
          <w:tcPr>
            <w:tcW w:w="1579" w:type="dxa"/>
          </w:tcPr>
          <w:p>
            <w:pPr>
              <w:pStyle w:val="TableParagraph"/>
              <w:spacing w:before="184"/>
              <w:ind w:left="131"/>
              <w:jc w:val="left"/>
              <w:rPr>
                <w:sz w:val="24"/>
              </w:rPr>
            </w:pPr>
            <w:r>
              <w:rPr>
                <w:spacing w:val="-10"/>
                <w:sz w:val="24"/>
              </w:rPr>
              <w:t>2</w:t>
            </w:r>
          </w:p>
        </w:tc>
        <w:tc>
          <w:tcPr>
            <w:tcW w:w="1691" w:type="dxa"/>
          </w:tcPr>
          <w:p>
            <w:pPr>
              <w:pStyle w:val="TableParagraph"/>
              <w:spacing w:before="184"/>
              <w:ind w:left="173"/>
              <w:jc w:val="left"/>
              <w:rPr>
                <w:sz w:val="24"/>
              </w:rPr>
            </w:pPr>
            <w:r>
              <w:rPr>
                <w:spacing w:val="-4"/>
                <w:sz w:val="24"/>
              </w:rPr>
              <w:t>3.23</w:t>
            </w:r>
          </w:p>
        </w:tc>
      </w:tr>
      <w:tr>
        <w:trPr>
          <w:trHeight w:val="704" w:hRule="atLeast"/>
        </w:trPr>
        <w:tc>
          <w:tcPr>
            <w:tcW w:w="1095" w:type="dxa"/>
            <w:tcBorders>
              <w:bottom w:val="single" w:sz="4" w:space="0" w:color="000000"/>
            </w:tcBorders>
          </w:tcPr>
          <w:p>
            <w:pPr>
              <w:pStyle w:val="TableParagraph"/>
              <w:jc w:val="left"/>
              <w:rPr>
                <w:sz w:val="22"/>
              </w:rPr>
            </w:pPr>
          </w:p>
        </w:tc>
        <w:tc>
          <w:tcPr>
            <w:tcW w:w="2345" w:type="dxa"/>
            <w:tcBorders>
              <w:bottom w:val="single" w:sz="4" w:space="0" w:color="000000"/>
            </w:tcBorders>
          </w:tcPr>
          <w:p>
            <w:pPr>
              <w:pStyle w:val="TableParagraph"/>
              <w:spacing w:before="183"/>
              <w:ind w:left="200"/>
              <w:jc w:val="left"/>
              <w:rPr>
                <w:sz w:val="24"/>
              </w:rPr>
            </w:pPr>
            <w:r>
              <w:rPr>
                <w:sz w:val="24"/>
              </w:rPr>
              <w:t>&lt;70</w:t>
            </w:r>
            <w:r>
              <w:rPr>
                <w:spacing w:val="-1"/>
                <w:sz w:val="24"/>
              </w:rPr>
              <w:t> </w:t>
            </w:r>
            <w:r>
              <w:rPr>
                <w:spacing w:val="-2"/>
                <w:sz w:val="24"/>
              </w:rPr>
              <w:t>(Severe)</w:t>
            </w:r>
          </w:p>
        </w:tc>
        <w:tc>
          <w:tcPr>
            <w:tcW w:w="1486" w:type="dxa"/>
            <w:tcBorders>
              <w:bottom w:val="single" w:sz="4" w:space="0" w:color="000000"/>
            </w:tcBorders>
          </w:tcPr>
          <w:p>
            <w:pPr>
              <w:pStyle w:val="TableParagraph"/>
              <w:spacing w:before="183"/>
              <w:ind w:left="105"/>
              <w:jc w:val="left"/>
              <w:rPr>
                <w:sz w:val="24"/>
              </w:rPr>
            </w:pPr>
            <w:r>
              <w:rPr>
                <w:spacing w:val="-10"/>
                <w:sz w:val="24"/>
              </w:rPr>
              <w:t>0</w:t>
            </w:r>
          </w:p>
        </w:tc>
        <w:tc>
          <w:tcPr>
            <w:tcW w:w="1639" w:type="dxa"/>
            <w:tcBorders>
              <w:bottom w:val="single" w:sz="4" w:space="0" w:color="000000"/>
            </w:tcBorders>
          </w:tcPr>
          <w:p>
            <w:pPr>
              <w:pStyle w:val="TableParagraph"/>
              <w:spacing w:before="183"/>
              <w:ind w:left="112"/>
              <w:jc w:val="left"/>
              <w:rPr>
                <w:sz w:val="24"/>
              </w:rPr>
            </w:pPr>
            <w:r>
              <w:rPr>
                <w:spacing w:val="-10"/>
                <w:sz w:val="24"/>
              </w:rPr>
              <w:t>0</w:t>
            </w:r>
          </w:p>
        </w:tc>
        <w:tc>
          <w:tcPr>
            <w:tcW w:w="1579" w:type="dxa"/>
            <w:tcBorders>
              <w:bottom w:val="single" w:sz="4" w:space="0" w:color="000000"/>
            </w:tcBorders>
          </w:tcPr>
          <w:p>
            <w:pPr>
              <w:pStyle w:val="TableParagraph"/>
              <w:spacing w:before="183"/>
              <w:ind w:left="131"/>
              <w:jc w:val="left"/>
              <w:rPr>
                <w:sz w:val="24"/>
              </w:rPr>
            </w:pPr>
            <w:r>
              <w:rPr>
                <w:spacing w:val="-10"/>
                <w:sz w:val="24"/>
              </w:rPr>
              <w:t>2</w:t>
            </w:r>
          </w:p>
        </w:tc>
        <w:tc>
          <w:tcPr>
            <w:tcW w:w="1691" w:type="dxa"/>
            <w:tcBorders>
              <w:bottom w:val="single" w:sz="4" w:space="0" w:color="000000"/>
            </w:tcBorders>
          </w:tcPr>
          <w:p>
            <w:pPr>
              <w:pStyle w:val="TableParagraph"/>
              <w:spacing w:before="183"/>
              <w:ind w:left="173"/>
              <w:jc w:val="left"/>
              <w:rPr>
                <w:sz w:val="24"/>
              </w:rPr>
            </w:pPr>
            <w:r>
              <w:rPr>
                <w:spacing w:val="-4"/>
                <w:sz w:val="24"/>
              </w:rPr>
              <w:t>3.23</w:t>
            </w:r>
          </w:p>
        </w:tc>
      </w:tr>
    </w:tbl>
    <w:p>
      <w:pPr>
        <w:spacing w:after="0"/>
        <w:jc w:val="left"/>
        <w:rPr>
          <w:sz w:val="24"/>
        </w:rPr>
        <w:sectPr>
          <w:pgSz w:w="11910" w:h="16840"/>
          <w:pgMar w:header="0" w:footer="1067" w:top="1060" w:bottom="1260" w:left="880" w:right="640"/>
        </w:sectPr>
      </w:pPr>
    </w:p>
    <w:p>
      <w:pPr>
        <w:spacing w:line="360" w:lineRule="auto" w:before="77"/>
        <w:ind w:left="560" w:right="795" w:firstLine="0"/>
        <w:jc w:val="left"/>
        <w:rPr>
          <w:b/>
          <w:sz w:val="22"/>
        </w:rPr>
      </w:pPr>
      <w:r>
        <w:rPr>
          <w:b/>
          <w:sz w:val="22"/>
        </w:rPr>
        <w:t>TABLE</w:t>
      </w:r>
      <w:r>
        <w:rPr>
          <w:b/>
          <w:spacing w:val="-5"/>
          <w:sz w:val="22"/>
        </w:rPr>
        <w:t> </w:t>
      </w:r>
      <w:r>
        <w:rPr>
          <w:b/>
          <w:sz w:val="22"/>
        </w:rPr>
        <w:t>4.11:</w:t>
      </w:r>
      <w:r>
        <w:rPr>
          <w:b/>
          <w:spacing w:val="-3"/>
          <w:sz w:val="22"/>
        </w:rPr>
        <w:t> </w:t>
      </w:r>
      <w:r>
        <w:rPr>
          <w:b/>
          <w:sz w:val="22"/>
        </w:rPr>
        <w:t>COMPARISON</w:t>
      </w:r>
      <w:r>
        <w:rPr>
          <w:b/>
          <w:spacing w:val="-4"/>
          <w:sz w:val="22"/>
        </w:rPr>
        <w:t> </w:t>
      </w:r>
      <w:r>
        <w:rPr>
          <w:b/>
          <w:sz w:val="22"/>
        </w:rPr>
        <w:t>OF</w:t>
      </w:r>
      <w:r>
        <w:rPr>
          <w:b/>
          <w:spacing w:val="-6"/>
          <w:sz w:val="22"/>
        </w:rPr>
        <w:t> </w:t>
      </w:r>
      <w:r>
        <w:rPr>
          <w:b/>
          <w:sz w:val="22"/>
        </w:rPr>
        <w:t>sTfR</w:t>
      </w:r>
      <w:r>
        <w:rPr>
          <w:b/>
          <w:spacing w:val="-5"/>
          <w:sz w:val="22"/>
        </w:rPr>
        <w:t> </w:t>
      </w:r>
      <w:r>
        <w:rPr>
          <w:b/>
          <w:sz w:val="22"/>
        </w:rPr>
        <w:t>LEVELS</w:t>
      </w:r>
      <w:r>
        <w:rPr>
          <w:b/>
          <w:spacing w:val="-4"/>
          <w:sz w:val="22"/>
        </w:rPr>
        <w:t> </w:t>
      </w:r>
      <w:r>
        <w:rPr>
          <w:b/>
          <w:sz w:val="22"/>
        </w:rPr>
        <w:t>IN</w:t>
      </w:r>
      <w:r>
        <w:rPr>
          <w:b/>
          <w:spacing w:val="-5"/>
          <w:sz w:val="22"/>
        </w:rPr>
        <w:t> </w:t>
      </w:r>
      <w:r>
        <w:rPr>
          <w:b/>
          <w:sz w:val="22"/>
        </w:rPr>
        <w:t>MALARIA</w:t>
      </w:r>
      <w:r>
        <w:rPr>
          <w:b/>
          <w:spacing w:val="-4"/>
          <w:sz w:val="22"/>
        </w:rPr>
        <w:t> </w:t>
      </w:r>
      <w:r>
        <w:rPr>
          <w:b/>
          <w:sz w:val="22"/>
        </w:rPr>
        <w:t>INFECTED</w:t>
      </w:r>
      <w:r>
        <w:rPr>
          <w:b/>
          <w:spacing w:val="-5"/>
          <w:sz w:val="22"/>
        </w:rPr>
        <w:t> </w:t>
      </w:r>
      <w:r>
        <w:rPr>
          <w:b/>
          <w:sz w:val="22"/>
        </w:rPr>
        <w:t>PREGNANT WOMEN WITH THOSE NOT INFECTED WITH MALARIA</w:t>
      </w:r>
    </w:p>
    <w:p>
      <w:pPr>
        <w:pStyle w:val="BodyText"/>
        <w:spacing w:before="150"/>
        <w:rPr>
          <w:b/>
          <w:sz w:val="20"/>
        </w:rPr>
      </w:pPr>
    </w:p>
    <w:tbl>
      <w:tblPr>
        <w:tblW w:w="0" w:type="auto"/>
        <w:jc w:val="lef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2"/>
        <w:gridCol w:w="1863"/>
        <w:gridCol w:w="1420"/>
        <w:gridCol w:w="1529"/>
        <w:gridCol w:w="1586"/>
        <w:gridCol w:w="1579"/>
      </w:tblGrid>
      <w:tr>
        <w:trPr>
          <w:trHeight w:val="722" w:hRule="atLeast"/>
        </w:trPr>
        <w:tc>
          <w:tcPr>
            <w:tcW w:w="3315" w:type="dxa"/>
            <w:gridSpan w:val="2"/>
            <w:tcBorders>
              <w:top w:val="single" w:sz="4" w:space="0" w:color="000000"/>
            </w:tcBorders>
          </w:tcPr>
          <w:p>
            <w:pPr>
              <w:pStyle w:val="TableParagraph"/>
              <w:spacing w:before="1"/>
              <w:ind w:left="182"/>
              <w:jc w:val="left"/>
              <w:rPr>
                <w:rFonts w:ascii="Calibri"/>
                <w:b/>
                <w:sz w:val="20"/>
              </w:rPr>
            </w:pPr>
            <w:r>
              <w:rPr>
                <w:rFonts w:ascii="Calibri"/>
                <w:b/>
                <w:sz w:val="20"/>
              </w:rPr>
              <w:t>TRANSPORT</w:t>
            </w:r>
            <w:r>
              <w:rPr>
                <w:rFonts w:ascii="Calibri"/>
                <w:b/>
                <w:spacing w:val="-11"/>
                <w:sz w:val="20"/>
              </w:rPr>
              <w:t> </w:t>
            </w:r>
            <w:r>
              <w:rPr>
                <w:rFonts w:ascii="Calibri"/>
                <w:b/>
                <w:sz w:val="20"/>
              </w:rPr>
              <w:t>IRON</w:t>
            </w:r>
            <w:r>
              <w:rPr>
                <w:rFonts w:ascii="Calibri"/>
                <w:b/>
                <w:spacing w:val="-10"/>
                <w:sz w:val="20"/>
              </w:rPr>
              <w:t> </w:t>
            </w:r>
            <w:r>
              <w:rPr>
                <w:rFonts w:ascii="Calibri"/>
                <w:b/>
                <w:spacing w:val="-2"/>
                <w:sz w:val="20"/>
              </w:rPr>
              <w:t>COMPARTMENT</w:t>
            </w:r>
          </w:p>
        </w:tc>
        <w:tc>
          <w:tcPr>
            <w:tcW w:w="2949" w:type="dxa"/>
            <w:gridSpan w:val="2"/>
            <w:tcBorders>
              <w:top w:val="single" w:sz="4" w:space="0" w:color="000000"/>
            </w:tcBorders>
          </w:tcPr>
          <w:p>
            <w:pPr>
              <w:pStyle w:val="TableParagraph"/>
              <w:spacing w:before="1"/>
              <w:ind w:right="4"/>
              <w:rPr>
                <w:rFonts w:ascii="Calibri"/>
                <w:b/>
                <w:sz w:val="20"/>
              </w:rPr>
            </w:pPr>
            <w:r>
              <w:rPr>
                <w:rFonts w:ascii="Calibri"/>
                <w:b/>
                <w:sz w:val="20"/>
              </w:rPr>
              <w:t>MALARIA</w:t>
            </w:r>
            <w:r>
              <w:rPr>
                <w:rFonts w:ascii="Calibri"/>
                <w:b/>
                <w:spacing w:val="-10"/>
                <w:sz w:val="20"/>
              </w:rPr>
              <w:t> </w:t>
            </w:r>
            <w:r>
              <w:rPr>
                <w:rFonts w:ascii="Calibri"/>
                <w:b/>
                <w:sz w:val="20"/>
              </w:rPr>
              <w:t>INFECTED</w:t>
            </w:r>
            <w:r>
              <w:rPr>
                <w:rFonts w:ascii="Calibri"/>
                <w:b/>
                <w:spacing w:val="-9"/>
                <w:sz w:val="20"/>
              </w:rPr>
              <w:t> </w:t>
            </w:r>
            <w:r>
              <w:rPr>
                <w:rFonts w:ascii="Calibri"/>
                <w:b/>
                <w:spacing w:val="-2"/>
                <w:sz w:val="20"/>
              </w:rPr>
              <w:t>PREGNANT</w:t>
            </w:r>
          </w:p>
          <w:p>
            <w:pPr>
              <w:pStyle w:val="TableParagraph"/>
              <w:spacing w:before="121"/>
              <w:ind w:left="1" w:right="4"/>
              <w:rPr>
                <w:rFonts w:ascii="Calibri"/>
                <w:b/>
                <w:sz w:val="20"/>
              </w:rPr>
            </w:pPr>
            <w:r>
              <w:rPr>
                <w:rFonts w:ascii="Calibri"/>
                <w:b/>
                <w:spacing w:val="-2"/>
                <w:sz w:val="20"/>
              </w:rPr>
              <w:t>WOMEN</w:t>
            </w:r>
          </w:p>
        </w:tc>
        <w:tc>
          <w:tcPr>
            <w:tcW w:w="3165" w:type="dxa"/>
            <w:gridSpan w:val="2"/>
            <w:tcBorders>
              <w:top w:val="single" w:sz="4" w:space="0" w:color="000000"/>
            </w:tcBorders>
          </w:tcPr>
          <w:p>
            <w:pPr>
              <w:pStyle w:val="TableParagraph"/>
              <w:spacing w:before="1"/>
              <w:ind w:left="58"/>
              <w:rPr>
                <w:rFonts w:ascii="Calibri"/>
                <w:b/>
                <w:sz w:val="20"/>
              </w:rPr>
            </w:pPr>
            <w:r>
              <w:rPr>
                <w:rFonts w:ascii="Calibri"/>
                <w:b/>
                <w:sz w:val="20"/>
              </w:rPr>
              <w:t>MALARIA</w:t>
            </w:r>
            <w:r>
              <w:rPr>
                <w:rFonts w:ascii="Calibri"/>
                <w:b/>
                <w:spacing w:val="-11"/>
                <w:sz w:val="20"/>
              </w:rPr>
              <w:t> </w:t>
            </w:r>
            <w:r>
              <w:rPr>
                <w:rFonts w:ascii="Calibri"/>
                <w:b/>
                <w:sz w:val="20"/>
              </w:rPr>
              <w:t>UNINFECTED</w:t>
            </w:r>
            <w:r>
              <w:rPr>
                <w:rFonts w:ascii="Calibri"/>
                <w:b/>
                <w:spacing w:val="-6"/>
                <w:sz w:val="20"/>
              </w:rPr>
              <w:t> </w:t>
            </w:r>
            <w:r>
              <w:rPr>
                <w:rFonts w:ascii="Calibri"/>
                <w:b/>
                <w:spacing w:val="-2"/>
                <w:sz w:val="20"/>
              </w:rPr>
              <w:t>PREGNANT</w:t>
            </w:r>
          </w:p>
          <w:p>
            <w:pPr>
              <w:pStyle w:val="TableParagraph"/>
              <w:spacing w:before="121"/>
              <w:ind w:left="58" w:right="4"/>
              <w:rPr>
                <w:rFonts w:ascii="Calibri"/>
                <w:b/>
                <w:sz w:val="20"/>
              </w:rPr>
            </w:pPr>
            <w:r>
              <w:rPr>
                <w:rFonts w:ascii="Calibri"/>
                <w:b/>
                <w:spacing w:val="-2"/>
                <w:sz w:val="20"/>
              </w:rPr>
              <w:t>WOMEN</w:t>
            </w:r>
          </w:p>
        </w:tc>
      </w:tr>
      <w:tr>
        <w:trPr>
          <w:trHeight w:val="807" w:hRule="atLeast"/>
        </w:trPr>
        <w:tc>
          <w:tcPr>
            <w:tcW w:w="1452" w:type="dxa"/>
            <w:tcBorders>
              <w:bottom w:val="single" w:sz="4" w:space="0" w:color="000000"/>
            </w:tcBorders>
          </w:tcPr>
          <w:p>
            <w:pPr>
              <w:pStyle w:val="TableParagraph"/>
              <w:jc w:val="left"/>
              <w:rPr>
                <w:sz w:val="22"/>
              </w:rPr>
            </w:pPr>
          </w:p>
        </w:tc>
        <w:tc>
          <w:tcPr>
            <w:tcW w:w="1863" w:type="dxa"/>
            <w:tcBorders>
              <w:bottom w:val="single" w:sz="4" w:space="0" w:color="000000"/>
            </w:tcBorders>
          </w:tcPr>
          <w:p>
            <w:pPr>
              <w:pStyle w:val="TableParagraph"/>
              <w:jc w:val="left"/>
              <w:rPr>
                <w:sz w:val="22"/>
              </w:rPr>
            </w:pPr>
          </w:p>
        </w:tc>
        <w:tc>
          <w:tcPr>
            <w:tcW w:w="1420" w:type="dxa"/>
            <w:tcBorders>
              <w:bottom w:val="single" w:sz="4" w:space="0" w:color="000000"/>
            </w:tcBorders>
          </w:tcPr>
          <w:p>
            <w:pPr>
              <w:pStyle w:val="TableParagraph"/>
              <w:spacing w:before="75"/>
              <w:ind w:right="66"/>
              <w:rPr>
                <w:rFonts w:ascii="Calibri"/>
                <w:b/>
                <w:sz w:val="20"/>
              </w:rPr>
            </w:pPr>
            <w:r>
              <w:rPr>
                <w:rFonts w:ascii="Calibri"/>
                <w:b/>
                <w:spacing w:val="-2"/>
                <w:sz w:val="20"/>
              </w:rPr>
              <w:t>FREQUENCY</w:t>
            </w:r>
          </w:p>
          <w:p>
            <w:pPr>
              <w:pStyle w:val="TableParagraph"/>
              <w:spacing w:before="123"/>
              <w:ind w:left="1" w:right="66"/>
              <w:rPr>
                <w:rFonts w:ascii="Calibri"/>
                <w:b/>
                <w:sz w:val="20"/>
              </w:rPr>
            </w:pPr>
            <w:r>
              <w:rPr>
                <w:rFonts w:ascii="Calibri"/>
                <w:b/>
                <w:spacing w:val="-4"/>
                <w:sz w:val="20"/>
              </w:rPr>
              <w:t>(No)</w:t>
            </w:r>
          </w:p>
        </w:tc>
        <w:tc>
          <w:tcPr>
            <w:tcW w:w="1529" w:type="dxa"/>
            <w:tcBorders>
              <w:bottom w:val="single" w:sz="4" w:space="0" w:color="000000"/>
            </w:tcBorders>
          </w:tcPr>
          <w:p>
            <w:pPr>
              <w:pStyle w:val="TableParagraph"/>
              <w:spacing w:before="75"/>
              <w:ind w:left="54" w:right="2"/>
              <w:rPr>
                <w:rFonts w:ascii="Calibri"/>
                <w:b/>
                <w:sz w:val="20"/>
              </w:rPr>
            </w:pPr>
            <w:r>
              <w:rPr>
                <w:rFonts w:ascii="Calibri"/>
                <w:b/>
                <w:spacing w:val="-2"/>
                <w:sz w:val="20"/>
              </w:rPr>
              <w:t>PERCENTAGE</w:t>
            </w:r>
          </w:p>
          <w:p>
            <w:pPr>
              <w:pStyle w:val="TableParagraph"/>
              <w:spacing w:before="123"/>
              <w:ind w:left="54"/>
              <w:rPr>
                <w:rFonts w:ascii="Calibri"/>
                <w:b/>
                <w:sz w:val="20"/>
              </w:rPr>
            </w:pPr>
            <w:r>
              <w:rPr>
                <w:rFonts w:ascii="Calibri"/>
                <w:b/>
                <w:spacing w:val="-5"/>
                <w:sz w:val="20"/>
              </w:rPr>
              <w:t>(%)</w:t>
            </w:r>
          </w:p>
        </w:tc>
        <w:tc>
          <w:tcPr>
            <w:tcW w:w="1586" w:type="dxa"/>
            <w:tcBorders>
              <w:bottom w:val="single" w:sz="4" w:space="0" w:color="000000"/>
            </w:tcBorders>
          </w:tcPr>
          <w:p>
            <w:pPr>
              <w:pStyle w:val="TableParagraph"/>
              <w:spacing w:before="75"/>
              <w:ind w:left="81" w:right="2"/>
              <w:rPr>
                <w:rFonts w:ascii="Calibri"/>
                <w:b/>
                <w:sz w:val="20"/>
              </w:rPr>
            </w:pPr>
            <w:r>
              <w:rPr>
                <w:rFonts w:ascii="Calibri"/>
                <w:b/>
                <w:spacing w:val="-2"/>
                <w:sz w:val="20"/>
              </w:rPr>
              <w:t>FREQUENCY</w:t>
            </w:r>
          </w:p>
          <w:p>
            <w:pPr>
              <w:pStyle w:val="TableParagraph"/>
              <w:spacing w:before="123"/>
              <w:ind w:left="81" w:right="1"/>
              <w:rPr>
                <w:rFonts w:ascii="Calibri"/>
                <w:b/>
                <w:sz w:val="20"/>
              </w:rPr>
            </w:pPr>
            <w:r>
              <w:rPr>
                <w:rFonts w:ascii="Calibri"/>
                <w:b/>
                <w:spacing w:val="-4"/>
                <w:sz w:val="20"/>
              </w:rPr>
              <w:t>(No)</w:t>
            </w:r>
          </w:p>
        </w:tc>
        <w:tc>
          <w:tcPr>
            <w:tcW w:w="1579" w:type="dxa"/>
            <w:tcBorders>
              <w:bottom w:val="single" w:sz="4" w:space="0" w:color="000000"/>
            </w:tcBorders>
          </w:tcPr>
          <w:p>
            <w:pPr>
              <w:pStyle w:val="TableParagraph"/>
              <w:spacing w:before="75"/>
              <w:ind w:left="25" w:right="2"/>
              <w:rPr>
                <w:rFonts w:ascii="Calibri"/>
                <w:b/>
                <w:sz w:val="20"/>
              </w:rPr>
            </w:pPr>
            <w:r>
              <w:rPr>
                <w:rFonts w:ascii="Calibri"/>
                <w:b/>
                <w:spacing w:val="-2"/>
                <w:sz w:val="20"/>
              </w:rPr>
              <w:t>PERCENTAGE</w:t>
            </w:r>
          </w:p>
          <w:p>
            <w:pPr>
              <w:pStyle w:val="TableParagraph"/>
              <w:spacing w:before="123"/>
              <w:ind w:left="25" w:right="1"/>
              <w:rPr>
                <w:rFonts w:ascii="Calibri"/>
                <w:b/>
                <w:sz w:val="20"/>
              </w:rPr>
            </w:pPr>
            <w:r>
              <w:rPr>
                <w:rFonts w:ascii="Calibri"/>
                <w:b/>
                <w:spacing w:val="-5"/>
                <w:sz w:val="20"/>
              </w:rPr>
              <w:t>(%)</w:t>
            </w:r>
          </w:p>
        </w:tc>
      </w:tr>
      <w:tr>
        <w:trPr>
          <w:trHeight w:val="1400" w:hRule="atLeast"/>
        </w:trPr>
        <w:tc>
          <w:tcPr>
            <w:tcW w:w="1452" w:type="dxa"/>
            <w:tcBorders>
              <w:top w:val="single" w:sz="4" w:space="0" w:color="000000"/>
            </w:tcBorders>
          </w:tcPr>
          <w:p>
            <w:pPr>
              <w:pStyle w:val="TableParagraph"/>
              <w:jc w:val="left"/>
              <w:rPr>
                <w:sz w:val="22"/>
              </w:rPr>
            </w:pPr>
          </w:p>
        </w:tc>
        <w:tc>
          <w:tcPr>
            <w:tcW w:w="1863" w:type="dxa"/>
            <w:tcBorders>
              <w:top w:val="single" w:sz="4" w:space="0" w:color="000000"/>
            </w:tcBorders>
          </w:tcPr>
          <w:p>
            <w:pPr>
              <w:pStyle w:val="TableParagraph"/>
              <w:spacing w:before="116"/>
              <w:ind w:left="91" w:right="1"/>
              <w:rPr>
                <w:sz w:val="24"/>
              </w:rPr>
            </w:pPr>
            <w:r>
              <w:rPr>
                <w:spacing w:val="-5"/>
                <w:sz w:val="24"/>
              </w:rPr>
              <w:t>&lt;64</w:t>
            </w:r>
          </w:p>
          <w:p>
            <w:pPr>
              <w:pStyle w:val="TableParagraph"/>
              <w:spacing w:line="348" w:lineRule="auto" w:before="125"/>
              <w:ind w:left="91"/>
              <w:rPr>
                <w:sz w:val="24"/>
              </w:rPr>
            </w:pPr>
            <w:r>
              <w:rPr>
                <w:spacing w:val="-2"/>
                <w:sz w:val="24"/>
              </w:rPr>
              <w:t>(normal erythropoiesis)</w:t>
            </w:r>
          </w:p>
        </w:tc>
        <w:tc>
          <w:tcPr>
            <w:tcW w:w="1420" w:type="dxa"/>
            <w:tcBorders>
              <w:top w:val="single" w:sz="4" w:space="0" w:color="000000"/>
            </w:tcBorders>
          </w:tcPr>
          <w:p>
            <w:pPr>
              <w:pStyle w:val="TableParagraph"/>
              <w:spacing w:before="241"/>
              <w:jc w:val="left"/>
              <w:rPr>
                <w:b/>
                <w:sz w:val="24"/>
              </w:rPr>
            </w:pPr>
          </w:p>
          <w:p>
            <w:pPr>
              <w:pStyle w:val="TableParagraph"/>
              <w:ind w:left="2" w:right="66"/>
              <w:rPr>
                <w:sz w:val="24"/>
              </w:rPr>
            </w:pPr>
            <w:r>
              <w:rPr>
                <w:spacing w:val="-5"/>
                <w:sz w:val="24"/>
              </w:rPr>
              <w:t>70</w:t>
            </w:r>
          </w:p>
        </w:tc>
        <w:tc>
          <w:tcPr>
            <w:tcW w:w="1529" w:type="dxa"/>
            <w:tcBorders>
              <w:top w:val="single" w:sz="4" w:space="0" w:color="000000"/>
            </w:tcBorders>
          </w:tcPr>
          <w:p>
            <w:pPr>
              <w:pStyle w:val="TableParagraph"/>
              <w:spacing w:before="241"/>
              <w:jc w:val="left"/>
              <w:rPr>
                <w:b/>
                <w:sz w:val="24"/>
              </w:rPr>
            </w:pPr>
          </w:p>
          <w:p>
            <w:pPr>
              <w:pStyle w:val="TableParagraph"/>
              <w:ind w:left="54"/>
              <w:rPr>
                <w:sz w:val="24"/>
              </w:rPr>
            </w:pPr>
            <w:r>
              <w:rPr>
                <w:spacing w:val="-4"/>
                <w:sz w:val="24"/>
              </w:rPr>
              <w:t>48.6</w:t>
            </w:r>
          </w:p>
        </w:tc>
        <w:tc>
          <w:tcPr>
            <w:tcW w:w="1586" w:type="dxa"/>
            <w:tcBorders>
              <w:top w:val="single" w:sz="4" w:space="0" w:color="000000"/>
            </w:tcBorders>
          </w:tcPr>
          <w:p>
            <w:pPr>
              <w:pStyle w:val="TableParagraph"/>
              <w:spacing w:before="241"/>
              <w:jc w:val="left"/>
              <w:rPr>
                <w:b/>
                <w:sz w:val="24"/>
              </w:rPr>
            </w:pPr>
          </w:p>
          <w:p>
            <w:pPr>
              <w:pStyle w:val="TableParagraph"/>
              <w:ind w:left="81"/>
              <w:rPr>
                <w:sz w:val="24"/>
              </w:rPr>
            </w:pPr>
            <w:r>
              <w:rPr>
                <w:spacing w:val="-5"/>
                <w:sz w:val="24"/>
              </w:rPr>
              <w:t>42</w:t>
            </w:r>
          </w:p>
        </w:tc>
        <w:tc>
          <w:tcPr>
            <w:tcW w:w="1579" w:type="dxa"/>
            <w:tcBorders>
              <w:top w:val="single" w:sz="4" w:space="0" w:color="000000"/>
            </w:tcBorders>
          </w:tcPr>
          <w:p>
            <w:pPr>
              <w:pStyle w:val="TableParagraph"/>
              <w:spacing w:before="241"/>
              <w:jc w:val="left"/>
              <w:rPr>
                <w:b/>
                <w:sz w:val="24"/>
              </w:rPr>
            </w:pPr>
          </w:p>
          <w:p>
            <w:pPr>
              <w:pStyle w:val="TableParagraph"/>
              <w:ind w:left="25"/>
              <w:rPr>
                <w:sz w:val="24"/>
              </w:rPr>
            </w:pPr>
            <w:r>
              <w:rPr>
                <w:spacing w:val="-2"/>
                <w:sz w:val="24"/>
              </w:rPr>
              <w:t>67.74</w:t>
            </w:r>
          </w:p>
        </w:tc>
      </w:tr>
      <w:tr>
        <w:trPr>
          <w:trHeight w:val="1593" w:hRule="atLeast"/>
        </w:trPr>
        <w:tc>
          <w:tcPr>
            <w:tcW w:w="1452" w:type="dxa"/>
          </w:tcPr>
          <w:p>
            <w:pPr>
              <w:pStyle w:val="TableParagraph"/>
              <w:spacing w:before="41"/>
              <w:jc w:val="left"/>
              <w:rPr>
                <w:b/>
                <w:sz w:val="24"/>
              </w:rPr>
            </w:pPr>
          </w:p>
          <w:p>
            <w:pPr>
              <w:pStyle w:val="TableParagraph"/>
              <w:spacing w:line="348" w:lineRule="auto"/>
              <w:ind w:left="408" w:right="254" w:firstLine="153"/>
              <w:jc w:val="left"/>
              <w:rPr>
                <w:sz w:val="24"/>
              </w:rPr>
            </w:pPr>
            <w:r>
              <w:rPr>
                <w:spacing w:val="-4"/>
                <w:sz w:val="24"/>
              </w:rPr>
              <w:t>sTfR </w:t>
            </w:r>
            <w:r>
              <w:rPr>
                <w:spacing w:val="-2"/>
                <w:sz w:val="24"/>
              </w:rPr>
              <w:t>(nmol/l)</w:t>
            </w:r>
          </w:p>
        </w:tc>
        <w:tc>
          <w:tcPr>
            <w:tcW w:w="1863" w:type="dxa"/>
          </w:tcPr>
          <w:p>
            <w:pPr>
              <w:pStyle w:val="TableParagraph"/>
              <w:spacing w:before="195"/>
              <w:ind w:left="465"/>
              <w:jc w:val="left"/>
              <w:rPr>
                <w:sz w:val="24"/>
              </w:rPr>
            </w:pPr>
            <w:r>
              <w:rPr>
                <w:sz w:val="24"/>
              </w:rPr>
              <w:t>65.1 – </w:t>
            </w:r>
            <w:r>
              <w:rPr>
                <w:spacing w:val="-5"/>
                <w:sz w:val="24"/>
              </w:rPr>
              <w:t>114</w:t>
            </w:r>
          </w:p>
          <w:p>
            <w:pPr>
              <w:pStyle w:val="TableParagraph"/>
              <w:spacing w:line="360" w:lineRule="auto" w:before="137"/>
              <w:ind w:left="256" w:firstLine="228"/>
              <w:jc w:val="left"/>
              <w:rPr>
                <w:sz w:val="24"/>
              </w:rPr>
            </w:pPr>
            <w:r>
              <w:rPr>
                <w:spacing w:val="-2"/>
                <w:sz w:val="24"/>
              </w:rPr>
              <w:t>(increased erythropoiesis)</w:t>
            </w:r>
          </w:p>
        </w:tc>
        <w:tc>
          <w:tcPr>
            <w:tcW w:w="1420" w:type="dxa"/>
          </w:tcPr>
          <w:p>
            <w:pPr>
              <w:pStyle w:val="TableParagraph"/>
              <w:jc w:val="left"/>
              <w:rPr>
                <w:b/>
                <w:sz w:val="24"/>
              </w:rPr>
            </w:pPr>
          </w:p>
          <w:p>
            <w:pPr>
              <w:pStyle w:val="TableParagraph"/>
              <w:spacing w:before="56"/>
              <w:jc w:val="left"/>
              <w:rPr>
                <w:b/>
                <w:sz w:val="24"/>
              </w:rPr>
            </w:pPr>
          </w:p>
          <w:p>
            <w:pPr>
              <w:pStyle w:val="TableParagraph"/>
              <w:ind w:left="2" w:right="66"/>
              <w:rPr>
                <w:sz w:val="24"/>
              </w:rPr>
            </w:pPr>
            <w:r>
              <w:rPr>
                <w:spacing w:val="-5"/>
                <w:sz w:val="24"/>
              </w:rPr>
              <w:t>73</w:t>
            </w:r>
          </w:p>
        </w:tc>
        <w:tc>
          <w:tcPr>
            <w:tcW w:w="1529" w:type="dxa"/>
          </w:tcPr>
          <w:p>
            <w:pPr>
              <w:pStyle w:val="TableParagraph"/>
              <w:jc w:val="left"/>
              <w:rPr>
                <w:b/>
                <w:sz w:val="24"/>
              </w:rPr>
            </w:pPr>
          </w:p>
          <w:p>
            <w:pPr>
              <w:pStyle w:val="TableParagraph"/>
              <w:spacing w:before="56"/>
              <w:jc w:val="left"/>
              <w:rPr>
                <w:b/>
                <w:sz w:val="24"/>
              </w:rPr>
            </w:pPr>
          </w:p>
          <w:p>
            <w:pPr>
              <w:pStyle w:val="TableParagraph"/>
              <w:ind w:left="54"/>
              <w:rPr>
                <w:sz w:val="24"/>
              </w:rPr>
            </w:pPr>
            <w:r>
              <w:rPr>
                <w:spacing w:val="-4"/>
                <w:sz w:val="24"/>
              </w:rPr>
              <w:t>50.7</w:t>
            </w:r>
          </w:p>
        </w:tc>
        <w:tc>
          <w:tcPr>
            <w:tcW w:w="1586" w:type="dxa"/>
          </w:tcPr>
          <w:p>
            <w:pPr>
              <w:pStyle w:val="TableParagraph"/>
              <w:jc w:val="left"/>
              <w:rPr>
                <w:b/>
                <w:sz w:val="24"/>
              </w:rPr>
            </w:pPr>
          </w:p>
          <w:p>
            <w:pPr>
              <w:pStyle w:val="TableParagraph"/>
              <w:spacing w:before="56"/>
              <w:jc w:val="left"/>
              <w:rPr>
                <w:b/>
                <w:sz w:val="24"/>
              </w:rPr>
            </w:pPr>
          </w:p>
          <w:p>
            <w:pPr>
              <w:pStyle w:val="TableParagraph"/>
              <w:ind w:left="81"/>
              <w:rPr>
                <w:sz w:val="24"/>
              </w:rPr>
            </w:pPr>
            <w:r>
              <w:rPr>
                <w:spacing w:val="-5"/>
                <w:sz w:val="24"/>
              </w:rPr>
              <w:t>18</w:t>
            </w:r>
          </w:p>
        </w:tc>
        <w:tc>
          <w:tcPr>
            <w:tcW w:w="1579" w:type="dxa"/>
          </w:tcPr>
          <w:p>
            <w:pPr>
              <w:pStyle w:val="TableParagraph"/>
              <w:jc w:val="left"/>
              <w:rPr>
                <w:b/>
                <w:sz w:val="24"/>
              </w:rPr>
            </w:pPr>
          </w:p>
          <w:p>
            <w:pPr>
              <w:pStyle w:val="TableParagraph"/>
              <w:spacing w:before="56"/>
              <w:jc w:val="left"/>
              <w:rPr>
                <w:b/>
                <w:sz w:val="24"/>
              </w:rPr>
            </w:pPr>
          </w:p>
          <w:p>
            <w:pPr>
              <w:pStyle w:val="TableParagraph"/>
              <w:ind w:left="25"/>
              <w:rPr>
                <w:sz w:val="24"/>
              </w:rPr>
            </w:pPr>
            <w:r>
              <w:rPr>
                <w:spacing w:val="-2"/>
                <w:sz w:val="24"/>
              </w:rPr>
              <w:t>29.03</w:t>
            </w:r>
          </w:p>
        </w:tc>
      </w:tr>
      <w:tr>
        <w:trPr>
          <w:trHeight w:val="1388" w:hRule="atLeast"/>
        </w:trPr>
        <w:tc>
          <w:tcPr>
            <w:tcW w:w="1452" w:type="dxa"/>
          </w:tcPr>
          <w:p>
            <w:pPr>
              <w:pStyle w:val="TableParagraph"/>
              <w:jc w:val="left"/>
              <w:rPr>
                <w:sz w:val="22"/>
              </w:rPr>
            </w:pPr>
          </w:p>
        </w:tc>
        <w:tc>
          <w:tcPr>
            <w:tcW w:w="1863" w:type="dxa"/>
          </w:tcPr>
          <w:p>
            <w:pPr>
              <w:pStyle w:val="TableParagraph"/>
              <w:spacing w:before="8"/>
              <w:jc w:val="left"/>
              <w:rPr>
                <w:b/>
                <w:sz w:val="24"/>
              </w:rPr>
            </w:pPr>
          </w:p>
          <w:p>
            <w:pPr>
              <w:pStyle w:val="TableParagraph"/>
              <w:ind w:left="91" w:right="1"/>
              <w:rPr>
                <w:sz w:val="24"/>
              </w:rPr>
            </w:pPr>
            <w:r>
              <w:rPr>
                <w:spacing w:val="-4"/>
                <w:sz w:val="24"/>
              </w:rPr>
              <w:t>&gt;114</w:t>
            </w:r>
          </w:p>
          <w:p>
            <w:pPr>
              <w:pStyle w:val="TableParagraph"/>
              <w:spacing w:line="416" w:lineRule="exact"/>
              <w:ind w:left="91" w:right="1"/>
              <w:rPr>
                <w:sz w:val="24"/>
              </w:rPr>
            </w:pPr>
            <w:r>
              <w:rPr>
                <w:spacing w:val="-2"/>
                <w:sz w:val="24"/>
              </w:rPr>
              <w:t>(markederythr opoiesis)</w:t>
            </w:r>
          </w:p>
        </w:tc>
        <w:tc>
          <w:tcPr>
            <w:tcW w:w="1420" w:type="dxa"/>
          </w:tcPr>
          <w:p>
            <w:pPr>
              <w:pStyle w:val="TableParagraph"/>
              <w:jc w:val="left"/>
              <w:rPr>
                <w:b/>
                <w:sz w:val="24"/>
              </w:rPr>
            </w:pPr>
          </w:p>
          <w:p>
            <w:pPr>
              <w:pStyle w:val="TableParagraph"/>
              <w:spacing w:before="145"/>
              <w:jc w:val="left"/>
              <w:rPr>
                <w:b/>
                <w:sz w:val="24"/>
              </w:rPr>
            </w:pPr>
          </w:p>
          <w:p>
            <w:pPr>
              <w:pStyle w:val="TableParagraph"/>
              <w:ind w:left="2" w:right="66"/>
              <w:rPr>
                <w:sz w:val="24"/>
              </w:rPr>
            </w:pPr>
            <w:r>
              <w:rPr>
                <w:spacing w:val="-10"/>
                <w:sz w:val="24"/>
              </w:rPr>
              <w:t>1</w:t>
            </w:r>
          </w:p>
        </w:tc>
        <w:tc>
          <w:tcPr>
            <w:tcW w:w="1529" w:type="dxa"/>
          </w:tcPr>
          <w:p>
            <w:pPr>
              <w:pStyle w:val="TableParagraph"/>
              <w:jc w:val="left"/>
              <w:rPr>
                <w:b/>
                <w:sz w:val="24"/>
              </w:rPr>
            </w:pPr>
          </w:p>
          <w:p>
            <w:pPr>
              <w:pStyle w:val="TableParagraph"/>
              <w:spacing w:before="145"/>
              <w:jc w:val="left"/>
              <w:rPr>
                <w:b/>
                <w:sz w:val="24"/>
              </w:rPr>
            </w:pPr>
          </w:p>
          <w:p>
            <w:pPr>
              <w:pStyle w:val="TableParagraph"/>
              <w:ind w:left="54"/>
              <w:rPr>
                <w:sz w:val="24"/>
              </w:rPr>
            </w:pPr>
            <w:r>
              <w:rPr>
                <w:spacing w:val="-5"/>
                <w:sz w:val="24"/>
              </w:rPr>
              <w:t>0.7</w:t>
            </w:r>
          </w:p>
        </w:tc>
        <w:tc>
          <w:tcPr>
            <w:tcW w:w="1586" w:type="dxa"/>
          </w:tcPr>
          <w:p>
            <w:pPr>
              <w:pStyle w:val="TableParagraph"/>
              <w:jc w:val="left"/>
              <w:rPr>
                <w:b/>
                <w:sz w:val="24"/>
              </w:rPr>
            </w:pPr>
          </w:p>
          <w:p>
            <w:pPr>
              <w:pStyle w:val="TableParagraph"/>
              <w:spacing w:before="145"/>
              <w:jc w:val="left"/>
              <w:rPr>
                <w:b/>
                <w:sz w:val="24"/>
              </w:rPr>
            </w:pPr>
          </w:p>
          <w:p>
            <w:pPr>
              <w:pStyle w:val="TableParagraph"/>
              <w:ind w:left="81"/>
              <w:rPr>
                <w:sz w:val="24"/>
              </w:rPr>
            </w:pPr>
            <w:r>
              <w:rPr>
                <w:spacing w:val="-10"/>
                <w:sz w:val="24"/>
              </w:rPr>
              <w:t>2</w:t>
            </w:r>
          </w:p>
        </w:tc>
        <w:tc>
          <w:tcPr>
            <w:tcW w:w="1579" w:type="dxa"/>
          </w:tcPr>
          <w:p>
            <w:pPr>
              <w:pStyle w:val="TableParagraph"/>
              <w:jc w:val="left"/>
              <w:rPr>
                <w:b/>
                <w:sz w:val="24"/>
              </w:rPr>
            </w:pPr>
          </w:p>
          <w:p>
            <w:pPr>
              <w:pStyle w:val="TableParagraph"/>
              <w:spacing w:before="145"/>
              <w:jc w:val="left"/>
              <w:rPr>
                <w:b/>
                <w:sz w:val="24"/>
              </w:rPr>
            </w:pPr>
          </w:p>
          <w:p>
            <w:pPr>
              <w:pStyle w:val="TableParagraph"/>
              <w:ind w:left="25"/>
              <w:rPr>
                <w:sz w:val="24"/>
              </w:rPr>
            </w:pPr>
            <w:r>
              <w:rPr>
                <w:spacing w:val="-4"/>
                <w:sz w:val="24"/>
              </w:rPr>
              <w:t>3.23</w:t>
            </w:r>
          </w:p>
        </w:tc>
      </w:tr>
    </w:tbl>
    <w:p>
      <w:pPr>
        <w:pStyle w:val="BodyText"/>
        <w:rPr>
          <w:b/>
          <w:sz w:val="20"/>
        </w:rPr>
      </w:pPr>
    </w:p>
    <w:p>
      <w:pPr>
        <w:pStyle w:val="BodyText"/>
        <w:spacing w:before="100"/>
        <w:rPr>
          <w:b/>
          <w:sz w:val="20"/>
        </w:rPr>
      </w:pPr>
      <w:r>
        <w:rPr/>
        <mc:AlternateContent>
          <mc:Choice Requires="wps">
            <w:drawing>
              <wp:anchor distT="0" distB="0" distL="0" distR="0" allowOverlap="1" layoutInCell="1" locked="0" behindDoc="1" simplePos="0" relativeHeight="487597568">
                <wp:simplePos x="0" y="0"/>
                <wp:positionH relativeFrom="page">
                  <wp:posOffset>846124</wp:posOffset>
                </wp:positionH>
                <wp:positionV relativeFrom="paragraph">
                  <wp:posOffset>224777</wp:posOffset>
                </wp:positionV>
                <wp:extent cx="5989320" cy="635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5989320" cy="6350"/>
                        </a:xfrm>
                        <a:custGeom>
                          <a:avLst/>
                          <a:gdLst/>
                          <a:ahLst/>
                          <a:cxnLst/>
                          <a:rect l="l" t="t" r="r" b="b"/>
                          <a:pathLst>
                            <a:path w="5989320" h="6350">
                              <a:moveTo>
                                <a:pt x="2069833" y="0"/>
                              </a:moveTo>
                              <a:lnTo>
                                <a:pt x="1024077" y="0"/>
                              </a:lnTo>
                              <a:lnTo>
                                <a:pt x="1018032" y="0"/>
                              </a:lnTo>
                              <a:lnTo>
                                <a:pt x="0" y="0"/>
                              </a:lnTo>
                              <a:lnTo>
                                <a:pt x="0" y="6096"/>
                              </a:lnTo>
                              <a:lnTo>
                                <a:pt x="1017981" y="6096"/>
                              </a:lnTo>
                              <a:lnTo>
                                <a:pt x="1024077" y="6096"/>
                              </a:lnTo>
                              <a:lnTo>
                                <a:pt x="2069833" y="6096"/>
                              </a:lnTo>
                              <a:lnTo>
                                <a:pt x="2069833" y="0"/>
                              </a:lnTo>
                              <a:close/>
                            </a:path>
                            <a:path w="5989320" h="6350">
                              <a:moveTo>
                                <a:pt x="4020883" y="0"/>
                              </a:moveTo>
                              <a:lnTo>
                                <a:pt x="4020883" y="0"/>
                              </a:lnTo>
                              <a:lnTo>
                                <a:pt x="2069922" y="0"/>
                              </a:lnTo>
                              <a:lnTo>
                                <a:pt x="2069922" y="6096"/>
                              </a:lnTo>
                              <a:lnTo>
                                <a:pt x="4020883" y="6096"/>
                              </a:lnTo>
                              <a:lnTo>
                                <a:pt x="4020883" y="0"/>
                              </a:lnTo>
                              <a:close/>
                            </a:path>
                            <a:path w="5989320" h="6350">
                              <a:moveTo>
                                <a:pt x="5001133" y="0"/>
                              </a:moveTo>
                              <a:lnTo>
                                <a:pt x="4020896" y="0"/>
                              </a:lnTo>
                              <a:lnTo>
                                <a:pt x="4020896" y="6096"/>
                              </a:lnTo>
                              <a:lnTo>
                                <a:pt x="5001133" y="6096"/>
                              </a:lnTo>
                              <a:lnTo>
                                <a:pt x="5001133" y="0"/>
                              </a:lnTo>
                              <a:close/>
                            </a:path>
                            <a:path w="5989320" h="6350">
                              <a:moveTo>
                                <a:pt x="5007292" y="0"/>
                              </a:moveTo>
                              <a:lnTo>
                                <a:pt x="5001209" y="0"/>
                              </a:lnTo>
                              <a:lnTo>
                                <a:pt x="5001209" y="6096"/>
                              </a:lnTo>
                              <a:lnTo>
                                <a:pt x="5007292" y="6096"/>
                              </a:lnTo>
                              <a:lnTo>
                                <a:pt x="5007292" y="0"/>
                              </a:lnTo>
                              <a:close/>
                            </a:path>
                            <a:path w="5989320" h="6350">
                              <a:moveTo>
                                <a:pt x="5988761" y="0"/>
                              </a:moveTo>
                              <a:lnTo>
                                <a:pt x="5007305" y="0"/>
                              </a:lnTo>
                              <a:lnTo>
                                <a:pt x="5007305" y="6096"/>
                              </a:lnTo>
                              <a:lnTo>
                                <a:pt x="5988761" y="6096"/>
                              </a:lnTo>
                              <a:lnTo>
                                <a:pt x="59887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624001pt;margin-top:17.699015pt;width:471.6pt;height:.5pt;mso-position-horizontal-relative:page;mso-position-vertical-relative:paragraph;z-index:-15718912;mso-wrap-distance-left:0;mso-wrap-distance-right:0" id="docshape32" coordorigin="1332,354" coordsize="9432,10" path="m4592,354l2945,354,2936,354,2936,354,1332,354,1332,364,2936,364,2936,364,2945,364,4592,364,4592,354xm7665,354l7655,354,7655,354,6073,354,6063,354,4602,354,4592,354,4592,364,4602,364,6063,364,6073,364,7655,364,7655,364,7665,364,7665,354xm9208,354l7665,354,7665,364,9208,364,9208,354xm9218,354l9208,354,9208,364,9218,364,9218,354xm10764,354l9218,354,9218,364,10764,364,10764,354xe" filled="true" fillcolor="#000000" stroked="false">
                <v:path arrowok="t"/>
                <v:fill type="solid"/>
                <w10:wrap type="topAndBottom"/>
              </v:shape>
            </w:pict>
          </mc:Fallback>
        </mc:AlternateContent>
      </w:r>
    </w:p>
    <w:p>
      <w:pPr>
        <w:spacing w:after="0"/>
        <w:rPr>
          <w:sz w:val="20"/>
        </w:rPr>
        <w:sectPr>
          <w:pgSz w:w="11910" w:h="16840"/>
          <w:pgMar w:header="0" w:footer="1067" w:top="1060" w:bottom="1260" w:left="880" w:right="640"/>
        </w:sectPr>
      </w:pPr>
    </w:p>
    <w:p>
      <w:pPr>
        <w:pStyle w:val="Heading2"/>
        <w:spacing w:line="360" w:lineRule="auto" w:before="77"/>
        <w:ind w:firstLine="278"/>
      </w:pPr>
      <w:r>
        <w:rPr/>
        <w:t>TABLE</w:t>
      </w:r>
      <w:r>
        <w:rPr>
          <w:spacing w:val="-5"/>
        </w:rPr>
        <w:t> </w:t>
      </w:r>
      <w:r>
        <w:rPr/>
        <w:t>4.12:</w:t>
      </w:r>
      <w:r>
        <w:rPr>
          <w:spacing w:val="-6"/>
        </w:rPr>
        <w:t> </w:t>
      </w:r>
      <w:r>
        <w:rPr/>
        <w:t>SF</w:t>
      </w:r>
      <w:r>
        <w:rPr>
          <w:spacing w:val="-5"/>
        </w:rPr>
        <w:t> </w:t>
      </w:r>
      <w:r>
        <w:rPr/>
        <w:t>LEVELS</w:t>
      </w:r>
      <w:r>
        <w:rPr>
          <w:spacing w:val="-5"/>
        </w:rPr>
        <w:t> </w:t>
      </w:r>
      <w:r>
        <w:rPr/>
        <w:t>AMONG</w:t>
      </w:r>
      <w:r>
        <w:rPr>
          <w:spacing w:val="-3"/>
        </w:rPr>
        <w:t> </w:t>
      </w:r>
      <w:r>
        <w:rPr/>
        <w:t>MALARIA</w:t>
      </w:r>
      <w:r>
        <w:rPr>
          <w:spacing w:val="-5"/>
        </w:rPr>
        <w:t> </w:t>
      </w:r>
      <w:r>
        <w:rPr/>
        <w:t>INFECTED</w:t>
      </w:r>
      <w:r>
        <w:rPr>
          <w:spacing w:val="-5"/>
        </w:rPr>
        <w:t> </w:t>
      </w:r>
      <w:r>
        <w:rPr/>
        <w:t>PREGNANT</w:t>
      </w:r>
      <w:r>
        <w:rPr>
          <w:spacing w:val="-5"/>
        </w:rPr>
        <w:t> </w:t>
      </w:r>
      <w:r>
        <w:rPr/>
        <w:t>WOMEN COMPARED WITH THE UNINFECTED PREGNANT WOMEN</w:t>
      </w:r>
    </w:p>
    <w:p>
      <w:pPr>
        <w:pStyle w:val="BodyText"/>
        <w:spacing w:before="184"/>
        <w:rPr>
          <w:b/>
          <w:sz w:val="20"/>
        </w:rPr>
      </w:pPr>
    </w:p>
    <w:tbl>
      <w:tblPr>
        <w:tblW w:w="0" w:type="auto"/>
        <w:jc w:val="lef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4"/>
        <w:gridCol w:w="1518"/>
        <w:gridCol w:w="1607"/>
        <w:gridCol w:w="1656"/>
        <w:gridCol w:w="1506"/>
        <w:gridCol w:w="1584"/>
      </w:tblGrid>
      <w:tr>
        <w:trPr>
          <w:trHeight w:val="662" w:hRule="atLeast"/>
        </w:trPr>
        <w:tc>
          <w:tcPr>
            <w:tcW w:w="3082" w:type="dxa"/>
            <w:gridSpan w:val="2"/>
            <w:tcBorders>
              <w:top w:val="single" w:sz="4" w:space="0" w:color="000000"/>
            </w:tcBorders>
          </w:tcPr>
          <w:p>
            <w:pPr>
              <w:pStyle w:val="TableParagraph"/>
              <w:spacing w:before="2"/>
              <w:ind w:left="218"/>
              <w:jc w:val="left"/>
              <w:rPr>
                <w:b/>
                <w:sz w:val="18"/>
              </w:rPr>
            </w:pPr>
            <w:r>
              <w:rPr>
                <w:b/>
                <w:sz w:val="18"/>
              </w:rPr>
              <w:t>STORE</w:t>
            </w:r>
            <w:r>
              <w:rPr>
                <w:b/>
                <w:spacing w:val="-2"/>
                <w:sz w:val="18"/>
              </w:rPr>
              <w:t> </w:t>
            </w:r>
            <w:r>
              <w:rPr>
                <w:b/>
                <w:sz w:val="18"/>
              </w:rPr>
              <w:t>IRON</w:t>
            </w:r>
            <w:r>
              <w:rPr>
                <w:b/>
                <w:spacing w:val="-1"/>
                <w:sz w:val="18"/>
              </w:rPr>
              <w:t> </w:t>
            </w:r>
            <w:r>
              <w:rPr>
                <w:b/>
                <w:spacing w:val="-2"/>
                <w:sz w:val="18"/>
              </w:rPr>
              <w:t>COMPARTMENT</w:t>
            </w:r>
          </w:p>
        </w:tc>
        <w:tc>
          <w:tcPr>
            <w:tcW w:w="3263" w:type="dxa"/>
            <w:gridSpan w:val="2"/>
            <w:tcBorders>
              <w:top w:val="single" w:sz="4" w:space="0" w:color="000000"/>
            </w:tcBorders>
          </w:tcPr>
          <w:p>
            <w:pPr>
              <w:pStyle w:val="TableParagraph"/>
              <w:spacing w:line="360" w:lineRule="auto" w:before="2"/>
              <w:ind w:left="1248" w:right="188" w:hanging="1085"/>
              <w:jc w:val="left"/>
              <w:rPr>
                <w:b/>
                <w:sz w:val="18"/>
              </w:rPr>
            </w:pPr>
            <w:r>
              <w:rPr>
                <w:b/>
                <w:sz w:val="18"/>
              </w:rPr>
              <w:t>MALARIA</w:t>
            </w:r>
            <w:r>
              <w:rPr>
                <w:b/>
                <w:spacing w:val="-12"/>
                <w:sz w:val="18"/>
              </w:rPr>
              <w:t> </w:t>
            </w:r>
            <w:r>
              <w:rPr>
                <w:b/>
                <w:sz w:val="18"/>
              </w:rPr>
              <w:t>INFECTED</w:t>
            </w:r>
            <w:r>
              <w:rPr>
                <w:b/>
                <w:spacing w:val="-11"/>
                <w:sz w:val="18"/>
              </w:rPr>
              <w:t> </w:t>
            </w:r>
            <w:r>
              <w:rPr>
                <w:b/>
                <w:sz w:val="18"/>
              </w:rPr>
              <w:t>PREGNANT </w:t>
            </w:r>
            <w:r>
              <w:rPr>
                <w:b/>
                <w:spacing w:val="-2"/>
                <w:sz w:val="18"/>
              </w:rPr>
              <w:t>WOMEN</w:t>
            </w:r>
          </w:p>
        </w:tc>
        <w:tc>
          <w:tcPr>
            <w:tcW w:w="3090" w:type="dxa"/>
            <w:gridSpan w:val="2"/>
            <w:tcBorders>
              <w:top w:val="single" w:sz="4" w:space="0" w:color="000000"/>
            </w:tcBorders>
          </w:tcPr>
          <w:p>
            <w:pPr>
              <w:pStyle w:val="TableParagraph"/>
              <w:spacing w:line="360" w:lineRule="auto" w:before="2"/>
              <w:ind w:left="632" w:right="498" w:hanging="159"/>
              <w:jc w:val="left"/>
              <w:rPr>
                <w:b/>
                <w:sz w:val="18"/>
              </w:rPr>
            </w:pPr>
            <w:r>
              <w:rPr>
                <w:b/>
                <w:sz w:val="18"/>
              </w:rPr>
              <w:t>MALARIA</w:t>
            </w:r>
            <w:r>
              <w:rPr>
                <w:b/>
                <w:spacing w:val="-12"/>
                <w:sz w:val="18"/>
              </w:rPr>
              <w:t> </w:t>
            </w:r>
            <w:r>
              <w:rPr>
                <w:b/>
                <w:sz w:val="18"/>
              </w:rPr>
              <w:t>UNINFECTED PREGNANT WOMEN</w:t>
            </w:r>
          </w:p>
        </w:tc>
      </w:tr>
      <w:tr>
        <w:trPr>
          <w:trHeight w:val="757" w:hRule="atLeast"/>
        </w:trPr>
        <w:tc>
          <w:tcPr>
            <w:tcW w:w="1564" w:type="dxa"/>
            <w:tcBorders>
              <w:bottom w:val="single" w:sz="4" w:space="0" w:color="000000"/>
            </w:tcBorders>
          </w:tcPr>
          <w:p>
            <w:pPr>
              <w:pStyle w:val="TableParagraph"/>
              <w:jc w:val="left"/>
              <w:rPr>
                <w:sz w:val="20"/>
              </w:rPr>
            </w:pPr>
          </w:p>
        </w:tc>
        <w:tc>
          <w:tcPr>
            <w:tcW w:w="1518" w:type="dxa"/>
            <w:tcBorders>
              <w:bottom w:val="single" w:sz="4" w:space="0" w:color="000000"/>
            </w:tcBorders>
          </w:tcPr>
          <w:p>
            <w:pPr>
              <w:pStyle w:val="TableParagraph"/>
              <w:jc w:val="left"/>
              <w:rPr>
                <w:sz w:val="20"/>
              </w:rPr>
            </w:pPr>
          </w:p>
        </w:tc>
        <w:tc>
          <w:tcPr>
            <w:tcW w:w="1607" w:type="dxa"/>
            <w:tcBorders>
              <w:bottom w:val="single" w:sz="4" w:space="0" w:color="000000"/>
            </w:tcBorders>
          </w:tcPr>
          <w:p>
            <w:pPr>
              <w:pStyle w:val="TableParagraph"/>
              <w:spacing w:line="310" w:lineRule="atLeast" w:before="33"/>
              <w:ind w:left="650" w:right="213" w:hanging="399"/>
              <w:jc w:val="left"/>
              <w:rPr>
                <w:b/>
                <w:sz w:val="18"/>
              </w:rPr>
            </w:pPr>
            <w:r>
              <w:rPr>
                <w:b/>
                <w:spacing w:val="-2"/>
                <w:sz w:val="18"/>
              </w:rPr>
              <w:t>FREQUENCY </w:t>
            </w:r>
            <w:r>
              <w:rPr>
                <w:b/>
                <w:spacing w:val="-4"/>
                <w:sz w:val="18"/>
              </w:rPr>
              <w:t>(No)</w:t>
            </w:r>
          </w:p>
        </w:tc>
        <w:tc>
          <w:tcPr>
            <w:tcW w:w="1656" w:type="dxa"/>
            <w:tcBorders>
              <w:bottom w:val="single" w:sz="4" w:space="0" w:color="000000"/>
            </w:tcBorders>
          </w:tcPr>
          <w:p>
            <w:pPr>
              <w:pStyle w:val="TableParagraph"/>
              <w:spacing w:line="310" w:lineRule="atLeast" w:before="33"/>
              <w:ind w:left="687" w:hanging="476"/>
              <w:jc w:val="left"/>
              <w:rPr>
                <w:b/>
                <w:sz w:val="18"/>
              </w:rPr>
            </w:pPr>
            <w:r>
              <w:rPr>
                <w:b/>
                <w:spacing w:val="-2"/>
                <w:sz w:val="18"/>
              </w:rPr>
              <w:t>PERCENTAGE </w:t>
            </w:r>
            <w:r>
              <w:rPr>
                <w:b/>
                <w:spacing w:val="-4"/>
                <w:sz w:val="18"/>
              </w:rPr>
              <w:t>(%)</w:t>
            </w:r>
          </w:p>
        </w:tc>
        <w:tc>
          <w:tcPr>
            <w:tcW w:w="1506" w:type="dxa"/>
            <w:tcBorders>
              <w:bottom w:val="single" w:sz="4" w:space="0" w:color="000000"/>
            </w:tcBorders>
          </w:tcPr>
          <w:p>
            <w:pPr>
              <w:pStyle w:val="TableParagraph"/>
              <w:spacing w:line="310" w:lineRule="atLeast" w:before="33"/>
              <w:ind w:left="582" w:right="181" w:hanging="399"/>
              <w:jc w:val="left"/>
              <w:rPr>
                <w:b/>
                <w:sz w:val="18"/>
              </w:rPr>
            </w:pPr>
            <w:r>
              <w:rPr>
                <w:b/>
                <w:spacing w:val="-2"/>
                <w:sz w:val="18"/>
              </w:rPr>
              <w:t>FREQUENCY </w:t>
            </w:r>
            <w:r>
              <w:rPr>
                <w:b/>
                <w:spacing w:val="-4"/>
                <w:sz w:val="18"/>
              </w:rPr>
              <w:t>(No)</w:t>
            </w:r>
          </w:p>
        </w:tc>
        <w:tc>
          <w:tcPr>
            <w:tcW w:w="1584" w:type="dxa"/>
            <w:tcBorders>
              <w:bottom w:val="single" w:sz="4" w:space="0" w:color="000000"/>
            </w:tcBorders>
          </w:tcPr>
          <w:p>
            <w:pPr>
              <w:pStyle w:val="TableParagraph"/>
              <w:spacing w:line="310" w:lineRule="atLeast" w:before="33"/>
              <w:ind w:left="651" w:hanging="476"/>
              <w:jc w:val="left"/>
              <w:rPr>
                <w:b/>
                <w:sz w:val="18"/>
              </w:rPr>
            </w:pPr>
            <w:r>
              <w:rPr>
                <w:b/>
                <w:spacing w:val="-2"/>
                <w:sz w:val="18"/>
              </w:rPr>
              <w:t>PERCENTAGE </w:t>
            </w:r>
            <w:r>
              <w:rPr>
                <w:b/>
                <w:spacing w:val="-4"/>
                <w:sz w:val="18"/>
              </w:rPr>
              <w:t>(%)</w:t>
            </w:r>
          </w:p>
        </w:tc>
      </w:tr>
      <w:tr>
        <w:trPr>
          <w:trHeight w:val="759" w:hRule="atLeast"/>
        </w:trPr>
        <w:tc>
          <w:tcPr>
            <w:tcW w:w="1564" w:type="dxa"/>
            <w:tcBorders>
              <w:top w:val="single" w:sz="4" w:space="0" w:color="000000"/>
            </w:tcBorders>
          </w:tcPr>
          <w:p>
            <w:pPr>
              <w:pStyle w:val="TableParagraph"/>
              <w:jc w:val="left"/>
              <w:rPr>
                <w:sz w:val="20"/>
              </w:rPr>
            </w:pPr>
          </w:p>
        </w:tc>
        <w:tc>
          <w:tcPr>
            <w:tcW w:w="1518" w:type="dxa"/>
            <w:tcBorders>
              <w:top w:val="single" w:sz="4" w:space="0" w:color="000000"/>
            </w:tcBorders>
          </w:tcPr>
          <w:p>
            <w:pPr>
              <w:pStyle w:val="TableParagraph"/>
              <w:spacing w:line="270" w:lineRule="exact"/>
              <w:ind w:left="29"/>
              <w:rPr>
                <w:sz w:val="24"/>
              </w:rPr>
            </w:pPr>
            <w:r>
              <w:rPr>
                <w:spacing w:val="-5"/>
                <w:sz w:val="24"/>
              </w:rPr>
              <w:t>&lt;12</w:t>
            </w:r>
          </w:p>
          <w:p>
            <w:pPr>
              <w:pStyle w:val="TableParagraph"/>
              <w:spacing w:before="139"/>
              <w:ind w:left="29"/>
              <w:rPr>
                <w:sz w:val="24"/>
              </w:rPr>
            </w:pPr>
            <w:r>
              <w:rPr>
                <w:spacing w:val="-2"/>
                <w:sz w:val="24"/>
              </w:rPr>
              <w:t>(Decreased)</w:t>
            </w:r>
          </w:p>
        </w:tc>
        <w:tc>
          <w:tcPr>
            <w:tcW w:w="1607" w:type="dxa"/>
            <w:tcBorders>
              <w:top w:val="single" w:sz="4" w:space="0" w:color="000000"/>
            </w:tcBorders>
          </w:tcPr>
          <w:p>
            <w:pPr>
              <w:pStyle w:val="TableParagraph"/>
              <w:spacing w:before="133"/>
              <w:jc w:val="left"/>
              <w:rPr>
                <w:b/>
                <w:sz w:val="24"/>
              </w:rPr>
            </w:pPr>
          </w:p>
          <w:p>
            <w:pPr>
              <w:pStyle w:val="TableParagraph"/>
              <w:ind w:left="34"/>
              <w:rPr>
                <w:sz w:val="24"/>
              </w:rPr>
            </w:pPr>
            <w:r>
              <w:rPr>
                <w:spacing w:val="-5"/>
                <w:sz w:val="24"/>
              </w:rPr>
              <w:t>37</w:t>
            </w:r>
          </w:p>
        </w:tc>
        <w:tc>
          <w:tcPr>
            <w:tcW w:w="1656" w:type="dxa"/>
            <w:tcBorders>
              <w:top w:val="single" w:sz="4" w:space="0" w:color="000000"/>
            </w:tcBorders>
          </w:tcPr>
          <w:p>
            <w:pPr>
              <w:pStyle w:val="TableParagraph"/>
              <w:spacing w:before="133"/>
              <w:jc w:val="left"/>
              <w:rPr>
                <w:b/>
                <w:sz w:val="24"/>
              </w:rPr>
            </w:pPr>
          </w:p>
          <w:p>
            <w:pPr>
              <w:pStyle w:val="TableParagraph"/>
              <w:ind w:left="19"/>
              <w:rPr>
                <w:sz w:val="24"/>
              </w:rPr>
            </w:pPr>
            <w:r>
              <w:rPr>
                <w:spacing w:val="-2"/>
                <w:sz w:val="24"/>
              </w:rPr>
              <w:t>25.70</w:t>
            </w:r>
          </w:p>
        </w:tc>
        <w:tc>
          <w:tcPr>
            <w:tcW w:w="1506" w:type="dxa"/>
            <w:tcBorders>
              <w:top w:val="single" w:sz="4" w:space="0" w:color="000000"/>
            </w:tcBorders>
          </w:tcPr>
          <w:p>
            <w:pPr>
              <w:pStyle w:val="TableParagraph"/>
              <w:spacing w:before="133"/>
              <w:jc w:val="left"/>
              <w:rPr>
                <w:b/>
                <w:sz w:val="24"/>
              </w:rPr>
            </w:pPr>
          </w:p>
          <w:p>
            <w:pPr>
              <w:pStyle w:val="TableParagraph"/>
              <w:rPr>
                <w:sz w:val="24"/>
              </w:rPr>
            </w:pPr>
            <w:r>
              <w:rPr>
                <w:spacing w:val="-5"/>
                <w:sz w:val="24"/>
              </w:rPr>
              <w:t>15</w:t>
            </w:r>
          </w:p>
        </w:tc>
        <w:tc>
          <w:tcPr>
            <w:tcW w:w="1584" w:type="dxa"/>
            <w:tcBorders>
              <w:top w:val="single" w:sz="4" w:space="0" w:color="000000"/>
            </w:tcBorders>
          </w:tcPr>
          <w:p>
            <w:pPr>
              <w:pStyle w:val="TableParagraph"/>
              <w:spacing w:before="133"/>
              <w:jc w:val="left"/>
              <w:rPr>
                <w:b/>
                <w:sz w:val="24"/>
              </w:rPr>
            </w:pPr>
          </w:p>
          <w:p>
            <w:pPr>
              <w:pStyle w:val="TableParagraph"/>
              <w:ind w:left="18"/>
              <w:rPr>
                <w:sz w:val="24"/>
              </w:rPr>
            </w:pPr>
            <w:r>
              <w:rPr>
                <w:spacing w:val="-2"/>
                <w:sz w:val="24"/>
              </w:rPr>
              <w:t>24.19</w:t>
            </w:r>
          </w:p>
        </w:tc>
      </w:tr>
      <w:tr>
        <w:trPr>
          <w:trHeight w:val="413" w:hRule="atLeast"/>
        </w:trPr>
        <w:tc>
          <w:tcPr>
            <w:tcW w:w="1564" w:type="dxa"/>
          </w:tcPr>
          <w:p>
            <w:pPr>
              <w:pStyle w:val="TableParagraph"/>
              <w:spacing w:before="63"/>
              <w:ind w:left="372"/>
              <w:jc w:val="left"/>
              <w:rPr>
                <w:sz w:val="24"/>
              </w:rPr>
            </w:pPr>
            <w:r>
              <w:rPr>
                <w:sz w:val="24"/>
              </w:rPr>
              <w:t>SF </w:t>
            </w:r>
            <w:r>
              <w:rPr>
                <w:spacing w:val="-2"/>
                <w:sz w:val="24"/>
              </w:rPr>
              <w:t>(ug/l)</w:t>
            </w:r>
          </w:p>
        </w:tc>
        <w:tc>
          <w:tcPr>
            <w:tcW w:w="1518" w:type="dxa"/>
            <w:vMerge w:val="restart"/>
          </w:tcPr>
          <w:p>
            <w:pPr>
              <w:pStyle w:val="TableParagraph"/>
              <w:spacing w:before="63"/>
              <w:ind w:left="353"/>
              <w:jc w:val="left"/>
              <w:rPr>
                <w:sz w:val="24"/>
              </w:rPr>
            </w:pPr>
            <w:r>
              <w:rPr>
                <w:sz w:val="24"/>
              </w:rPr>
              <w:t>12 – </w:t>
            </w:r>
            <w:r>
              <w:rPr>
                <w:spacing w:val="-5"/>
                <w:sz w:val="24"/>
              </w:rPr>
              <w:t>200</w:t>
            </w:r>
          </w:p>
          <w:p>
            <w:pPr>
              <w:pStyle w:val="TableParagraph"/>
              <w:spacing w:before="137"/>
              <w:ind w:left="329"/>
              <w:jc w:val="left"/>
              <w:rPr>
                <w:sz w:val="24"/>
              </w:rPr>
            </w:pPr>
            <w:r>
              <w:rPr>
                <w:spacing w:val="-2"/>
                <w:sz w:val="24"/>
              </w:rPr>
              <w:t>(Normal)</w:t>
            </w:r>
          </w:p>
        </w:tc>
        <w:tc>
          <w:tcPr>
            <w:tcW w:w="1607" w:type="dxa"/>
          </w:tcPr>
          <w:p>
            <w:pPr>
              <w:pStyle w:val="TableParagraph"/>
              <w:jc w:val="left"/>
              <w:rPr>
                <w:sz w:val="20"/>
              </w:rPr>
            </w:pPr>
          </w:p>
        </w:tc>
        <w:tc>
          <w:tcPr>
            <w:tcW w:w="1656" w:type="dxa"/>
          </w:tcPr>
          <w:p>
            <w:pPr>
              <w:pStyle w:val="TableParagraph"/>
              <w:jc w:val="left"/>
              <w:rPr>
                <w:sz w:val="20"/>
              </w:rPr>
            </w:pPr>
          </w:p>
        </w:tc>
        <w:tc>
          <w:tcPr>
            <w:tcW w:w="1506" w:type="dxa"/>
          </w:tcPr>
          <w:p>
            <w:pPr>
              <w:pStyle w:val="TableParagraph"/>
              <w:jc w:val="left"/>
              <w:rPr>
                <w:sz w:val="20"/>
              </w:rPr>
            </w:pPr>
          </w:p>
        </w:tc>
        <w:tc>
          <w:tcPr>
            <w:tcW w:w="1584" w:type="dxa"/>
          </w:tcPr>
          <w:p>
            <w:pPr>
              <w:pStyle w:val="TableParagraph"/>
              <w:jc w:val="left"/>
              <w:rPr>
                <w:sz w:val="20"/>
              </w:rPr>
            </w:pPr>
          </w:p>
        </w:tc>
      </w:tr>
      <w:tr>
        <w:trPr>
          <w:trHeight w:val="413" w:hRule="atLeast"/>
        </w:trPr>
        <w:tc>
          <w:tcPr>
            <w:tcW w:w="1564" w:type="dxa"/>
          </w:tcPr>
          <w:p>
            <w:pPr>
              <w:pStyle w:val="TableParagraph"/>
              <w:jc w:val="left"/>
              <w:rPr>
                <w:sz w:val="20"/>
              </w:rPr>
            </w:pPr>
          </w:p>
        </w:tc>
        <w:tc>
          <w:tcPr>
            <w:tcW w:w="1518" w:type="dxa"/>
            <w:vMerge/>
            <w:tcBorders>
              <w:top w:val="nil"/>
            </w:tcBorders>
          </w:tcPr>
          <w:p>
            <w:pPr>
              <w:rPr>
                <w:sz w:val="2"/>
                <w:szCs w:val="2"/>
              </w:rPr>
            </w:pPr>
          </w:p>
        </w:tc>
        <w:tc>
          <w:tcPr>
            <w:tcW w:w="1607" w:type="dxa"/>
          </w:tcPr>
          <w:p>
            <w:pPr>
              <w:pStyle w:val="TableParagraph"/>
              <w:spacing w:before="63"/>
              <w:ind w:left="34"/>
              <w:rPr>
                <w:sz w:val="24"/>
              </w:rPr>
            </w:pPr>
            <w:r>
              <w:rPr>
                <w:spacing w:val="-5"/>
                <w:sz w:val="24"/>
              </w:rPr>
              <w:t>104</w:t>
            </w:r>
          </w:p>
        </w:tc>
        <w:tc>
          <w:tcPr>
            <w:tcW w:w="1656" w:type="dxa"/>
          </w:tcPr>
          <w:p>
            <w:pPr>
              <w:pStyle w:val="TableParagraph"/>
              <w:spacing w:before="63"/>
              <w:ind w:left="19"/>
              <w:rPr>
                <w:sz w:val="24"/>
              </w:rPr>
            </w:pPr>
            <w:r>
              <w:rPr>
                <w:spacing w:val="-2"/>
                <w:sz w:val="24"/>
              </w:rPr>
              <w:t>72.22</w:t>
            </w:r>
          </w:p>
        </w:tc>
        <w:tc>
          <w:tcPr>
            <w:tcW w:w="1506" w:type="dxa"/>
          </w:tcPr>
          <w:p>
            <w:pPr>
              <w:pStyle w:val="TableParagraph"/>
              <w:spacing w:before="63"/>
              <w:rPr>
                <w:sz w:val="24"/>
              </w:rPr>
            </w:pPr>
            <w:r>
              <w:rPr>
                <w:spacing w:val="-5"/>
                <w:sz w:val="24"/>
              </w:rPr>
              <w:t>47</w:t>
            </w:r>
          </w:p>
        </w:tc>
        <w:tc>
          <w:tcPr>
            <w:tcW w:w="1584" w:type="dxa"/>
          </w:tcPr>
          <w:p>
            <w:pPr>
              <w:pStyle w:val="TableParagraph"/>
              <w:spacing w:before="63"/>
              <w:ind w:left="18"/>
              <w:rPr>
                <w:sz w:val="24"/>
              </w:rPr>
            </w:pPr>
            <w:r>
              <w:rPr>
                <w:spacing w:val="-2"/>
                <w:sz w:val="24"/>
              </w:rPr>
              <w:t>75.81</w:t>
            </w:r>
          </w:p>
        </w:tc>
      </w:tr>
      <w:tr>
        <w:trPr>
          <w:trHeight w:val="897" w:hRule="atLeast"/>
        </w:trPr>
        <w:tc>
          <w:tcPr>
            <w:tcW w:w="1564" w:type="dxa"/>
            <w:tcBorders>
              <w:bottom w:val="single" w:sz="4" w:space="0" w:color="000000"/>
            </w:tcBorders>
          </w:tcPr>
          <w:p>
            <w:pPr>
              <w:pStyle w:val="TableParagraph"/>
              <w:jc w:val="left"/>
              <w:rPr>
                <w:sz w:val="20"/>
              </w:rPr>
            </w:pPr>
          </w:p>
        </w:tc>
        <w:tc>
          <w:tcPr>
            <w:tcW w:w="1518" w:type="dxa"/>
            <w:tcBorders>
              <w:bottom w:val="single" w:sz="4" w:space="0" w:color="000000"/>
            </w:tcBorders>
          </w:tcPr>
          <w:p>
            <w:pPr>
              <w:pStyle w:val="TableParagraph"/>
              <w:spacing w:before="64"/>
              <w:ind w:left="29"/>
              <w:rPr>
                <w:sz w:val="24"/>
              </w:rPr>
            </w:pPr>
            <w:r>
              <w:rPr>
                <w:spacing w:val="-4"/>
                <w:sz w:val="24"/>
              </w:rPr>
              <w:t>&gt;200</w:t>
            </w:r>
          </w:p>
          <w:p>
            <w:pPr>
              <w:pStyle w:val="TableParagraph"/>
              <w:spacing w:before="137"/>
              <w:ind w:left="29" w:right="3"/>
              <w:rPr>
                <w:sz w:val="24"/>
              </w:rPr>
            </w:pPr>
            <w:r>
              <w:rPr>
                <w:spacing w:val="-2"/>
                <w:sz w:val="24"/>
              </w:rPr>
              <w:t>(Increased)</w:t>
            </w:r>
          </w:p>
        </w:tc>
        <w:tc>
          <w:tcPr>
            <w:tcW w:w="1607" w:type="dxa"/>
            <w:tcBorders>
              <w:bottom w:val="single" w:sz="4" w:space="0" w:color="000000"/>
            </w:tcBorders>
          </w:tcPr>
          <w:p>
            <w:pPr>
              <w:pStyle w:val="TableParagraph"/>
              <w:spacing w:before="201"/>
              <w:jc w:val="left"/>
              <w:rPr>
                <w:b/>
                <w:sz w:val="24"/>
              </w:rPr>
            </w:pPr>
          </w:p>
          <w:p>
            <w:pPr>
              <w:pStyle w:val="TableParagraph"/>
              <w:ind w:left="34"/>
              <w:rPr>
                <w:sz w:val="24"/>
              </w:rPr>
            </w:pPr>
            <w:r>
              <w:rPr>
                <w:spacing w:val="-10"/>
                <w:sz w:val="24"/>
              </w:rPr>
              <w:t>3</w:t>
            </w:r>
          </w:p>
        </w:tc>
        <w:tc>
          <w:tcPr>
            <w:tcW w:w="1656" w:type="dxa"/>
            <w:tcBorders>
              <w:bottom w:val="single" w:sz="4" w:space="0" w:color="000000"/>
            </w:tcBorders>
          </w:tcPr>
          <w:p>
            <w:pPr>
              <w:pStyle w:val="TableParagraph"/>
              <w:spacing w:before="201"/>
              <w:jc w:val="left"/>
              <w:rPr>
                <w:b/>
                <w:sz w:val="24"/>
              </w:rPr>
            </w:pPr>
          </w:p>
          <w:p>
            <w:pPr>
              <w:pStyle w:val="TableParagraph"/>
              <w:ind w:left="19"/>
              <w:rPr>
                <w:sz w:val="24"/>
              </w:rPr>
            </w:pPr>
            <w:r>
              <w:rPr>
                <w:spacing w:val="-4"/>
                <w:sz w:val="24"/>
              </w:rPr>
              <w:t>2.08</w:t>
            </w:r>
          </w:p>
        </w:tc>
        <w:tc>
          <w:tcPr>
            <w:tcW w:w="1506" w:type="dxa"/>
            <w:tcBorders>
              <w:bottom w:val="single" w:sz="4" w:space="0" w:color="000000"/>
            </w:tcBorders>
          </w:tcPr>
          <w:p>
            <w:pPr>
              <w:pStyle w:val="TableParagraph"/>
              <w:spacing w:before="201"/>
              <w:jc w:val="left"/>
              <w:rPr>
                <w:b/>
                <w:sz w:val="24"/>
              </w:rPr>
            </w:pPr>
          </w:p>
          <w:p>
            <w:pPr>
              <w:pStyle w:val="TableParagraph"/>
              <w:rPr>
                <w:sz w:val="24"/>
              </w:rPr>
            </w:pPr>
            <w:r>
              <w:rPr>
                <w:spacing w:val="-10"/>
                <w:sz w:val="24"/>
              </w:rPr>
              <w:t>0</w:t>
            </w:r>
          </w:p>
        </w:tc>
        <w:tc>
          <w:tcPr>
            <w:tcW w:w="1584" w:type="dxa"/>
            <w:tcBorders>
              <w:bottom w:val="single" w:sz="4" w:space="0" w:color="000000"/>
            </w:tcBorders>
          </w:tcPr>
          <w:p>
            <w:pPr>
              <w:pStyle w:val="TableParagraph"/>
              <w:spacing w:before="201"/>
              <w:jc w:val="left"/>
              <w:rPr>
                <w:b/>
                <w:sz w:val="24"/>
              </w:rPr>
            </w:pPr>
          </w:p>
          <w:p>
            <w:pPr>
              <w:pStyle w:val="TableParagraph"/>
              <w:ind w:left="18" w:right="2"/>
              <w:rPr>
                <w:sz w:val="24"/>
              </w:rPr>
            </w:pPr>
            <w:r>
              <w:rPr>
                <w:spacing w:val="-10"/>
                <w:sz w:val="24"/>
              </w:rPr>
              <w:t>0</w:t>
            </w:r>
          </w:p>
        </w:tc>
      </w:tr>
    </w:tbl>
    <w:p>
      <w:pPr>
        <w:spacing w:after="0"/>
        <w:rPr>
          <w:sz w:val="24"/>
        </w:rPr>
        <w:sectPr>
          <w:pgSz w:w="11910" w:h="16840"/>
          <w:pgMar w:header="0" w:footer="1067" w:top="1060" w:bottom="1260" w:left="880" w:right="640"/>
        </w:sectPr>
      </w:pPr>
    </w:p>
    <w:p>
      <w:pPr>
        <w:pStyle w:val="BodyText"/>
        <w:spacing w:line="477" w:lineRule="auto" w:before="72"/>
        <w:ind w:left="560" w:right="800"/>
        <w:jc w:val="both"/>
      </w:pPr>
      <w:r>
        <w:rPr/>
        <w:t>Table 4.13Comparison of mean</w:t>
      </w:r>
      <w:r>
        <w:rPr>
          <w:rFonts w:ascii="Symbol" w:hAnsi="Symbol"/>
        </w:rPr>
        <w:t></w:t>
      </w:r>
      <w:r>
        <w:rPr/>
        <w:t>SD of iron parameters ofmalaria infected and uninfected pregnant women.</w:t>
      </w:r>
    </w:p>
    <w:p>
      <w:pPr>
        <w:pStyle w:val="BodyText"/>
        <w:spacing w:line="480" w:lineRule="auto" w:before="6"/>
        <w:ind w:left="560" w:right="797"/>
        <w:jc w:val="both"/>
      </w:pPr>
      <w:r>
        <w:rPr/>
        <w:t>The mean</w:t>
      </w:r>
      <w:r>
        <w:rPr>
          <w:rFonts w:ascii="Symbol" w:hAnsi="Symbol"/>
        </w:rPr>
        <w:t></w:t>
      </w:r>
      <w:r>
        <w:rPr/>
        <w:t>SD (102.42</w:t>
      </w:r>
      <w:r>
        <w:rPr>
          <w:rFonts w:ascii="Symbol" w:hAnsi="Symbol"/>
        </w:rPr>
        <w:t></w:t>
      </w:r>
      <w:r>
        <w:rPr/>
        <w:t>10.98)of Hb concentration for malaria infected pregnant womenshowed no significant (P&gt;0.05) difference when compared with 105.79</w:t>
      </w:r>
      <w:r>
        <w:rPr>
          <w:rFonts w:ascii="Symbol" w:hAnsi="Symbol"/>
        </w:rPr>
        <w:t></w:t>
      </w:r>
      <w:r>
        <w:rPr/>
        <w:t>14.16 for uninfected pregnant women.</w:t>
      </w:r>
    </w:p>
    <w:p>
      <w:pPr>
        <w:pStyle w:val="BodyText"/>
        <w:spacing w:line="480" w:lineRule="auto"/>
        <w:ind w:left="560" w:right="798"/>
        <w:jc w:val="both"/>
      </w:pPr>
      <w:r>
        <w:rPr/>
        <w:t>Also for MCV, the mean</w:t>
      </w:r>
      <w:r>
        <w:rPr>
          <w:rFonts w:ascii="Symbol" w:hAnsi="Symbol"/>
        </w:rPr>
        <w:t></w:t>
      </w:r>
      <w:r>
        <w:rPr/>
        <w:t>SD (89.70</w:t>
      </w:r>
      <w:r>
        <w:rPr>
          <w:rFonts w:ascii="Symbol" w:hAnsi="Symbol"/>
        </w:rPr>
        <w:t></w:t>
      </w:r>
      <w:r>
        <w:rPr/>
        <w:t>8.34)for uninfected pregnant women showed no significant difference when comparedwith 88.20</w:t>
      </w:r>
      <w:r>
        <w:rPr>
          <w:rFonts w:ascii="Symbol" w:hAnsi="Symbol"/>
        </w:rPr>
        <w:t></w:t>
      </w:r>
      <w:r>
        <w:rPr/>
        <w:t>11.03 for infected pregnant women </w:t>
      </w:r>
      <w:r>
        <w:rPr>
          <w:spacing w:val="-2"/>
        </w:rPr>
        <w:t>(P&gt;0.05).</w:t>
      </w:r>
    </w:p>
    <w:p>
      <w:pPr>
        <w:pStyle w:val="BodyText"/>
        <w:spacing w:line="480" w:lineRule="auto" w:before="1"/>
        <w:ind w:left="560" w:right="793"/>
        <w:jc w:val="both"/>
      </w:pPr>
      <w:r>
        <w:rPr/>
        <w:t>As for sTfR, the mean</w:t>
      </w:r>
      <w:r>
        <w:rPr>
          <w:rFonts w:ascii="Symbol" w:hAnsi="Symbol"/>
        </w:rPr>
        <w:t></w:t>
      </w:r>
      <w:r>
        <w:rPr/>
        <w:t>SD (62.78</w:t>
      </w:r>
      <w:r>
        <w:rPr>
          <w:rFonts w:ascii="Symbol" w:hAnsi="Symbol"/>
        </w:rPr>
        <w:t></w:t>
      </w:r>
      <w:r>
        <w:rPr/>
        <w:t>21.97)for infected pregnant subjects was significantly higher (P&lt;0.05) than 54.07</w:t>
      </w:r>
      <w:r>
        <w:rPr>
          <w:rFonts w:ascii="Symbol" w:hAnsi="Symbol"/>
        </w:rPr>
        <w:t></w:t>
      </w:r>
      <w:r>
        <w:rPr/>
        <w:t>23.73 for uninfected pregnant subjects.</w:t>
      </w:r>
    </w:p>
    <w:p>
      <w:pPr>
        <w:pStyle w:val="BodyText"/>
        <w:spacing w:line="480" w:lineRule="auto"/>
        <w:ind w:left="560" w:right="796"/>
        <w:jc w:val="both"/>
      </w:pPr>
      <w:r>
        <w:rPr/>
        <w:t>The mean</w:t>
      </w:r>
      <w:r>
        <w:rPr>
          <w:rFonts w:ascii="Symbol" w:hAnsi="Symbol"/>
        </w:rPr>
        <w:t></w:t>
      </w:r>
      <w:r>
        <w:rPr/>
        <w:t>SD (43.61</w:t>
      </w:r>
      <w:r>
        <w:rPr>
          <w:rFonts w:ascii="Symbol" w:hAnsi="Symbol"/>
        </w:rPr>
        <w:t></w:t>
      </w:r>
      <w:r>
        <w:rPr/>
        <w:t>84.99)value of SF for the infected pregnant subjects did not show significant (P&gt;0.05) difference when compared with 31.31</w:t>
      </w:r>
      <w:r>
        <w:rPr>
          <w:rFonts w:ascii="Symbol" w:hAnsi="Symbol"/>
        </w:rPr>
        <w:t></w:t>
      </w:r>
      <w:r>
        <w:rPr/>
        <w:t>28.18 for uninfected pregnant </w:t>
      </w:r>
      <w:r>
        <w:rPr>
          <w:spacing w:val="-2"/>
        </w:rPr>
        <w:t>subjects.</w:t>
      </w:r>
    </w:p>
    <w:p>
      <w:pPr>
        <w:pStyle w:val="BodyText"/>
        <w:spacing w:line="480" w:lineRule="auto"/>
        <w:ind w:left="560" w:right="795"/>
        <w:jc w:val="both"/>
      </w:pPr>
      <w:r>
        <w:rPr/>
        <w:t>Furthermore,the concentration of C-RP showed that the mean</w:t>
      </w:r>
      <w:r>
        <w:rPr>
          <w:rFonts w:ascii="Symbol" w:hAnsi="Symbol"/>
        </w:rPr>
        <w:t></w:t>
      </w:r>
      <w:r>
        <w:rPr/>
        <w:t>SD (6.09</w:t>
      </w:r>
      <w:r>
        <w:rPr>
          <w:rFonts w:ascii="Symbol" w:hAnsi="Symbol"/>
        </w:rPr>
        <w:t></w:t>
      </w:r>
      <w:r>
        <w:rPr/>
        <w:t>4.88)for infected pregnant women was significantly higher (P&lt;0.05) than 4.49</w:t>
      </w:r>
      <w:r>
        <w:rPr>
          <w:rFonts w:ascii="Symbol" w:hAnsi="Symbol"/>
        </w:rPr>
        <w:t></w:t>
      </w:r>
      <w:r>
        <w:rPr/>
        <w:t>2.74 for uninfected pregnant women when both were compared.</w:t>
      </w:r>
    </w:p>
    <w:p>
      <w:pPr>
        <w:spacing w:after="0" w:line="480" w:lineRule="auto"/>
        <w:jc w:val="both"/>
        <w:sectPr>
          <w:pgSz w:w="11910" w:h="16840"/>
          <w:pgMar w:header="0" w:footer="1067" w:top="1060" w:bottom="1260" w:left="880" w:right="640"/>
        </w:sectPr>
      </w:pPr>
    </w:p>
    <w:p>
      <w:pPr>
        <w:pStyle w:val="Heading2"/>
        <w:spacing w:before="38"/>
        <w:ind w:left="1820" w:hanging="1260"/>
        <w:rPr>
          <w:rFonts w:ascii="Calibri" w:hAnsi="Calibri"/>
        </w:rPr>
      </w:pPr>
      <w:r>
        <w:rPr>
          <w:rFonts w:ascii="Calibri" w:hAnsi="Calibri"/>
        </w:rPr>
        <w:t>TABLE</w:t>
      </w:r>
      <w:r>
        <w:rPr>
          <w:rFonts w:ascii="Calibri" w:hAnsi="Calibri"/>
          <w:spacing w:val="-4"/>
        </w:rPr>
        <w:t> </w:t>
      </w:r>
      <w:r>
        <w:rPr>
          <w:rFonts w:ascii="Calibri" w:hAnsi="Calibri"/>
        </w:rPr>
        <w:t>4.13:</w:t>
      </w:r>
      <w:r>
        <w:rPr>
          <w:rFonts w:ascii="Calibri" w:hAnsi="Calibri"/>
          <w:spacing w:val="-4"/>
        </w:rPr>
        <w:t> </w:t>
      </w:r>
      <w:r>
        <w:rPr>
          <w:rFonts w:ascii="Calibri" w:hAnsi="Calibri"/>
        </w:rPr>
        <w:t>COMPARISON</w:t>
      </w:r>
      <w:r>
        <w:rPr>
          <w:rFonts w:ascii="Calibri" w:hAnsi="Calibri"/>
          <w:spacing w:val="-4"/>
        </w:rPr>
        <w:t> </w:t>
      </w:r>
      <w:r>
        <w:rPr>
          <w:rFonts w:ascii="Calibri" w:hAnsi="Calibri"/>
        </w:rPr>
        <w:t>OFMEAN±SD</w:t>
      </w:r>
      <w:r>
        <w:rPr>
          <w:rFonts w:ascii="Calibri" w:hAnsi="Calibri"/>
          <w:spacing w:val="-5"/>
        </w:rPr>
        <w:t> </w:t>
      </w:r>
      <w:r>
        <w:rPr>
          <w:rFonts w:ascii="Calibri" w:hAnsi="Calibri"/>
        </w:rPr>
        <w:t>IRON</w:t>
      </w:r>
      <w:r>
        <w:rPr>
          <w:rFonts w:ascii="Calibri" w:hAnsi="Calibri"/>
          <w:spacing w:val="-6"/>
        </w:rPr>
        <w:t> </w:t>
      </w:r>
      <w:r>
        <w:rPr>
          <w:rFonts w:ascii="Calibri" w:hAnsi="Calibri"/>
        </w:rPr>
        <w:t>PARAMETERS</w:t>
      </w:r>
      <w:r>
        <w:rPr>
          <w:rFonts w:ascii="Calibri" w:hAnsi="Calibri"/>
          <w:spacing w:val="-5"/>
        </w:rPr>
        <w:t> </w:t>
      </w:r>
      <w:r>
        <w:rPr>
          <w:rFonts w:ascii="Calibri" w:hAnsi="Calibri"/>
        </w:rPr>
        <w:t>OFMALARIA</w:t>
      </w:r>
      <w:r>
        <w:rPr>
          <w:rFonts w:ascii="Calibri" w:hAnsi="Calibri"/>
          <w:spacing w:val="-4"/>
        </w:rPr>
        <w:t> </w:t>
      </w:r>
      <w:r>
        <w:rPr>
          <w:rFonts w:ascii="Calibri" w:hAnsi="Calibri"/>
        </w:rPr>
        <w:t>INFECTED</w:t>
      </w:r>
      <w:r>
        <w:rPr>
          <w:rFonts w:ascii="Calibri" w:hAnsi="Calibri"/>
          <w:spacing w:val="-6"/>
        </w:rPr>
        <w:t> </w:t>
      </w:r>
      <w:r>
        <w:rPr>
          <w:rFonts w:ascii="Calibri" w:hAnsi="Calibri"/>
        </w:rPr>
        <w:t>AND UNINFECTED PREGNANT WOMEN</w:t>
      </w:r>
    </w:p>
    <w:p>
      <w:pPr>
        <w:pStyle w:val="BodyText"/>
        <w:rPr>
          <w:rFonts w:ascii="Calibri"/>
          <w:b/>
          <w:sz w:val="20"/>
        </w:rPr>
      </w:pPr>
    </w:p>
    <w:p>
      <w:pPr>
        <w:pStyle w:val="BodyText"/>
        <w:spacing w:before="25"/>
        <w:rPr>
          <w:rFonts w:ascii="Calibri"/>
          <w:b/>
          <w:sz w:val="20"/>
        </w:rPr>
      </w:pPr>
    </w:p>
    <w:tbl>
      <w:tblPr>
        <w:tblW w:w="0" w:type="auto"/>
        <w:jc w:val="left"/>
        <w:tblInd w:w="1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36"/>
        <w:gridCol w:w="1915"/>
        <w:gridCol w:w="1890"/>
        <w:gridCol w:w="1134"/>
      </w:tblGrid>
      <w:tr>
        <w:trPr>
          <w:trHeight w:val="856" w:hRule="atLeast"/>
        </w:trPr>
        <w:tc>
          <w:tcPr>
            <w:tcW w:w="1936" w:type="dxa"/>
            <w:tcBorders>
              <w:top w:val="single" w:sz="8" w:space="0" w:color="000000"/>
              <w:bottom w:val="single" w:sz="8" w:space="0" w:color="000000"/>
            </w:tcBorders>
          </w:tcPr>
          <w:p>
            <w:pPr>
              <w:pStyle w:val="TableParagraph"/>
              <w:spacing w:line="292" w:lineRule="exact"/>
              <w:ind w:right="36"/>
              <w:rPr>
                <w:rFonts w:ascii="Calibri"/>
                <w:b/>
                <w:sz w:val="24"/>
              </w:rPr>
            </w:pPr>
            <w:r>
              <w:rPr>
                <w:rFonts w:ascii="Calibri"/>
                <w:b/>
                <w:spacing w:val="-2"/>
                <w:sz w:val="24"/>
              </w:rPr>
              <w:t>Parameters</w:t>
            </w:r>
          </w:p>
        </w:tc>
        <w:tc>
          <w:tcPr>
            <w:tcW w:w="1915" w:type="dxa"/>
            <w:tcBorders>
              <w:top w:val="single" w:sz="8" w:space="0" w:color="000000"/>
              <w:bottom w:val="single" w:sz="8" w:space="0" w:color="000000"/>
            </w:tcBorders>
          </w:tcPr>
          <w:p>
            <w:pPr>
              <w:pStyle w:val="TableParagraph"/>
              <w:spacing w:line="292" w:lineRule="exact"/>
              <w:ind w:left="493" w:firstLine="43"/>
              <w:jc w:val="left"/>
              <w:rPr>
                <w:rFonts w:ascii="Calibri"/>
                <w:b/>
                <w:sz w:val="24"/>
              </w:rPr>
            </w:pPr>
            <w:r>
              <w:rPr>
                <w:rFonts w:ascii="Calibri"/>
                <w:b/>
                <w:spacing w:val="-2"/>
                <w:sz w:val="24"/>
              </w:rPr>
              <w:t>Infected</w:t>
            </w:r>
          </w:p>
          <w:p>
            <w:pPr>
              <w:pStyle w:val="TableParagraph"/>
              <w:spacing w:line="290" w:lineRule="atLeast"/>
              <w:ind w:left="512" w:right="512" w:hanging="20"/>
              <w:jc w:val="left"/>
              <w:rPr>
                <w:rFonts w:ascii="Calibri"/>
                <w:b/>
                <w:sz w:val="24"/>
              </w:rPr>
            </w:pPr>
            <w:r>
              <w:rPr>
                <w:rFonts w:ascii="Calibri"/>
                <w:b/>
                <w:spacing w:val="-2"/>
                <w:sz w:val="24"/>
              </w:rPr>
              <w:t>Pregnant </w:t>
            </w:r>
            <w:r>
              <w:rPr>
                <w:rFonts w:ascii="Calibri"/>
                <w:b/>
                <w:sz w:val="24"/>
              </w:rPr>
              <w:t>(n</w:t>
            </w:r>
            <w:r>
              <w:rPr>
                <w:rFonts w:ascii="Calibri"/>
                <w:b/>
                <w:spacing w:val="1"/>
                <w:sz w:val="24"/>
              </w:rPr>
              <w:t> </w:t>
            </w:r>
            <w:r>
              <w:rPr>
                <w:rFonts w:ascii="Calibri"/>
                <w:b/>
                <w:sz w:val="24"/>
              </w:rPr>
              <w:t>=</w:t>
            </w:r>
            <w:r>
              <w:rPr>
                <w:rFonts w:ascii="Calibri"/>
                <w:b/>
                <w:spacing w:val="1"/>
                <w:sz w:val="24"/>
              </w:rPr>
              <w:t> </w:t>
            </w:r>
            <w:r>
              <w:rPr>
                <w:rFonts w:ascii="Calibri"/>
                <w:b/>
                <w:spacing w:val="-4"/>
                <w:sz w:val="24"/>
              </w:rPr>
              <w:t>144)</w:t>
            </w:r>
          </w:p>
        </w:tc>
        <w:tc>
          <w:tcPr>
            <w:tcW w:w="1890" w:type="dxa"/>
            <w:tcBorders>
              <w:top w:val="single" w:sz="8" w:space="0" w:color="000000"/>
              <w:bottom w:val="single" w:sz="8" w:space="0" w:color="000000"/>
            </w:tcBorders>
          </w:tcPr>
          <w:p>
            <w:pPr>
              <w:pStyle w:val="TableParagraph"/>
              <w:spacing w:line="292" w:lineRule="exact"/>
              <w:ind w:left="513" w:hanging="99"/>
              <w:jc w:val="left"/>
              <w:rPr>
                <w:rFonts w:ascii="Calibri"/>
                <w:b/>
                <w:sz w:val="24"/>
              </w:rPr>
            </w:pPr>
            <w:r>
              <w:rPr>
                <w:rFonts w:ascii="Calibri"/>
                <w:b/>
                <w:spacing w:val="-2"/>
                <w:sz w:val="24"/>
              </w:rPr>
              <w:t>Uninfected</w:t>
            </w:r>
          </w:p>
          <w:p>
            <w:pPr>
              <w:pStyle w:val="TableParagraph"/>
              <w:spacing w:line="290" w:lineRule="atLeast"/>
              <w:ind w:left="592" w:right="467" w:hanging="80"/>
              <w:jc w:val="left"/>
              <w:rPr>
                <w:rFonts w:ascii="Calibri"/>
                <w:b/>
                <w:sz w:val="24"/>
              </w:rPr>
            </w:pPr>
            <w:r>
              <w:rPr>
                <w:rFonts w:ascii="Calibri"/>
                <w:b/>
                <w:spacing w:val="-2"/>
                <w:sz w:val="24"/>
              </w:rPr>
              <w:t>Pregnant </w:t>
            </w:r>
            <w:r>
              <w:rPr>
                <w:rFonts w:ascii="Calibri"/>
                <w:b/>
                <w:sz w:val="24"/>
              </w:rPr>
              <w:t>(n = 62)</w:t>
            </w:r>
          </w:p>
        </w:tc>
        <w:tc>
          <w:tcPr>
            <w:tcW w:w="1134" w:type="dxa"/>
            <w:tcBorders>
              <w:top w:val="single" w:sz="8" w:space="0" w:color="000000"/>
              <w:bottom w:val="single" w:sz="8" w:space="0" w:color="000000"/>
            </w:tcBorders>
          </w:tcPr>
          <w:p>
            <w:pPr>
              <w:pStyle w:val="TableParagraph"/>
              <w:spacing w:line="292" w:lineRule="exact"/>
              <w:ind w:left="22" w:right="1"/>
              <w:rPr>
                <w:rFonts w:ascii="Calibri"/>
                <w:b/>
                <w:sz w:val="24"/>
              </w:rPr>
            </w:pPr>
            <w:r>
              <w:rPr>
                <w:rFonts w:ascii="Calibri"/>
                <w:b/>
                <w:spacing w:val="-2"/>
                <w:sz w:val="24"/>
              </w:rPr>
              <w:t>P-values</w:t>
            </w:r>
          </w:p>
        </w:tc>
      </w:tr>
      <w:tr>
        <w:trPr>
          <w:trHeight w:val="450" w:hRule="atLeast"/>
        </w:trPr>
        <w:tc>
          <w:tcPr>
            <w:tcW w:w="1936" w:type="dxa"/>
            <w:tcBorders>
              <w:top w:val="single" w:sz="8" w:space="0" w:color="000000"/>
            </w:tcBorders>
          </w:tcPr>
          <w:p>
            <w:pPr>
              <w:pStyle w:val="TableParagraph"/>
              <w:spacing w:before="1"/>
              <w:ind w:left="3" w:right="36"/>
              <w:rPr>
                <w:rFonts w:ascii="Calibri"/>
                <w:b/>
                <w:sz w:val="24"/>
              </w:rPr>
            </w:pPr>
            <w:r>
              <w:rPr>
                <w:rFonts w:ascii="Calibri"/>
                <w:b/>
                <w:sz w:val="24"/>
              </w:rPr>
              <w:t>Hb</w:t>
            </w:r>
            <w:r>
              <w:rPr>
                <w:rFonts w:ascii="Calibri"/>
                <w:b/>
                <w:spacing w:val="1"/>
                <w:sz w:val="24"/>
              </w:rPr>
              <w:t> </w:t>
            </w:r>
            <w:r>
              <w:rPr>
                <w:rFonts w:ascii="Calibri"/>
                <w:b/>
                <w:spacing w:val="-2"/>
                <w:sz w:val="24"/>
              </w:rPr>
              <w:t>(g/L)</w:t>
            </w:r>
          </w:p>
        </w:tc>
        <w:tc>
          <w:tcPr>
            <w:tcW w:w="1915" w:type="dxa"/>
            <w:tcBorders>
              <w:top w:val="single" w:sz="8" w:space="0" w:color="000000"/>
            </w:tcBorders>
          </w:tcPr>
          <w:p>
            <w:pPr>
              <w:pStyle w:val="TableParagraph"/>
              <w:spacing w:line="272" w:lineRule="exact"/>
              <w:ind w:left="186"/>
              <w:jc w:val="left"/>
              <w:rPr>
                <w:sz w:val="24"/>
              </w:rPr>
            </w:pPr>
            <w:r>
              <w:rPr>
                <w:sz w:val="24"/>
              </w:rPr>
              <w:t>102.42 ± </w:t>
            </w:r>
            <w:r>
              <w:rPr>
                <w:spacing w:val="-2"/>
                <w:sz w:val="24"/>
              </w:rPr>
              <w:t>10.98</w:t>
            </w:r>
            <w:r>
              <w:rPr>
                <w:spacing w:val="-2"/>
                <w:sz w:val="24"/>
                <w:vertAlign w:val="superscript"/>
              </w:rPr>
              <w:t>a</w:t>
            </w:r>
          </w:p>
        </w:tc>
        <w:tc>
          <w:tcPr>
            <w:tcW w:w="1890" w:type="dxa"/>
            <w:tcBorders>
              <w:top w:val="single" w:sz="8" w:space="0" w:color="000000"/>
            </w:tcBorders>
          </w:tcPr>
          <w:p>
            <w:pPr>
              <w:pStyle w:val="TableParagraph"/>
              <w:spacing w:line="272" w:lineRule="exact"/>
              <w:ind w:left="203"/>
              <w:jc w:val="left"/>
              <w:rPr>
                <w:sz w:val="24"/>
              </w:rPr>
            </w:pPr>
            <w:r>
              <w:rPr>
                <w:sz w:val="24"/>
              </w:rPr>
              <w:t>105.79 ± </w:t>
            </w:r>
            <w:r>
              <w:rPr>
                <w:spacing w:val="-2"/>
                <w:sz w:val="24"/>
              </w:rPr>
              <w:t>14.16</w:t>
            </w:r>
            <w:r>
              <w:rPr>
                <w:spacing w:val="-2"/>
                <w:sz w:val="24"/>
                <w:vertAlign w:val="superscript"/>
              </w:rPr>
              <w:t>a</w:t>
            </w:r>
          </w:p>
        </w:tc>
        <w:tc>
          <w:tcPr>
            <w:tcW w:w="1134" w:type="dxa"/>
            <w:tcBorders>
              <w:top w:val="single" w:sz="8" w:space="0" w:color="000000"/>
            </w:tcBorders>
          </w:tcPr>
          <w:p>
            <w:pPr>
              <w:pStyle w:val="TableParagraph"/>
              <w:spacing w:line="272" w:lineRule="exact"/>
              <w:ind w:left="22"/>
              <w:rPr>
                <w:sz w:val="24"/>
              </w:rPr>
            </w:pPr>
            <w:r>
              <w:rPr>
                <w:spacing w:val="-2"/>
                <w:sz w:val="24"/>
              </w:rPr>
              <w:t>0.067</w:t>
            </w:r>
          </w:p>
        </w:tc>
      </w:tr>
      <w:tr>
        <w:trPr>
          <w:trHeight w:val="593" w:hRule="atLeast"/>
        </w:trPr>
        <w:tc>
          <w:tcPr>
            <w:tcW w:w="1936" w:type="dxa"/>
          </w:tcPr>
          <w:p>
            <w:pPr>
              <w:pStyle w:val="TableParagraph"/>
              <w:spacing w:before="131"/>
              <w:ind w:left="6" w:right="36"/>
              <w:rPr>
                <w:rFonts w:ascii="Calibri"/>
                <w:b/>
                <w:sz w:val="24"/>
              </w:rPr>
            </w:pPr>
            <w:r>
              <w:rPr>
                <w:rFonts w:ascii="Calibri"/>
                <w:b/>
                <w:sz w:val="24"/>
              </w:rPr>
              <w:t>MCV</w:t>
            </w:r>
            <w:r>
              <w:rPr>
                <w:rFonts w:ascii="Calibri"/>
                <w:b/>
                <w:spacing w:val="-2"/>
                <w:sz w:val="24"/>
              </w:rPr>
              <w:t> </w:t>
            </w:r>
            <w:r>
              <w:rPr>
                <w:rFonts w:ascii="Calibri"/>
                <w:b/>
                <w:spacing w:val="-4"/>
                <w:sz w:val="24"/>
              </w:rPr>
              <w:t>(fl)</w:t>
            </w:r>
          </w:p>
        </w:tc>
        <w:tc>
          <w:tcPr>
            <w:tcW w:w="1915" w:type="dxa"/>
          </w:tcPr>
          <w:p>
            <w:pPr>
              <w:pStyle w:val="TableParagraph"/>
              <w:spacing w:before="169"/>
              <w:ind w:left="246"/>
              <w:jc w:val="left"/>
              <w:rPr>
                <w:sz w:val="24"/>
              </w:rPr>
            </w:pPr>
            <w:r>
              <w:rPr>
                <w:sz w:val="24"/>
              </w:rPr>
              <w:t>88.20 ± </w:t>
            </w:r>
            <w:r>
              <w:rPr>
                <w:spacing w:val="-2"/>
                <w:sz w:val="24"/>
              </w:rPr>
              <w:t>11.03</w:t>
            </w:r>
            <w:r>
              <w:rPr>
                <w:spacing w:val="-2"/>
                <w:sz w:val="24"/>
                <w:vertAlign w:val="superscript"/>
              </w:rPr>
              <w:t>a</w:t>
            </w:r>
          </w:p>
        </w:tc>
        <w:tc>
          <w:tcPr>
            <w:tcW w:w="1890" w:type="dxa"/>
          </w:tcPr>
          <w:p>
            <w:pPr>
              <w:pStyle w:val="TableParagraph"/>
              <w:spacing w:before="169"/>
              <w:ind w:left="323"/>
              <w:jc w:val="left"/>
              <w:rPr>
                <w:sz w:val="24"/>
              </w:rPr>
            </w:pPr>
            <w:r>
              <w:rPr>
                <w:sz w:val="24"/>
              </w:rPr>
              <w:t>89.70 ± </w:t>
            </w:r>
            <w:r>
              <w:rPr>
                <w:spacing w:val="-2"/>
                <w:sz w:val="24"/>
              </w:rPr>
              <w:t>8.34</w:t>
            </w:r>
            <w:r>
              <w:rPr>
                <w:spacing w:val="-2"/>
                <w:sz w:val="24"/>
                <w:vertAlign w:val="superscript"/>
              </w:rPr>
              <w:t>a</w:t>
            </w:r>
          </w:p>
        </w:tc>
        <w:tc>
          <w:tcPr>
            <w:tcW w:w="1134" w:type="dxa"/>
          </w:tcPr>
          <w:p>
            <w:pPr>
              <w:pStyle w:val="TableParagraph"/>
              <w:spacing w:before="169"/>
              <w:ind w:left="22"/>
              <w:rPr>
                <w:sz w:val="24"/>
              </w:rPr>
            </w:pPr>
            <w:r>
              <w:rPr>
                <w:spacing w:val="-2"/>
                <w:sz w:val="24"/>
              </w:rPr>
              <w:t>0.340</w:t>
            </w:r>
          </w:p>
        </w:tc>
      </w:tr>
      <w:tr>
        <w:trPr>
          <w:trHeight w:val="646" w:hRule="atLeast"/>
        </w:trPr>
        <w:tc>
          <w:tcPr>
            <w:tcW w:w="1936" w:type="dxa"/>
          </w:tcPr>
          <w:p>
            <w:pPr>
              <w:pStyle w:val="TableParagraph"/>
              <w:spacing w:before="183"/>
              <w:ind w:left="3" w:right="36"/>
              <w:rPr>
                <w:rFonts w:ascii="Calibri"/>
                <w:b/>
                <w:sz w:val="24"/>
              </w:rPr>
            </w:pPr>
            <w:r>
              <w:rPr>
                <w:rFonts w:ascii="Calibri"/>
                <w:b/>
                <w:sz w:val="24"/>
              </w:rPr>
              <w:t>STFRA</w:t>
            </w:r>
            <w:r>
              <w:rPr>
                <w:rFonts w:ascii="Calibri"/>
                <w:b/>
                <w:spacing w:val="55"/>
                <w:sz w:val="24"/>
              </w:rPr>
              <w:t> </w:t>
            </w:r>
            <w:r>
              <w:rPr>
                <w:rFonts w:ascii="Calibri"/>
                <w:b/>
                <w:spacing w:val="-2"/>
                <w:sz w:val="24"/>
              </w:rPr>
              <w:t>(nmol/L)</w:t>
            </w:r>
          </w:p>
        </w:tc>
        <w:tc>
          <w:tcPr>
            <w:tcW w:w="1915" w:type="dxa"/>
          </w:tcPr>
          <w:p>
            <w:pPr>
              <w:pStyle w:val="TableParagraph"/>
              <w:spacing w:before="178"/>
              <w:ind w:left="246"/>
              <w:jc w:val="left"/>
              <w:rPr>
                <w:sz w:val="24"/>
              </w:rPr>
            </w:pPr>
            <w:r>
              <w:rPr>
                <w:sz w:val="24"/>
              </w:rPr>
              <w:t>62.78 ± </w:t>
            </w:r>
            <w:r>
              <w:rPr>
                <w:spacing w:val="-2"/>
                <w:sz w:val="24"/>
              </w:rPr>
              <w:t>21.97</w:t>
            </w:r>
            <w:r>
              <w:rPr>
                <w:spacing w:val="-2"/>
                <w:sz w:val="24"/>
                <w:vertAlign w:val="superscript"/>
              </w:rPr>
              <w:t>a</w:t>
            </w:r>
          </w:p>
        </w:tc>
        <w:tc>
          <w:tcPr>
            <w:tcW w:w="1890" w:type="dxa"/>
          </w:tcPr>
          <w:p>
            <w:pPr>
              <w:pStyle w:val="TableParagraph"/>
              <w:spacing w:before="178"/>
              <w:ind w:left="260"/>
              <w:jc w:val="left"/>
              <w:rPr>
                <w:sz w:val="24"/>
              </w:rPr>
            </w:pPr>
            <w:r>
              <w:rPr>
                <w:sz w:val="24"/>
              </w:rPr>
              <w:t>54.07 ± </w:t>
            </w:r>
            <w:r>
              <w:rPr>
                <w:spacing w:val="-2"/>
                <w:sz w:val="24"/>
              </w:rPr>
              <w:t>23.73</w:t>
            </w:r>
            <w:r>
              <w:rPr>
                <w:spacing w:val="-2"/>
                <w:sz w:val="24"/>
                <w:vertAlign w:val="superscript"/>
              </w:rPr>
              <w:t>b</w:t>
            </w:r>
          </w:p>
        </w:tc>
        <w:tc>
          <w:tcPr>
            <w:tcW w:w="1134" w:type="dxa"/>
          </w:tcPr>
          <w:p>
            <w:pPr>
              <w:pStyle w:val="TableParagraph"/>
              <w:spacing w:before="222"/>
              <w:ind w:left="22"/>
              <w:rPr>
                <w:sz w:val="24"/>
              </w:rPr>
            </w:pPr>
            <w:r>
              <w:rPr>
                <w:spacing w:val="-2"/>
                <w:sz w:val="24"/>
              </w:rPr>
              <w:t>0.012</w:t>
            </w:r>
          </w:p>
        </w:tc>
      </w:tr>
      <w:tr>
        <w:trPr>
          <w:trHeight w:val="631" w:hRule="atLeast"/>
        </w:trPr>
        <w:tc>
          <w:tcPr>
            <w:tcW w:w="1936" w:type="dxa"/>
          </w:tcPr>
          <w:p>
            <w:pPr>
              <w:pStyle w:val="TableParagraph"/>
              <w:spacing w:before="183"/>
              <w:ind w:left="3" w:right="36"/>
              <w:rPr>
                <w:rFonts w:ascii="Calibri"/>
                <w:b/>
                <w:sz w:val="24"/>
              </w:rPr>
            </w:pPr>
            <w:r>
              <w:rPr>
                <w:rFonts w:ascii="Calibri"/>
                <w:b/>
                <w:sz w:val="24"/>
              </w:rPr>
              <w:t>SF</w:t>
            </w:r>
            <w:r>
              <w:rPr>
                <w:rFonts w:ascii="Calibri"/>
                <w:b/>
                <w:spacing w:val="-1"/>
                <w:sz w:val="24"/>
              </w:rPr>
              <w:t> </w:t>
            </w:r>
            <w:r>
              <w:rPr>
                <w:rFonts w:ascii="Calibri"/>
                <w:b/>
                <w:spacing w:val="-2"/>
                <w:sz w:val="24"/>
              </w:rPr>
              <w:t>(ug/L)</w:t>
            </w:r>
          </w:p>
        </w:tc>
        <w:tc>
          <w:tcPr>
            <w:tcW w:w="1915" w:type="dxa"/>
          </w:tcPr>
          <w:p>
            <w:pPr>
              <w:pStyle w:val="TableParagraph"/>
              <w:spacing w:before="178"/>
              <w:ind w:left="246"/>
              <w:jc w:val="left"/>
              <w:rPr>
                <w:sz w:val="24"/>
              </w:rPr>
            </w:pPr>
            <w:r>
              <w:rPr>
                <w:sz w:val="24"/>
              </w:rPr>
              <w:t>43.61 ± </w:t>
            </w:r>
            <w:r>
              <w:rPr>
                <w:spacing w:val="-2"/>
                <w:sz w:val="24"/>
              </w:rPr>
              <w:t>84.99</w:t>
            </w:r>
            <w:r>
              <w:rPr>
                <w:spacing w:val="-2"/>
                <w:sz w:val="24"/>
                <w:vertAlign w:val="superscript"/>
              </w:rPr>
              <w:t>a</w:t>
            </w:r>
          </w:p>
        </w:tc>
        <w:tc>
          <w:tcPr>
            <w:tcW w:w="1890" w:type="dxa"/>
          </w:tcPr>
          <w:p>
            <w:pPr>
              <w:pStyle w:val="TableParagraph"/>
              <w:spacing w:before="178"/>
              <w:ind w:left="263"/>
              <w:jc w:val="left"/>
              <w:rPr>
                <w:sz w:val="24"/>
              </w:rPr>
            </w:pPr>
            <w:r>
              <w:rPr>
                <w:sz w:val="24"/>
              </w:rPr>
              <w:t>31.31 ± </w:t>
            </w:r>
            <w:r>
              <w:rPr>
                <w:spacing w:val="-2"/>
                <w:sz w:val="24"/>
              </w:rPr>
              <w:t>28.18</w:t>
            </w:r>
            <w:r>
              <w:rPr>
                <w:spacing w:val="-2"/>
                <w:sz w:val="24"/>
                <w:vertAlign w:val="superscript"/>
              </w:rPr>
              <w:t>a</w:t>
            </w:r>
          </w:p>
        </w:tc>
        <w:tc>
          <w:tcPr>
            <w:tcW w:w="1134" w:type="dxa"/>
          </w:tcPr>
          <w:p>
            <w:pPr>
              <w:pStyle w:val="TableParagraph"/>
              <w:spacing w:before="178"/>
              <w:ind w:left="22"/>
              <w:rPr>
                <w:sz w:val="24"/>
              </w:rPr>
            </w:pPr>
            <w:r>
              <w:rPr>
                <w:spacing w:val="-2"/>
                <w:sz w:val="24"/>
              </w:rPr>
              <w:t>0.267</w:t>
            </w:r>
          </w:p>
        </w:tc>
      </w:tr>
      <w:tr>
        <w:trPr>
          <w:trHeight w:val="845" w:hRule="atLeast"/>
        </w:trPr>
        <w:tc>
          <w:tcPr>
            <w:tcW w:w="1936" w:type="dxa"/>
            <w:tcBorders>
              <w:bottom w:val="single" w:sz="8" w:space="0" w:color="000000"/>
            </w:tcBorders>
          </w:tcPr>
          <w:p>
            <w:pPr>
              <w:pStyle w:val="TableParagraph"/>
              <w:spacing w:before="197"/>
              <w:ind w:left="4" w:right="36"/>
              <w:rPr>
                <w:rFonts w:ascii="Calibri"/>
                <w:b/>
                <w:sz w:val="24"/>
              </w:rPr>
            </w:pPr>
            <w:r>
              <w:rPr>
                <w:rFonts w:ascii="Calibri"/>
                <w:b/>
                <w:sz w:val="24"/>
              </w:rPr>
              <w:t>C-RP</w:t>
            </w:r>
            <w:r>
              <w:rPr>
                <w:rFonts w:ascii="Calibri"/>
                <w:b/>
                <w:spacing w:val="54"/>
                <w:sz w:val="24"/>
              </w:rPr>
              <w:t> </w:t>
            </w:r>
            <w:r>
              <w:rPr>
                <w:rFonts w:ascii="Calibri"/>
                <w:b/>
                <w:spacing w:val="-2"/>
                <w:sz w:val="24"/>
              </w:rPr>
              <w:t>(mg/L)</w:t>
            </w:r>
          </w:p>
        </w:tc>
        <w:tc>
          <w:tcPr>
            <w:tcW w:w="1915" w:type="dxa"/>
            <w:tcBorders>
              <w:bottom w:val="single" w:sz="8" w:space="0" w:color="000000"/>
            </w:tcBorders>
          </w:tcPr>
          <w:p>
            <w:pPr>
              <w:pStyle w:val="TableParagraph"/>
              <w:spacing w:before="235"/>
              <w:ind w:left="366"/>
              <w:jc w:val="left"/>
              <w:rPr>
                <w:sz w:val="24"/>
              </w:rPr>
            </w:pPr>
            <w:r>
              <w:rPr>
                <w:sz w:val="24"/>
              </w:rPr>
              <w:t>6.09 ± </w:t>
            </w:r>
            <w:r>
              <w:rPr>
                <w:spacing w:val="-2"/>
                <w:sz w:val="24"/>
              </w:rPr>
              <w:t>4.88</w:t>
            </w:r>
            <w:r>
              <w:rPr>
                <w:spacing w:val="-2"/>
                <w:sz w:val="24"/>
                <w:vertAlign w:val="superscript"/>
              </w:rPr>
              <w:t>a</w:t>
            </w:r>
          </w:p>
        </w:tc>
        <w:tc>
          <w:tcPr>
            <w:tcW w:w="1890" w:type="dxa"/>
            <w:tcBorders>
              <w:bottom w:val="single" w:sz="8" w:space="0" w:color="000000"/>
            </w:tcBorders>
          </w:tcPr>
          <w:p>
            <w:pPr>
              <w:pStyle w:val="TableParagraph"/>
              <w:spacing w:before="189"/>
              <w:ind w:left="380"/>
              <w:jc w:val="left"/>
              <w:rPr>
                <w:sz w:val="24"/>
              </w:rPr>
            </w:pPr>
            <w:r>
              <w:rPr>
                <w:sz w:val="24"/>
              </w:rPr>
              <w:t>4.49 ± </w:t>
            </w:r>
            <w:r>
              <w:rPr>
                <w:spacing w:val="-2"/>
                <w:sz w:val="24"/>
              </w:rPr>
              <w:t>2.74</w:t>
            </w:r>
            <w:r>
              <w:rPr>
                <w:spacing w:val="-2"/>
                <w:sz w:val="24"/>
                <w:vertAlign w:val="superscript"/>
              </w:rPr>
              <w:t>b</w:t>
            </w:r>
          </w:p>
        </w:tc>
        <w:tc>
          <w:tcPr>
            <w:tcW w:w="1134" w:type="dxa"/>
            <w:tcBorders>
              <w:bottom w:val="single" w:sz="8" w:space="0" w:color="000000"/>
            </w:tcBorders>
          </w:tcPr>
          <w:p>
            <w:pPr>
              <w:pStyle w:val="TableParagraph"/>
              <w:spacing w:before="189"/>
              <w:ind w:left="22"/>
              <w:rPr>
                <w:sz w:val="24"/>
              </w:rPr>
            </w:pPr>
            <w:r>
              <w:rPr>
                <w:spacing w:val="-2"/>
                <w:sz w:val="24"/>
              </w:rPr>
              <w:t>0.017</w:t>
            </w:r>
          </w:p>
        </w:tc>
      </w:tr>
    </w:tbl>
    <w:p>
      <w:pPr>
        <w:spacing w:line="227" w:lineRule="exact" w:before="161"/>
        <w:ind w:left="560" w:right="0" w:firstLine="0"/>
        <w:jc w:val="left"/>
        <w:rPr>
          <w:b/>
          <w:sz w:val="20"/>
        </w:rPr>
      </w:pPr>
      <w:r>
        <w:rPr>
          <w:b/>
          <w:spacing w:val="-5"/>
          <w:sz w:val="20"/>
        </w:rPr>
        <w:t>Key</w:t>
      </w:r>
    </w:p>
    <w:p>
      <w:pPr>
        <w:spacing w:line="227" w:lineRule="exact" w:before="0"/>
        <w:ind w:left="560" w:right="0" w:firstLine="0"/>
        <w:jc w:val="left"/>
        <w:rPr>
          <w:sz w:val="20"/>
        </w:rPr>
      </w:pPr>
      <w:r>
        <w:rPr>
          <w:sz w:val="20"/>
        </w:rPr>
        <w:t>α-level</w:t>
      </w:r>
      <w:r>
        <w:rPr>
          <w:spacing w:val="45"/>
          <w:sz w:val="20"/>
        </w:rPr>
        <w:t> </w:t>
      </w:r>
      <w:r>
        <w:rPr>
          <w:sz w:val="20"/>
        </w:rPr>
        <w:t>set</w:t>
      </w:r>
      <w:r>
        <w:rPr>
          <w:spacing w:val="-4"/>
          <w:sz w:val="20"/>
        </w:rPr>
        <w:t> </w:t>
      </w:r>
      <w:r>
        <w:rPr>
          <w:sz w:val="20"/>
        </w:rPr>
        <w:t>at</w:t>
      </w:r>
      <w:r>
        <w:rPr>
          <w:spacing w:val="-4"/>
          <w:sz w:val="20"/>
        </w:rPr>
        <w:t> 0.05</w:t>
      </w:r>
    </w:p>
    <w:p>
      <w:pPr>
        <w:spacing w:before="0"/>
        <w:ind w:left="560" w:right="0" w:firstLine="0"/>
        <w:jc w:val="left"/>
        <w:rPr>
          <w:sz w:val="20"/>
        </w:rPr>
      </w:pPr>
      <w:r>
        <w:rPr>
          <w:sz w:val="20"/>
        </w:rPr>
        <w:t>a</w:t>
      </w:r>
      <w:r>
        <w:rPr>
          <w:spacing w:val="-5"/>
          <w:sz w:val="20"/>
        </w:rPr>
        <w:t> </w:t>
      </w:r>
      <w:r>
        <w:rPr>
          <w:sz w:val="20"/>
        </w:rPr>
        <w:t>and</w:t>
      </w:r>
      <w:r>
        <w:rPr>
          <w:spacing w:val="-3"/>
          <w:sz w:val="20"/>
        </w:rPr>
        <w:t> </w:t>
      </w:r>
      <w:r>
        <w:rPr>
          <w:sz w:val="20"/>
        </w:rPr>
        <w:t>b</w:t>
      </w:r>
      <w:r>
        <w:rPr>
          <w:spacing w:val="-4"/>
          <w:sz w:val="20"/>
        </w:rPr>
        <w:t> </w:t>
      </w:r>
      <w:r>
        <w:rPr>
          <w:sz w:val="20"/>
        </w:rPr>
        <w:t>are</w:t>
      </w:r>
      <w:r>
        <w:rPr>
          <w:spacing w:val="-4"/>
          <w:sz w:val="20"/>
        </w:rPr>
        <w:t> </w:t>
      </w:r>
      <w:r>
        <w:rPr>
          <w:sz w:val="20"/>
        </w:rPr>
        <w:t>superscripts</w:t>
      </w:r>
      <w:r>
        <w:rPr>
          <w:spacing w:val="-6"/>
          <w:sz w:val="20"/>
        </w:rPr>
        <w:t> </w:t>
      </w:r>
      <w:r>
        <w:rPr>
          <w:sz w:val="20"/>
        </w:rPr>
        <w:t>used</w:t>
      </w:r>
      <w:r>
        <w:rPr>
          <w:spacing w:val="-3"/>
          <w:sz w:val="20"/>
        </w:rPr>
        <w:t> </w:t>
      </w:r>
      <w:r>
        <w:rPr>
          <w:sz w:val="20"/>
        </w:rPr>
        <w:t>to</w:t>
      </w:r>
      <w:r>
        <w:rPr>
          <w:spacing w:val="-4"/>
          <w:sz w:val="20"/>
        </w:rPr>
        <w:t> </w:t>
      </w:r>
      <w:r>
        <w:rPr>
          <w:sz w:val="20"/>
        </w:rPr>
        <w:t>show</w:t>
      </w:r>
      <w:r>
        <w:rPr>
          <w:spacing w:val="-6"/>
          <w:sz w:val="20"/>
        </w:rPr>
        <w:t> </w:t>
      </w:r>
      <w:r>
        <w:rPr>
          <w:sz w:val="20"/>
        </w:rPr>
        <w:t>significant</w:t>
      </w:r>
      <w:r>
        <w:rPr>
          <w:spacing w:val="-5"/>
          <w:sz w:val="20"/>
        </w:rPr>
        <w:t> </w:t>
      </w:r>
      <w:r>
        <w:rPr>
          <w:spacing w:val="-2"/>
          <w:sz w:val="20"/>
        </w:rPr>
        <w:t>difference.</w:t>
      </w:r>
    </w:p>
    <w:p>
      <w:pPr>
        <w:spacing w:before="0"/>
        <w:ind w:left="560" w:right="3345" w:firstLine="0"/>
        <w:jc w:val="left"/>
        <w:rPr>
          <w:sz w:val="20"/>
        </w:rPr>
      </w:pPr>
      <w:r>
        <w:rPr>
          <w:sz w:val="20"/>
        </w:rPr>
        <w:t>Values</w:t>
      </w:r>
      <w:r>
        <w:rPr>
          <w:spacing w:val="-3"/>
          <w:sz w:val="20"/>
        </w:rPr>
        <w:t> </w:t>
      </w:r>
      <w:r>
        <w:rPr>
          <w:sz w:val="20"/>
        </w:rPr>
        <w:t>not</w:t>
      </w:r>
      <w:r>
        <w:rPr>
          <w:spacing w:val="-5"/>
          <w:sz w:val="20"/>
        </w:rPr>
        <w:t> </w:t>
      </w:r>
      <w:r>
        <w:rPr>
          <w:sz w:val="20"/>
        </w:rPr>
        <w:t>sharing</w:t>
      </w:r>
      <w:r>
        <w:rPr>
          <w:spacing w:val="-5"/>
          <w:sz w:val="20"/>
        </w:rPr>
        <w:t> </w:t>
      </w:r>
      <w:r>
        <w:rPr>
          <w:sz w:val="20"/>
        </w:rPr>
        <w:t>the</w:t>
      </w:r>
      <w:r>
        <w:rPr>
          <w:spacing w:val="-4"/>
          <w:sz w:val="20"/>
        </w:rPr>
        <w:t> </w:t>
      </w:r>
      <w:r>
        <w:rPr>
          <w:sz w:val="20"/>
        </w:rPr>
        <w:t>same</w:t>
      </w:r>
      <w:r>
        <w:rPr>
          <w:spacing w:val="-4"/>
          <w:sz w:val="20"/>
        </w:rPr>
        <w:t> </w:t>
      </w:r>
      <w:r>
        <w:rPr>
          <w:sz w:val="20"/>
        </w:rPr>
        <w:t>superscript</w:t>
      </w:r>
      <w:r>
        <w:rPr>
          <w:spacing w:val="-3"/>
          <w:sz w:val="20"/>
        </w:rPr>
        <w:t> </w:t>
      </w:r>
      <w:r>
        <w:rPr>
          <w:sz w:val="20"/>
        </w:rPr>
        <w:t>means</w:t>
      </w:r>
      <w:r>
        <w:rPr>
          <w:spacing w:val="-5"/>
          <w:sz w:val="20"/>
        </w:rPr>
        <w:t> </w:t>
      </w:r>
      <w:r>
        <w:rPr>
          <w:sz w:val="20"/>
        </w:rPr>
        <w:t>there</w:t>
      </w:r>
      <w:r>
        <w:rPr>
          <w:spacing w:val="-4"/>
          <w:sz w:val="20"/>
        </w:rPr>
        <w:t> </w:t>
      </w:r>
      <w:r>
        <w:rPr>
          <w:sz w:val="20"/>
        </w:rPr>
        <w:t>is</w:t>
      </w:r>
      <w:r>
        <w:rPr>
          <w:spacing w:val="-5"/>
          <w:sz w:val="20"/>
        </w:rPr>
        <w:t> </w:t>
      </w:r>
      <w:r>
        <w:rPr>
          <w:sz w:val="20"/>
        </w:rPr>
        <w:t>a</w:t>
      </w:r>
      <w:r>
        <w:rPr>
          <w:spacing w:val="-4"/>
          <w:sz w:val="20"/>
        </w:rPr>
        <w:t> </w:t>
      </w:r>
      <w:r>
        <w:rPr>
          <w:sz w:val="20"/>
        </w:rPr>
        <w:t>significant</w:t>
      </w:r>
      <w:r>
        <w:rPr>
          <w:spacing w:val="-5"/>
          <w:sz w:val="20"/>
        </w:rPr>
        <w:t> </w:t>
      </w:r>
      <w:r>
        <w:rPr>
          <w:sz w:val="20"/>
        </w:rPr>
        <w:t>difference Values sharing the same superscript means there is no significant difference</w:t>
      </w:r>
    </w:p>
    <w:p>
      <w:pPr>
        <w:spacing w:after="0"/>
        <w:jc w:val="left"/>
        <w:rPr>
          <w:sz w:val="20"/>
        </w:rPr>
        <w:sectPr>
          <w:pgSz w:w="11910" w:h="16840"/>
          <w:pgMar w:header="0" w:footer="1067" w:top="1100" w:bottom="1260" w:left="880" w:right="640"/>
        </w:sectPr>
      </w:pPr>
    </w:p>
    <w:p>
      <w:pPr>
        <w:pStyle w:val="BodyText"/>
        <w:spacing w:line="480" w:lineRule="auto" w:before="70"/>
        <w:ind w:left="560" w:right="799"/>
        <w:jc w:val="both"/>
      </w:pPr>
      <w:r>
        <w:rPr/>
        <w:t>Table 4.14Effect of age on iron status of malaria infected pregnant women. The different age groups: 20-24yrs,25 – 29yrs, 30-34yrs, 35-39yrs and 40-44yrs were represented by groups 1</w:t>
      </w:r>
      <w:r>
        <w:rPr>
          <w:spacing w:val="40"/>
        </w:rPr>
        <w:t> </w:t>
      </w:r>
      <w:r>
        <w:rPr/>
        <w:t>– 5 respectively.</w:t>
      </w:r>
    </w:p>
    <w:p>
      <w:pPr>
        <w:pStyle w:val="BodyText"/>
        <w:spacing w:line="480" w:lineRule="auto" w:before="1"/>
        <w:ind w:left="560" w:right="797"/>
        <w:jc w:val="both"/>
      </w:pPr>
      <w:r>
        <w:rPr/>
        <w:t>For haemoglobin level, infected pregnant women in group 3 recorded the highest value mean</w:t>
      </w:r>
      <w:r>
        <w:rPr>
          <w:rFonts w:ascii="Symbol" w:hAnsi="Symbol"/>
        </w:rPr>
        <w:t></w:t>
      </w:r>
      <w:r>
        <w:rPr/>
        <w:t>SD (104.81</w:t>
      </w:r>
      <w:r>
        <w:rPr>
          <w:rFonts w:ascii="Symbol" w:hAnsi="Symbol"/>
        </w:rPr>
        <w:t></w:t>
      </w:r>
      <w:r>
        <w:rPr/>
        <w:t>12.86) however no significant (P&gt;0.05) difference was shown when compared with 102.43</w:t>
      </w:r>
      <w:r>
        <w:rPr>
          <w:rFonts w:ascii="Symbol" w:hAnsi="Symbol"/>
        </w:rPr>
        <w:t></w:t>
      </w:r>
      <w:r>
        <w:rPr/>
        <w:t>11.55, 99.73</w:t>
      </w:r>
      <w:r>
        <w:rPr>
          <w:rFonts w:ascii="Symbol" w:hAnsi="Symbol"/>
        </w:rPr>
        <w:t></w:t>
      </w:r>
      <w:r>
        <w:rPr/>
        <w:t>9.41, 104.50</w:t>
      </w:r>
      <w:r>
        <w:rPr>
          <w:rFonts w:ascii="Symbol" w:hAnsi="Symbol"/>
        </w:rPr>
        <w:t></w:t>
      </w:r>
      <w:r>
        <w:rPr/>
        <w:t>9.30 and 101.89</w:t>
      </w:r>
      <w:r>
        <w:rPr>
          <w:rFonts w:ascii="Symbol" w:hAnsi="Symbol"/>
        </w:rPr>
        <w:t></w:t>
      </w:r>
      <w:r>
        <w:rPr/>
        <w:t>7.20 for groups 1, 2, 4 and 5 respectively. Overall different age groups showed no significant (P&gt;0.05) difference when compared within groups.</w:t>
      </w:r>
    </w:p>
    <w:p>
      <w:pPr>
        <w:pStyle w:val="BodyText"/>
        <w:spacing w:line="480" w:lineRule="auto" w:before="2"/>
        <w:ind w:left="560" w:right="792"/>
        <w:jc w:val="both"/>
      </w:pPr>
      <w:r>
        <w:rPr/>
        <w:t>As for sTfR, different values were recorded as mean</w:t>
      </w:r>
      <w:r>
        <w:rPr>
          <w:rFonts w:ascii="Symbol" w:hAnsi="Symbol"/>
        </w:rPr>
        <w:t></w:t>
      </w:r>
      <w:r>
        <w:rPr/>
        <w:t>SD for the various groups. The mean</w:t>
      </w:r>
      <w:r>
        <w:rPr>
          <w:rFonts w:ascii="Symbol" w:hAnsi="Symbol"/>
        </w:rPr>
        <w:t></w:t>
      </w:r>
      <w:r>
        <w:rPr/>
        <w:t>SD</w:t>
      </w:r>
      <w:r>
        <w:rPr>
          <w:spacing w:val="40"/>
        </w:rPr>
        <w:t> </w:t>
      </w:r>
      <w:r>
        <w:rPr/>
        <w:t>(61.28</w:t>
      </w:r>
      <w:r>
        <w:rPr>
          <w:rFonts w:ascii="Symbol" w:hAnsi="Symbol"/>
        </w:rPr>
        <w:t></w:t>
      </w:r>
      <w:r>
        <w:rPr/>
        <w:t>20.15,</w:t>
      </w:r>
      <w:r>
        <w:rPr>
          <w:spacing w:val="42"/>
        </w:rPr>
        <w:t> </w:t>
      </w:r>
      <w:r>
        <w:rPr/>
        <w:t>65.70</w:t>
      </w:r>
      <w:r>
        <w:rPr>
          <w:rFonts w:ascii="Symbol" w:hAnsi="Symbol"/>
        </w:rPr>
        <w:t></w:t>
      </w:r>
      <w:r>
        <w:rPr/>
        <w:t>19.81,</w:t>
      </w:r>
      <w:r>
        <w:rPr>
          <w:spacing w:val="40"/>
        </w:rPr>
        <w:t> </w:t>
      </w:r>
      <w:r>
        <w:rPr/>
        <w:t>60.26</w:t>
      </w:r>
      <w:r>
        <w:rPr>
          <w:rFonts w:ascii="Symbol" w:hAnsi="Symbol"/>
        </w:rPr>
        <w:t></w:t>
      </w:r>
      <w:r>
        <w:rPr/>
        <w:t>21.82,</w:t>
      </w:r>
      <w:r>
        <w:rPr>
          <w:spacing w:val="40"/>
        </w:rPr>
        <w:t> </w:t>
      </w:r>
      <w:r>
        <w:rPr/>
        <w:t>61.21</w:t>
      </w:r>
      <w:r>
        <w:rPr>
          <w:rFonts w:ascii="Symbol" w:hAnsi="Symbol"/>
        </w:rPr>
        <w:t></w:t>
      </w:r>
      <w:r>
        <w:rPr/>
        <w:t>29.18</w:t>
      </w:r>
      <w:r>
        <w:rPr>
          <w:spacing w:val="40"/>
        </w:rPr>
        <w:t> </w:t>
      </w:r>
      <w:r>
        <w:rPr/>
        <w:t>and</w:t>
      </w:r>
      <w:r>
        <w:rPr>
          <w:spacing w:val="42"/>
        </w:rPr>
        <w:t> </w:t>
      </w:r>
      <w:r>
        <w:rPr/>
        <w:t>69.14</w:t>
      </w:r>
      <w:r>
        <w:rPr>
          <w:rFonts w:ascii="Symbol" w:hAnsi="Symbol"/>
        </w:rPr>
        <w:t></w:t>
      </w:r>
      <w:r>
        <w:rPr/>
        <w:t>25.71)</w:t>
      </w:r>
      <w:r>
        <w:rPr>
          <w:spacing w:val="40"/>
        </w:rPr>
        <w:t> </w:t>
      </w:r>
      <w:r>
        <w:rPr>
          <w:spacing w:val="-2"/>
        </w:rPr>
        <w:t>values</w:t>
      </w:r>
    </w:p>
    <w:p>
      <w:pPr>
        <w:pStyle w:val="BodyText"/>
        <w:spacing w:line="480" w:lineRule="auto"/>
        <w:ind w:left="560" w:right="798"/>
        <w:jc w:val="both"/>
      </w:pPr>
      <w:r>
        <w:rPr/>
        <w:t>were obtained for groups 1–5 respectively.However, no significant (P&gt;0.05) difference existed when compared within</w:t>
      </w:r>
      <w:r>
        <w:rPr>
          <w:spacing w:val="40"/>
        </w:rPr>
        <w:t> </w:t>
      </w:r>
      <w:r>
        <w:rPr/>
        <w:t>the groups.</w:t>
      </w:r>
    </w:p>
    <w:p>
      <w:pPr>
        <w:pStyle w:val="BodyText"/>
        <w:spacing w:line="480" w:lineRule="auto" w:before="1"/>
        <w:ind w:left="560" w:right="798"/>
        <w:jc w:val="both"/>
      </w:pPr>
      <w:r>
        <w:rPr/>
        <w:t>With serum ferritin, group 2 recorded the highest mean</w:t>
      </w:r>
      <w:r>
        <w:rPr>
          <w:rFonts w:ascii="Symbol" w:hAnsi="Symbol"/>
        </w:rPr>
        <w:t></w:t>
      </w:r>
      <w:r>
        <w:rPr/>
        <w:t>SD (58.79</w:t>
      </w:r>
      <w:r>
        <w:rPr>
          <w:rFonts w:ascii="Symbol" w:hAnsi="Symbol"/>
        </w:rPr>
        <w:t></w:t>
      </w:r>
      <w:r>
        <w:rPr/>
        <w:t>136.47) while group 4 (35-39yrs) recorded the lowest(25.36</w:t>
      </w:r>
      <w:r>
        <w:rPr>
          <w:rFonts w:ascii="Symbol" w:hAnsi="Symbol"/>
        </w:rPr>
        <w:t></w:t>
      </w:r>
      <w:r>
        <w:rPr/>
        <w:t>13.23). Overall no significant (P&gt;0.05) different was shown when compared within the groups.</w:t>
      </w:r>
    </w:p>
    <w:p>
      <w:pPr>
        <w:pStyle w:val="BodyText"/>
        <w:spacing w:line="480" w:lineRule="auto"/>
        <w:ind w:left="560" w:right="804"/>
        <w:jc w:val="both"/>
      </w:pPr>
      <w:r>
        <w:rPr/>
        <w:t>Age groups showed no significant (P&gt;0.05) difference in the iron status of MP infected pregnant women</w:t>
      </w:r>
    </w:p>
    <w:p>
      <w:pPr>
        <w:pStyle w:val="BodyText"/>
        <w:ind w:left="560"/>
        <w:jc w:val="both"/>
      </w:pPr>
      <w:r>
        <w:rPr/>
        <w:t>(See</w:t>
      </w:r>
      <w:r>
        <w:rPr>
          <w:spacing w:val="-3"/>
        </w:rPr>
        <w:t> </w:t>
      </w:r>
      <w:r>
        <w:rPr/>
        <w:t>appendix</w:t>
      </w:r>
      <w:r>
        <w:rPr>
          <w:spacing w:val="3"/>
        </w:rPr>
        <w:t> </w:t>
      </w:r>
      <w:r>
        <w:rPr>
          <w:spacing w:val="-2"/>
        </w:rPr>
        <w:t>IIId).</w:t>
      </w:r>
    </w:p>
    <w:p>
      <w:pPr>
        <w:spacing w:after="0"/>
        <w:jc w:val="both"/>
        <w:sectPr>
          <w:pgSz w:w="11910" w:h="16840"/>
          <w:pgMar w:header="0" w:footer="1067" w:top="1060" w:bottom="1260" w:left="880" w:right="640"/>
        </w:sectPr>
      </w:pPr>
    </w:p>
    <w:p>
      <w:pPr>
        <w:pStyle w:val="BodyText"/>
        <w:spacing w:before="70"/>
        <w:ind w:left="560"/>
        <w:jc w:val="both"/>
      </w:pPr>
      <w:r>
        <w:rPr/>
        <w:t>Table</w:t>
      </w:r>
      <w:r>
        <w:rPr>
          <w:spacing w:val="-1"/>
        </w:rPr>
        <w:t> </w:t>
      </w:r>
      <w:r>
        <w:rPr/>
        <w:t>4.15Effect</w:t>
      </w:r>
      <w:r>
        <w:rPr>
          <w:spacing w:val="-1"/>
        </w:rPr>
        <w:t> </w:t>
      </w:r>
      <w:r>
        <w:rPr/>
        <w:t>of</w:t>
      </w:r>
      <w:r>
        <w:rPr>
          <w:spacing w:val="-1"/>
        </w:rPr>
        <w:t> </w:t>
      </w:r>
      <w:r>
        <w:rPr/>
        <w:t>gestational</w:t>
      </w:r>
      <w:r>
        <w:rPr>
          <w:spacing w:val="-1"/>
        </w:rPr>
        <w:t> </w:t>
      </w:r>
      <w:r>
        <w:rPr/>
        <w:t>age</w:t>
      </w:r>
      <w:r>
        <w:rPr>
          <w:spacing w:val="-3"/>
        </w:rPr>
        <w:t> </w:t>
      </w:r>
      <w:r>
        <w:rPr/>
        <w:t>on iron</w:t>
      </w:r>
      <w:r>
        <w:rPr>
          <w:spacing w:val="-1"/>
        </w:rPr>
        <w:t> </w:t>
      </w:r>
      <w:r>
        <w:rPr/>
        <w:t>status</w:t>
      </w:r>
      <w:r>
        <w:rPr>
          <w:spacing w:val="-1"/>
        </w:rPr>
        <w:t> </w:t>
      </w:r>
      <w:r>
        <w:rPr/>
        <w:t>of malaria</w:t>
      </w:r>
      <w:r>
        <w:rPr>
          <w:spacing w:val="-1"/>
        </w:rPr>
        <w:t> </w:t>
      </w:r>
      <w:r>
        <w:rPr/>
        <w:t>infected</w:t>
      </w:r>
      <w:r>
        <w:rPr>
          <w:spacing w:val="-1"/>
        </w:rPr>
        <w:t> </w:t>
      </w:r>
      <w:r>
        <w:rPr/>
        <w:t>pregnant </w:t>
      </w:r>
      <w:r>
        <w:rPr>
          <w:spacing w:val="-2"/>
        </w:rPr>
        <w:t>women.</w:t>
      </w:r>
    </w:p>
    <w:p>
      <w:pPr>
        <w:pStyle w:val="BodyText"/>
        <w:spacing w:before="2"/>
      </w:pPr>
    </w:p>
    <w:p>
      <w:pPr>
        <w:pStyle w:val="BodyText"/>
        <w:spacing w:line="480" w:lineRule="auto"/>
        <w:ind w:left="560" w:right="793"/>
        <w:jc w:val="both"/>
      </w:pPr>
      <w:r>
        <w:rPr/>
        <w:t>The mean</w:t>
      </w:r>
      <w:r>
        <w:rPr>
          <w:rFonts w:ascii="Symbol" w:hAnsi="Symbol"/>
        </w:rPr>
        <w:t></w:t>
      </w:r>
      <w:r>
        <w:rPr/>
        <w:t>SD (111.43</w:t>
      </w:r>
      <w:r>
        <w:rPr>
          <w:rFonts w:ascii="Symbol" w:hAnsi="Symbol"/>
        </w:rPr>
        <w:t></w:t>
      </w:r>
      <w:r>
        <w:rPr/>
        <w:t>11.64) of Hb level for pregnant women in their 1</w:t>
      </w:r>
      <w:r>
        <w:rPr>
          <w:vertAlign w:val="superscript"/>
        </w:rPr>
        <w:t>st</w:t>
      </w:r>
      <w:r>
        <w:rPr>
          <w:vertAlign w:val="baseline"/>
        </w:rPr>
        <w:t> trimesterwas significantly higher (P&lt;0.05) when compared with 95.66</w:t>
      </w:r>
      <w:r>
        <w:rPr>
          <w:rFonts w:ascii="Symbol" w:hAnsi="Symbol"/>
          <w:vertAlign w:val="baseline"/>
        </w:rPr>
        <w:t></w:t>
      </w:r>
      <w:r>
        <w:rPr>
          <w:vertAlign w:val="baseline"/>
        </w:rPr>
        <w:t>5.02 for the 2</w:t>
      </w:r>
      <w:r>
        <w:rPr>
          <w:vertAlign w:val="superscript"/>
        </w:rPr>
        <w:t>nd</w:t>
      </w:r>
      <w:r>
        <w:rPr>
          <w:vertAlign w:val="baseline"/>
        </w:rPr>
        <w:t> trimester but no significant difference (P&gt;0.05) existed when comparedwith 106.74</w:t>
      </w:r>
      <w:r>
        <w:rPr>
          <w:rFonts w:ascii="Symbol" w:hAnsi="Symbol"/>
          <w:vertAlign w:val="baseline"/>
        </w:rPr>
        <w:t></w:t>
      </w:r>
      <w:r>
        <w:rPr>
          <w:vertAlign w:val="baseline"/>
        </w:rPr>
        <w:t>11.20 for those in their</w:t>
      </w:r>
      <w:r>
        <w:rPr>
          <w:spacing w:val="40"/>
          <w:vertAlign w:val="baseline"/>
        </w:rPr>
        <w:t> </w:t>
      </w:r>
      <w:r>
        <w:rPr>
          <w:vertAlign w:val="baseline"/>
        </w:rPr>
        <w:t>3</w:t>
      </w:r>
      <w:r>
        <w:rPr>
          <w:vertAlign w:val="superscript"/>
        </w:rPr>
        <w:t>rd</w:t>
      </w:r>
      <w:r>
        <w:rPr>
          <w:vertAlign w:val="baseline"/>
        </w:rPr>
        <w:t> trimester. Again, mean±SD for those in of 2</w:t>
      </w:r>
      <w:r>
        <w:rPr>
          <w:vertAlign w:val="superscript"/>
        </w:rPr>
        <w:t>nd</w:t>
      </w:r>
      <w:r>
        <w:rPr>
          <w:vertAlign w:val="baseline"/>
        </w:rPr>
        <w:t> trimester showed significant difference (P&lt;0.05) when compared to those in their 3</w:t>
      </w:r>
      <w:r>
        <w:rPr>
          <w:vertAlign w:val="superscript"/>
        </w:rPr>
        <w:t>rd</w:t>
      </w:r>
      <w:r>
        <w:rPr>
          <w:vertAlign w:val="baseline"/>
        </w:rPr>
        <w:t> trimester.</w:t>
      </w:r>
    </w:p>
    <w:p>
      <w:pPr>
        <w:pStyle w:val="BodyText"/>
        <w:spacing w:line="480" w:lineRule="auto" w:before="1"/>
        <w:ind w:left="560" w:right="793"/>
        <w:jc w:val="both"/>
      </w:pPr>
      <w:r>
        <w:rPr/>
        <w:t>For sTfR, lowest value of mean</w:t>
      </w:r>
      <w:r>
        <w:rPr>
          <w:rFonts w:ascii="Symbol" w:hAnsi="Symbol"/>
        </w:rPr>
        <w:t></w:t>
      </w:r>
      <w:r>
        <w:rPr/>
        <w:t>SD (60.20</w:t>
      </w:r>
      <w:r>
        <w:rPr>
          <w:rFonts w:ascii="Symbol" w:hAnsi="Symbol"/>
        </w:rPr>
        <w:t></w:t>
      </w:r>
      <w:r>
        <w:rPr/>
        <w:t>21.88) for pregnant women in their 1</w:t>
      </w:r>
      <w:r>
        <w:rPr>
          <w:vertAlign w:val="superscript"/>
        </w:rPr>
        <w:t>st</w:t>
      </w:r>
      <w:r>
        <w:rPr>
          <w:vertAlign w:val="baseline"/>
        </w:rPr>
        <w:t> trimester showed no significant difference (P&gt;0.05) comparedto 62.22</w:t>
      </w:r>
      <w:r>
        <w:rPr>
          <w:rFonts w:ascii="Symbol" w:hAnsi="Symbol"/>
          <w:vertAlign w:val="baseline"/>
        </w:rPr>
        <w:t></w:t>
      </w:r>
      <w:r>
        <w:rPr>
          <w:vertAlign w:val="baseline"/>
        </w:rPr>
        <w:t>23.66 and 64.35</w:t>
      </w:r>
      <w:r>
        <w:rPr>
          <w:rFonts w:ascii="Symbol" w:hAnsi="Symbol"/>
          <w:vertAlign w:val="baseline"/>
        </w:rPr>
        <w:t></w:t>
      </w:r>
      <w:r>
        <w:rPr>
          <w:vertAlign w:val="baseline"/>
        </w:rPr>
        <w:t>20.22 for those in their 2</w:t>
      </w:r>
      <w:r>
        <w:rPr>
          <w:vertAlign w:val="superscript"/>
        </w:rPr>
        <w:t>nd</w:t>
      </w:r>
      <w:r>
        <w:rPr>
          <w:vertAlign w:val="baseline"/>
        </w:rPr>
        <w:t> and 3</w:t>
      </w:r>
      <w:r>
        <w:rPr>
          <w:vertAlign w:val="superscript"/>
        </w:rPr>
        <w:t>rd</w:t>
      </w:r>
      <w:r>
        <w:rPr>
          <w:vertAlign w:val="baseline"/>
        </w:rPr>
        <w:t> trimesters respectively. Also mean</w:t>
      </w:r>
      <w:r>
        <w:rPr>
          <w:rFonts w:ascii="Symbol" w:hAnsi="Symbol"/>
          <w:vertAlign w:val="baseline"/>
        </w:rPr>
        <w:t></w:t>
      </w:r>
      <w:r>
        <w:rPr>
          <w:vertAlign w:val="baseline"/>
        </w:rPr>
        <w:t>SDvalue of sTfR for 2</w:t>
      </w:r>
      <w:r>
        <w:rPr>
          <w:vertAlign w:val="superscript"/>
        </w:rPr>
        <w:t>nd</w:t>
      </w:r>
      <w:r>
        <w:rPr>
          <w:spacing w:val="40"/>
          <w:vertAlign w:val="baseline"/>
        </w:rPr>
        <w:t> </w:t>
      </w:r>
      <w:r>
        <w:rPr>
          <w:vertAlign w:val="baseline"/>
        </w:rPr>
        <w:t>trimester showed no significant difference with 3</w:t>
      </w:r>
      <w:r>
        <w:rPr>
          <w:vertAlign w:val="superscript"/>
        </w:rPr>
        <w:t>rd</w:t>
      </w:r>
      <w:r>
        <w:rPr>
          <w:vertAlign w:val="baseline"/>
        </w:rPr>
        <w:t> trimester at P&gt;0.05.</w:t>
      </w:r>
    </w:p>
    <w:p>
      <w:pPr>
        <w:pStyle w:val="BodyText"/>
        <w:spacing w:line="480" w:lineRule="auto"/>
        <w:ind w:left="560" w:right="794"/>
        <w:jc w:val="both"/>
      </w:pPr>
      <w:r>
        <w:rPr/>
        <w:t>As for serum ferritin, the mean</w:t>
      </w:r>
      <w:r>
        <w:rPr>
          <w:rFonts w:ascii="Symbol" w:hAnsi="Symbol"/>
        </w:rPr>
        <w:t></w:t>
      </w:r>
      <w:r>
        <w:rPr/>
        <w:t>SD 53.34</w:t>
      </w:r>
      <w:r>
        <w:rPr>
          <w:rFonts w:ascii="Symbol" w:hAnsi="Symbol"/>
        </w:rPr>
        <w:t></w:t>
      </w:r>
      <w:r>
        <w:rPr/>
        <w:t>55.61 for pregnant women in 1</w:t>
      </w:r>
      <w:r>
        <w:rPr>
          <w:vertAlign w:val="superscript"/>
        </w:rPr>
        <w:t>st</w:t>
      </w:r>
      <w:r>
        <w:rPr>
          <w:vertAlign w:val="baseline"/>
        </w:rPr>
        <w:t> trimestershowed no significant difference (P&gt;0.05) when compared with 54.50</w:t>
      </w:r>
      <w:r>
        <w:rPr>
          <w:rFonts w:ascii="Symbol" w:hAnsi="Symbol"/>
          <w:vertAlign w:val="baseline"/>
        </w:rPr>
        <w:t></w:t>
      </w:r>
      <w:r>
        <w:rPr>
          <w:vertAlign w:val="baseline"/>
        </w:rPr>
        <w:t>118.07 and 27.90</w:t>
      </w:r>
      <w:r>
        <w:rPr>
          <w:rFonts w:ascii="Symbol" w:hAnsi="Symbol"/>
          <w:vertAlign w:val="baseline"/>
        </w:rPr>
        <w:t></w:t>
      </w:r>
      <w:r>
        <w:rPr>
          <w:vertAlign w:val="baseline"/>
        </w:rPr>
        <w:t>31.02 for those in their 2</w:t>
      </w:r>
      <w:r>
        <w:rPr>
          <w:vertAlign w:val="superscript"/>
        </w:rPr>
        <w:t>nd</w:t>
      </w:r>
      <w:r>
        <w:rPr>
          <w:vertAlign w:val="baseline"/>
        </w:rPr>
        <w:t> and 3</w:t>
      </w:r>
      <w:r>
        <w:rPr>
          <w:vertAlign w:val="superscript"/>
        </w:rPr>
        <w:t>rd</w:t>
      </w:r>
      <w:r>
        <w:rPr>
          <w:vertAlign w:val="baseline"/>
        </w:rPr>
        <w:t> trimesters respectively.</w:t>
      </w:r>
    </w:p>
    <w:p>
      <w:pPr>
        <w:pStyle w:val="BodyText"/>
        <w:spacing w:line="480" w:lineRule="auto"/>
        <w:ind w:left="560" w:right="796"/>
        <w:jc w:val="both"/>
      </w:pPr>
      <w:r>
        <w:rPr/>
        <w:t>The mean</w:t>
      </w:r>
      <w:r>
        <w:rPr>
          <w:rFonts w:ascii="Symbol" w:hAnsi="Symbol"/>
        </w:rPr>
        <w:t></w:t>
      </w:r>
      <w:r>
        <w:rPr/>
        <w:t>SD (54.50</w:t>
      </w:r>
      <w:r>
        <w:rPr>
          <w:rFonts w:ascii="Symbol" w:hAnsi="Symbol"/>
        </w:rPr>
        <w:t></w:t>
      </w:r>
      <w:r>
        <w:rPr/>
        <w:t>118.07) of SF for pregnant women in their2</w:t>
      </w:r>
      <w:r>
        <w:rPr>
          <w:vertAlign w:val="superscript"/>
        </w:rPr>
        <w:t>nd</w:t>
      </w:r>
      <w:r>
        <w:rPr>
          <w:vertAlign w:val="baseline"/>
        </w:rPr>
        <w:t> trimester was significantly higher(P&gt;0.05) than 27.90</w:t>
      </w:r>
      <w:r>
        <w:rPr>
          <w:rFonts w:ascii="Symbol" w:hAnsi="Symbol"/>
          <w:vertAlign w:val="baseline"/>
        </w:rPr>
        <w:t></w:t>
      </w:r>
      <w:r>
        <w:rPr>
          <w:vertAlign w:val="baseline"/>
        </w:rPr>
        <w:t>31.02 obtained for those in their 3</w:t>
      </w:r>
      <w:r>
        <w:rPr>
          <w:vertAlign w:val="superscript"/>
        </w:rPr>
        <w:t>rd</w:t>
      </w:r>
      <w:r>
        <w:rPr>
          <w:vertAlign w:val="baseline"/>
        </w:rPr>
        <w:t> trimester.</w:t>
      </w:r>
    </w:p>
    <w:p>
      <w:pPr>
        <w:spacing w:after="0" w:line="480" w:lineRule="auto"/>
        <w:jc w:val="both"/>
        <w:sectPr>
          <w:pgSz w:w="11910" w:h="16840"/>
          <w:pgMar w:header="0" w:footer="1067" w:top="1060" w:bottom="1260" w:left="880" w:right="640"/>
        </w:sectPr>
      </w:pPr>
    </w:p>
    <w:p>
      <w:pPr>
        <w:pStyle w:val="Heading2"/>
        <w:spacing w:before="38"/>
        <w:ind w:left="0" w:right="237"/>
        <w:jc w:val="center"/>
        <w:rPr>
          <w:rFonts w:ascii="Calibri"/>
        </w:rPr>
      </w:pPr>
      <w:r>
        <w:rPr>
          <w:rFonts w:ascii="Calibri"/>
        </w:rPr>
        <w:t>TABLE</w:t>
      </w:r>
      <w:r>
        <w:rPr>
          <w:rFonts w:ascii="Calibri"/>
          <w:spacing w:val="-4"/>
        </w:rPr>
        <w:t> </w:t>
      </w:r>
      <w:r>
        <w:rPr>
          <w:rFonts w:ascii="Calibri"/>
        </w:rPr>
        <w:t>4.15:</w:t>
      </w:r>
      <w:r>
        <w:rPr>
          <w:rFonts w:ascii="Calibri"/>
          <w:spacing w:val="-2"/>
        </w:rPr>
        <w:t> </w:t>
      </w:r>
      <w:r>
        <w:rPr>
          <w:rFonts w:ascii="Calibri"/>
        </w:rPr>
        <w:t>EFFECT</w:t>
      </w:r>
      <w:r>
        <w:rPr>
          <w:rFonts w:ascii="Calibri"/>
          <w:spacing w:val="-3"/>
        </w:rPr>
        <w:t> </w:t>
      </w:r>
      <w:r>
        <w:rPr>
          <w:rFonts w:ascii="Calibri"/>
        </w:rPr>
        <w:t>OF</w:t>
      </w:r>
      <w:r>
        <w:rPr>
          <w:rFonts w:ascii="Calibri"/>
          <w:spacing w:val="-5"/>
        </w:rPr>
        <w:t> </w:t>
      </w:r>
      <w:r>
        <w:rPr>
          <w:rFonts w:ascii="Calibri"/>
        </w:rPr>
        <w:t>GESTATIONAL</w:t>
      </w:r>
      <w:r>
        <w:rPr>
          <w:rFonts w:ascii="Calibri"/>
          <w:spacing w:val="-2"/>
        </w:rPr>
        <w:t> </w:t>
      </w:r>
      <w:r>
        <w:rPr>
          <w:rFonts w:ascii="Calibri"/>
        </w:rPr>
        <w:t>AGE</w:t>
      </w:r>
      <w:r>
        <w:rPr>
          <w:rFonts w:ascii="Calibri"/>
          <w:spacing w:val="-2"/>
        </w:rPr>
        <w:t> </w:t>
      </w:r>
      <w:r>
        <w:rPr>
          <w:rFonts w:ascii="Calibri"/>
        </w:rPr>
        <w:t>ON</w:t>
      </w:r>
      <w:r>
        <w:rPr>
          <w:rFonts w:ascii="Calibri"/>
          <w:spacing w:val="-4"/>
        </w:rPr>
        <w:t> </w:t>
      </w:r>
      <w:r>
        <w:rPr>
          <w:rFonts w:ascii="Calibri"/>
        </w:rPr>
        <w:t>IRON</w:t>
      </w:r>
      <w:r>
        <w:rPr>
          <w:rFonts w:ascii="Calibri"/>
          <w:spacing w:val="3"/>
        </w:rPr>
        <w:t> </w:t>
      </w:r>
      <w:r>
        <w:rPr>
          <w:rFonts w:ascii="Calibri"/>
        </w:rPr>
        <w:t>STATUS</w:t>
      </w:r>
      <w:r>
        <w:rPr>
          <w:rFonts w:ascii="Calibri"/>
          <w:spacing w:val="-3"/>
        </w:rPr>
        <w:t> </w:t>
      </w:r>
      <w:r>
        <w:rPr>
          <w:rFonts w:ascii="Calibri"/>
        </w:rPr>
        <w:t>OF</w:t>
      </w:r>
      <w:r>
        <w:rPr>
          <w:rFonts w:ascii="Calibri"/>
          <w:spacing w:val="-5"/>
        </w:rPr>
        <w:t> </w:t>
      </w:r>
      <w:r>
        <w:rPr>
          <w:rFonts w:ascii="Calibri"/>
        </w:rPr>
        <w:t>MALARIA</w:t>
      </w:r>
      <w:r>
        <w:rPr>
          <w:rFonts w:ascii="Calibri"/>
          <w:spacing w:val="-1"/>
        </w:rPr>
        <w:t> </w:t>
      </w:r>
      <w:r>
        <w:rPr>
          <w:rFonts w:ascii="Calibri"/>
          <w:spacing w:val="-2"/>
        </w:rPr>
        <w:t>INFECTED</w:t>
      </w:r>
    </w:p>
    <w:p>
      <w:pPr>
        <w:spacing w:before="0"/>
        <w:ind w:left="1023" w:right="0" w:firstLine="0"/>
        <w:jc w:val="center"/>
        <w:rPr>
          <w:rFonts w:ascii="Calibri"/>
          <w:b/>
          <w:sz w:val="24"/>
        </w:rPr>
      </w:pPr>
      <w:r>
        <w:rPr>
          <w:rFonts w:ascii="Calibri"/>
          <w:b/>
          <w:sz w:val="24"/>
        </w:rPr>
        <w:t>PREGNANT</w:t>
      </w:r>
      <w:r>
        <w:rPr>
          <w:rFonts w:ascii="Calibri"/>
          <w:b/>
          <w:spacing w:val="-3"/>
          <w:sz w:val="24"/>
        </w:rPr>
        <w:t> </w:t>
      </w:r>
      <w:r>
        <w:rPr>
          <w:rFonts w:ascii="Calibri"/>
          <w:b/>
          <w:spacing w:val="-2"/>
          <w:sz w:val="24"/>
        </w:rPr>
        <w:t>WOMEN</w:t>
      </w:r>
    </w:p>
    <w:p>
      <w:pPr>
        <w:pStyle w:val="BodyText"/>
        <w:rPr>
          <w:rFonts w:ascii="Calibri"/>
          <w:b/>
          <w:sz w:val="20"/>
        </w:rPr>
      </w:pPr>
    </w:p>
    <w:p>
      <w:pPr>
        <w:pStyle w:val="BodyText"/>
        <w:spacing w:before="64"/>
        <w:rPr>
          <w:rFonts w:ascii="Calibri"/>
          <w:b/>
          <w:sz w:val="20"/>
        </w:rPr>
      </w:pPr>
    </w:p>
    <w:tbl>
      <w:tblPr>
        <w:tblW w:w="0" w:type="auto"/>
        <w:jc w:val="left"/>
        <w:tblInd w:w="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4"/>
        <w:gridCol w:w="2132"/>
        <w:gridCol w:w="2333"/>
        <w:gridCol w:w="2149"/>
      </w:tblGrid>
      <w:tr>
        <w:trPr>
          <w:trHeight w:val="615" w:hRule="atLeast"/>
        </w:trPr>
        <w:tc>
          <w:tcPr>
            <w:tcW w:w="1784" w:type="dxa"/>
            <w:tcBorders>
              <w:top w:val="single" w:sz="8" w:space="0" w:color="000000"/>
            </w:tcBorders>
          </w:tcPr>
          <w:p>
            <w:pPr>
              <w:pStyle w:val="TableParagraph"/>
              <w:spacing w:line="292" w:lineRule="exact"/>
              <w:ind w:left="83" w:right="55"/>
              <w:rPr>
                <w:rFonts w:ascii="Calibri"/>
                <w:b/>
                <w:sz w:val="24"/>
              </w:rPr>
            </w:pPr>
            <w:r>
              <w:rPr>
                <w:rFonts w:ascii="Calibri"/>
                <w:b/>
                <w:spacing w:val="-5"/>
                <w:sz w:val="24"/>
              </w:rPr>
              <w:t>AGE</w:t>
            </w:r>
          </w:p>
          <w:p>
            <w:pPr>
              <w:pStyle w:val="TableParagraph"/>
              <w:tabs>
                <w:tab w:pos="482" w:val="left" w:leader="none"/>
                <w:tab w:pos="8396" w:val="left" w:leader="none"/>
              </w:tabs>
              <w:spacing w:before="2"/>
              <w:ind w:left="7" w:right="-6624"/>
              <w:rPr>
                <w:rFonts w:ascii="Calibri"/>
                <w:b/>
                <w:sz w:val="24"/>
              </w:rPr>
            </w:pPr>
            <w:r>
              <w:rPr>
                <w:rFonts w:ascii="Calibri"/>
                <w:b/>
                <w:sz w:val="24"/>
                <w:u w:val="single"/>
              </w:rPr>
              <w:tab/>
            </w:r>
            <w:r>
              <w:rPr>
                <w:rFonts w:ascii="Calibri"/>
                <w:b/>
                <w:spacing w:val="-2"/>
                <w:sz w:val="24"/>
                <w:u w:val="single"/>
              </w:rPr>
              <w:t>GROUPS</w:t>
            </w:r>
            <w:r>
              <w:rPr>
                <w:rFonts w:ascii="Calibri"/>
                <w:b/>
                <w:sz w:val="24"/>
                <w:u w:val="single"/>
              </w:rPr>
              <w:tab/>
            </w:r>
          </w:p>
        </w:tc>
        <w:tc>
          <w:tcPr>
            <w:tcW w:w="2132" w:type="dxa"/>
            <w:tcBorders>
              <w:top w:val="single" w:sz="8" w:space="0" w:color="000000"/>
            </w:tcBorders>
          </w:tcPr>
          <w:p>
            <w:pPr>
              <w:pStyle w:val="TableParagraph"/>
              <w:spacing w:line="292" w:lineRule="exact"/>
              <w:ind w:left="20" w:right="2"/>
              <w:rPr>
                <w:rFonts w:ascii="Calibri"/>
                <w:b/>
                <w:sz w:val="24"/>
              </w:rPr>
            </w:pPr>
            <w:r>
              <w:rPr>
                <w:rFonts w:ascii="Calibri"/>
                <w:b/>
                <w:sz w:val="24"/>
              </w:rPr>
              <w:t>HB </w:t>
            </w:r>
            <w:r>
              <w:rPr>
                <w:rFonts w:ascii="Calibri"/>
                <w:b/>
                <w:spacing w:val="-2"/>
                <w:sz w:val="24"/>
              </w:rPr>
              <w:t>(g/L)</w:t>
            </w:r>
          </w:p>
        </w:tc>
        <w:tc>
          <w:tcPr>
            <w:tcW w:w="2333" w:type="dxa"/>
            <w:tcBorders>
              <w:top w:val="single" w:sz="8" w:space="0" w:color="000000"/>
            </w:tcBorders>
          </w:tcPr>
          <w:p>
            <w:pPr>
              <w:pStyle w:val="TableParagraph"/>
              <w:spacing w:line="292" w:lineRule="exact"/>
              <w:ind w:right="15"/>
              <w:rPr>
                <w:rFonts w:ascii="Calibri"/>
                <w:b/>
                <w:sz w:val="24"/>
              </w:rPr>
            </w:pPr>
            <w:r>
              <w:rPr>
                <w:rFonts w:ascii="Calibri"/>
                <w:b/>
                <w:sz w:val="24"/>
              </w:rPr>
              <w:t>STFRA </w:t>
            </w:r>
            <w:r>
              <w:rPr>
                <w:rFonts w:ascii="Calibri"/>
                <w:b/>
                <w:spacing w:val="-2"/>
                <w:sz w:val="24"/>
              </w:rPr>
              <w:t>(nmol/L)</w:t>
            </w:r>
          </w:p>
        </w:tc>
        <w:tc>
          <w:tcPr>
            <w:tcW w:w="2149" w:type="dxa"/>
            <w:tcBorders>
              <w:top w:val="single" w:sz="8" w:space="0" w:color="000000"/>
            </w:tcBorders>
          </w:tcPr>
          <w:p>
            <w:pPr>
              <w:pStyle w:val="TableParagraph"/>
              <w:spacing w:line="292" w:lineRule="exact"/>
              <w:ind w:left="630"/>
              <w:jc w:val="left"/>
              <w:rPr>
                <w:rFonts w:ascii="Calibri"/>
                <w:b/>
                <w:sz w:val="24"/>
              </w:rPr>
            </w:pPr>
            <w:r>
              <w:rPr>
                <w:rFonts w:ascii="Calibri"/>
                <w:b/>
                <w:sz w:val="24"/>
              </w:rPr>
              <w:t>SF</w:t>
            </w:r>
            <w:r>
              <w:rPr>
                <w:rFonts w:ascii="Calibri"/>
                <w:b/>
                <w:spacing w:val="-1"/>
                <w:sz w:val="24"/>
              </w:rPr>
              <w:t> </w:t>
            </w:r>
            <w:r>
              <w:rPr>
                <w:rFonts w:ascii="Calibri"/>
                <w:b/>
                <w:spacing w:val="-2"/>
                <w:sz w:val="24"/>
              </w:rPr>
              <w:t>(ug/L)</w:t>
            </w:r>
          </w:p>
        </w:tc>
      </w:tr>
      <w:tr>
        <w:trPr>
          <w:trHeight w:val="545" w:hRule="atLeast"/>
        </w:trPr>
        <w:tc>
          <w:tcPr>
            <w:tcW w:w="1784" w:type="dxa"/>
          </w:tcPr>
          <w:p>
            <w:pPr>
              <w:pStyle w:val="TableParagraph"/>
              <w:spacing w:line="257" w:lineRule="exact"/>
              <w:ind w:left="83" w:right="53"/>
              <w:rPr>
                <w:rFonts w:ascii="Calibri"/>
                <w:b/>
                <w:sz w:val="22"/>
              </w:rPr>
            </w:pPr>
            <w:r>
              <w:rPr>
                <w:rFonts w:ascii="Calibri"/>
                <w:b/>
                <w:spacing w:val="-5"/>
                <w:sz w:val="22"/>
              </w:rPr>
              <w:t>G1</w:t>
            </w:r>
          </w:p>
          <w:p>
            <w:pPr>
              <w:pStyle w:val="TableParagraph"/>
              <w:ind w:left="83" w:right="4"/>
              <w:rPr>
                <w:rFonts w:ascii="Calibri"/>
                <w:b/>
                <w:sz w:val="22"/>
              </w:rPr>
            </w:pP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21)</w:t>
            </w:r>
          </w:p>
        </w:tc>
        <w:tc>
          <w:tcPr>
            <w:tcW w:w="2132" w:type="dxa"/>
          </w:tcPr>
          <w:p>
            <w:pPr>
              <w:pStyle w:val="TableParagraph"/>
              <w:spacing w:before="52"/>
              <w:ind w:left="410"/>
              <w:jc w:val="left"/>
              <w:rPr>
                <w:sz w:val="22"/>
              </w:rPr>
            </w:pPr>
            <w:r>
              <w:rPr>
                <w:sz w:val="22"/>
              </w:rPr>
              <w:t>111.43 ±</w:t>
            </w:r>
            <w:r>
              <w:rPr>
                <w:spacing w:val="-2"/>
                <w:sz w:val="22"/>
              </w:rPr>
              <w:t> 11.64</w:t>
            </w:r>
          </w:p>
        </w:tc>
        <w:tc>
          <w:tcPr>
            <w:tcW w:w="2333" w:type="dxa"/>
          </w:tcPr>
          <w:p>
            <w:pPr>
              <w:pStyle w:val="TableParagraph"/>
              <w:spacing w:before="52"/>
              <w:ind w:left="546"/>
              <w:jc w:val="left"/>
              <w:rPr>
                <w:sz w:val="22"/>
              </w:rPr>
            </w:pPr>
            <w:r>
              <w:rPr>
                <w:sz w:val="22"/>
              </w:rPr>
              <w:t>60.20 ±</w:t>
            </w:r>
            <w:r>
              <w:rPr>
                <w:spacing w:val="-2"/>
                <w:sz w:val="22"/>
              </w:rPr>
              <w:t> 21.88</w:t>
            </w:r>
          </w:p>
        </w:tc>
        <w:tc>
          <w:tcPr>
            <w:tcW w:w="2149" w:type="dxa"/>
          </w:tcPr>
          <w:p>
            <w:pPr>
              <w:pStyle w:val="TableParagraph"/>
              <w:spacing w:before="52"/>
              <w:ind w:right="412"/>
              <w:jc w:val="right"/>
              <w:rPr>
                <w:sz w:val="22"/>
              </w:rPr>
            </w:pPr>
            <w:r>
              <w:rPr>
                <w:sz w:val="22"/>
              </w:rPr>
              <w:t>53.34 ±</w:t>
            </w:r>
            <w:r>
              <w:rPr>
                <w:spacing w:val="-2"/>
                <w:sz w:val="22"/>
              </w:rPr>
              <w:t> 55.61</w:t>
            </w:r>
          </w:p>
        </w:tc>
      </w:tr>
      <w:tr>
        <w:trPr>
          <w:trHeight w:val="537" w:hRule="atLeast"/>
        </w:trPr>
        <w:tc>
          <w:tcPr>
            <w:tcW w:w="1784" w:type="dxa"/>
          </w:tcPr>
          <w:p>
            <w:pPr>
              <w:pStyle w:val="TableParagraph"/>
              <w:spacing w:line="249" w:lineRule="exact"/>
              <w:ind w:left="83"/>
              <w:rPr>
                <w:rFonts w:ascii="Calibri"/>
                <w:b/>
                <w:sz w:val="22"/>
              </w:rPr>
            </w:pPr>
            <w:r>
              <w:rPr>
                <w:rFonts w:ascii="Calibri"/>
                <w:b/>
                <w:spacing w:val="-5"/>
                <w:sz w:val="22"/>
              </w:rPr>
              <w:t>G2</w:t>
            </w:r>
          </w:p>
          <w:p>
            <w:pPr>
              <w:pStyle w:val="TableParagraph"/>
              <w:ind w:left="83" w:right="52"/>
              <w:rPr>
                <w:rFonts w:ascii="Calibri"/>
                <w:b/>
                <w:sz w:val="22"/>
              </w:rPr>
            </w:pP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65)</w:t>
            </w:r>
          </w:p>
        </w:tc>
        <w:tc>
          <w:tcPr>
            <w:tcW w:w="2132" w:type="dxa"/>
          </w:tcPr>
          <w:p>
            <w:pPr>
              <w:pStyle w:val="TableParagraph"/>
              <w:spacing w:before="44"/>
              <w:ind w:left="520"/>
              <w:jc w:val="left"/>
              <w:rPr>
                <w:sz w:val="22"/>
              </w:rPr>
            </w:pPr>
            <w:r>
              <w:rPr>
                <w:sz w:val="22"/>
              </w:rPr>
              <w:t>95.66 ±</w:t>
            </w:r>
            <w:r>
              <w:rPr>
                <w:spacing w:val="-1"/>
                <w:sz w:val="22"/>
              </w:rPr>
              <w:t> </w:t>
            </w:r>
            <w:r>
              <w:rPr>
                <w:spacing w:val="-4"/>
                <w:sz w:val="22"/>
              </w:rPr>
              <w:t>5.02</w:t>
            </w:r>
          </w:p>
        </w:tc>
        <w:tc>
          <w:tcPr>
            <w:tcW w:w="2333" w:type="dxa"/>
          </w:tcPr>
          <w:p>
            <w:pPr>
              <w:pStyle w:val="TableParagraph"/>
              <w:spacing w:before="44"/>
              <w:ind w:left="546"/>
              <w:jc w:val="left"/>
              <w:rPr>
                <w:sz w:val="22"/>
              </w:rPr>
            </w:pPr>
            <w:r>
              <w:rPr>
                <w:sz w:val="22"/>
              </w:rPr>
              <w:t>62.22 ±</w:t>
            </w:r>
            <w:r>
              <w:rPr>
                <w:spacing w:val="-2"/>
                <w:sz w:val="22"/>
              </w:rPr>
              <w:t> 23.66</w:t>
            </w:r>
          </w:p>
        </w:tc>
        <w:tc>
          <w:tcPr>
            <w:tcW w:w="2149" w:type="dxa"/>
          </w:tcPr>
          <w:p>
            <w:pPr>
              <w:pStyle w:val="TableParagraph"/>
              <w:spacing w:before="44"/>
              <w:ind w:right="412"/>
              <w:jc w:val="right"/>
              <w:rPr>
                <w:sz w:val="22"/>
              </w:rPr>
            </w:pPr>
            <w:r>
              <w:rPr>
                <w:sz w:val="22"/>
              </w:rPr>
              <w:t>54.50 ±</w:t>
            </w:r>
            <w:r>
              <w:rPr>
                <w:spacing w:val="-2"/>
                <w:sz w:val="22"/>
              </w:rPr>
              <w:t> 118.07</w:t>
            </w:r>
          </w:p>
        </w:tc>
      </w:tr>
      <w:tr>
        <w:trPr>
          <w:trHeight w:val="516" w:hRule="atLeast"/>
        </w:trPr>
        <w:tc>
          <w:tcPr>
            <w:tcW w:w="1784" w:type="dxa"/>
          </w:tcPr>
          <w:p>
            <w:pPr>
              <w:pStyle w:val="TableParagraph"/>
              <w:spacing w:line="248" w:lineRule="exact"/>
              <w:ind w:left="83" w:right="53"/>
              <w:rPr>
                <w:rFonts w:ascii="Calibri"/>
                <w:b/>
                <w:sz w:val="22"/>
              </w:rPr>
            </w:pPr>
            <w:r>
              <w:rPr>
                <w:rFonts w:ascii="Calibri"/>
                <w:b/>
                <w:spacing w:val="-5"/>
                <w:sz w:val="22"/>
              </w:rPr>
              <w:t>G3</w:t>
            </w:r>
          </w:p>
          <w:p>
            <w:pPr>
              <w:pStyle w:val="TableParagraph"/>
              <w:spacing w:line="249" w:lineRule="exact"/>
              <w:ind w:left="83" w:right="4"/>
              <w:rPr>
                <w:rFonts w:ascii="Calibri"/>
                <w:b/>
                <w:sz w:val="22"/>
              </w:rPr>
            </w:pP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58)</w:t>
            </w:r>
          </w:p>
        </w:tc>
        <w:tc>
          <w:tcPr>
            <w:tcW w:w="2132" w:type="dxa"/>
          </w:tcPr>
          <w:p>
            <w:pPr>
              <w:pStyle w:val="TableParagraph"/>
              <w:spacing w:before="44"/>
              <w:ind w:left="410"/>
              <w:jc w:val="left"/>
              <w:rPr>
                <w:sz w:val="22"/>
              </w:rPr>
            </w:pPr>
            <w:r>
              <w:rPr>
                <w:sz w:val="22"/>
              </w:rPr>
              <w:t>106.74 ±</w:t>
            </w:r>
            <w:r>
              <w:rPr>
                <w:spacing w:val="-2"/>
                <w:sz w:val="22"/>
              </w:rPr>
              <w:t> 11.20</w:t>
            </w:r>
          </w:p>
        </w:tc>
        <w:tc>
          <w:tcPr>
            <w:tcW w:w="2333" w:type="dxa"/>
          </w:tcPr>
          <w:p>
            <w:pPr>
              <w:pStyle w:val="TableParagraph"/>
              <w:spacing w:before="44"/>
              <w:ind w:left="546"/>
              <w:jc w:val="left"/>
              <w:rPr>
                <w:sz w:val="22"/>
              </w:rPr>
            </w:pPr>
            <w:r>
              <w:rPr>
                <w:sz w:val="22"/>
              </w:rPr>
              <w:t>64.35 ±</w:t>
            </w:r>
            <w:r>
              <w:rPr>
                <w:spacing w:val="-2"/>
                <w:sz w:val="22"/>
              </w:rPr>
              <w:t> 20.22</w:t>
            </w:r>
          </w:p>
        </w:tc>
        <w:tc>
          <w:tcPr>
            <w:tcW w:w="2149" w:type="dxa"/>
          </w:tcPr>
          <w:p>
            <w:pPr>
              <w:pStyle w:val="TableParagraph"/>
              <w:spacing w:before="44"/>
              <w:ind w:right="468"/>
              <w:jc w:val="right"/>
              <w:rPr>
                <w:sz w:val="22"/>
              </w:rPr>
            </w:pPr>
            <w:r>
              <w:rPr>
                <w:sz w:val="22"/>
              </w:rPr>
              <w:t>27.90 ±</w:t>
            </w:r>
            <w:r>
              <w:rPr>
                <w:spacing w:val="-2"/>
                <w:sz w:val="22"/>
              </w:rPr>
              <w:t> 31.02</w:t>
            </w:r>
          </w:p>
        </w:tc>
      </w:tr>
      <w:tr>
        <w:trPr>
          <w:trHeight w:val="391" w:hRule="atLeast"/>
        </w:trPr>
        <w:tc>
          <w:tcPr>
            <w:tcW w:w="1784" w:type="dxa"/>
          </w:tcPr>
          <w:p>
            <w:pPr>
              <w:pStyle w:val="TableParagraph"/>
              <w:spacing w:line="268" w:lineRule="exact"/>
              <w:ind w:left="83" w:right="50"/>
              <w:rPr>
                <w:rFonts w:ascii="Calibri"/>
                <w:b/>
                <w:sz w:val="22"/>
              </w:rPr>
            </w:pPr>
            <w:r>
              <w:rPr>
                <w:rFonts w:ascii="Calibri"/>
                <w:b/>
                <w:sz w:val="22"/>
              </w:rPr>
              <w:t>F(p)</w:t>
            </w:r>
            <w:r>
              <w:rPr>
                <w:rFonts w:ascii="Calibri"/>
                <w:b/>
                <w:spacing w:val="-3"/>
                <w:sz w:val="22"/>
              </w:rPr>
              <w:t> </w:t>
            </w:r>
            <w:r>
              <w:rPr>
                <w:rFonts w:ascii="Calibri"/>
                <w:b/>
                <w:spacing w:val="-2"/>
                <w:sz w:val="22"/>
              </w:rPr>
              <w:t>Value</w:t>
            </w:r>
          </w:p>
        </w:tc>
        <w:tc>
          <w:tcPr>
            <w:tcW w:w="2132" w:type="dxa"/>
          </w:tcPr>
          <w:p>
            <w:pPr>
              <w:pStyle w:val="TableParagraph"/>
              <w:spacing w:line="249" w:lineRule="exact"/>
              <w:ind w:left="479"/>
              <w:jc w:val="left"/>
              <w:rPr>
                <w:sz w:val="22"/>
              </w:rPr>
            </w:pPr>
            <w:r>
              <w:rPr>
                <w:sz w:val="22"/>
              </w:rPr>
              <w:t>35.336 </w:t>
            </w:r>
            <w:r>
              <w:rPr>
                <w:spacing w:val="-2"/>
                <w:sz w:val="22"/>
              </w:rPr>
              <w:t>(.000)</w:t>
            </w:r>
          </w:p>
        </w:tc>
        <w:tc>
          <w:tcPr>
            <w:tcW w:w="2333" w:type="dxa"/>
          </w:tcPr>
          <w:p>
            <w:pPr>
              <w:pStyle w:val="TableParagraph"/>
              <w:spacing w:line="249" w:lineRule="exact"/>
              <w:ind w:left="615"/>
              <w:jc w:val="left"/>
              <w:rPr>
                <w:sz w:val="22"/>
              </w:rPr>
            </w:pPr>
            <w:r>
              <w:rPr>
                <w:sz w:val="22"/>
              </w:rPr>
              <w:t>0.310</w:t>
            </w:r>
            <w:r>
              <w:rPr>
                <w:spacing w:val="-2"/>
                <w:sz w:val="22"/>
              </w:rPr>
              <w:t> (.734)</w:t>
            </w:r>
          </w:p>
        </w:tc>
        <w:tc>
          <w:tcPr>
            <w:tcW w:w="2149" w:type="dxa"/>
          </w:tcPr>
          <w:p>
            <w:pPr>
              <w:pStyle w:val="TableParagraph"/>
              <w:spacing w:line="249" w:lineRule="exact"/>
              <w:ind w:left="524"/>
              <w:jc w:val="left"/>
              <w:rPr>
                <w:sz w:val="22"/>
              </w:rPr>
            </w:pPr>
            <w:r>
              <w:rPr>
                <w:sz w:val="22"/>
              </w:rPr>
              <w:t>1.678</w:t>
            </w:r>
            <w:r>
              <w:rPr>
                <w:spacing w:val="-2"/>
                <w:sz w:val="22"/>
              </w:rPr>
              <w:t> (.190)</w:t>
            </w:r>
          </w:p>
        </w:tc>
      </w:tr>
      <w:tr>
        <w:trPr>
          <w:trHeight w:val="500" w:hRule="atLeast"/>
        </w:trPr>
        <w:tc>
          <w:tcPr>
            <w:tcW w:w="1784" w:type="dxa"/>
          </w:tcPr>
          <w:p>
            <w:pPr>
              <w:pStyle w:val="TableParagraph"/>
              <w:spacing w:before="83"/>
              <w:ind w:left="83" w:right="55"/>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G2</w:t>
            </w:r>
          </w:p>
        </w:tc>
        <w:tc>
          <w:tcPr>
            <w:tcW w:w="2132" w:type="dxa"/>
          </w:tcPr>
          <w:p>
            <w:pPr>
              <w:pStyle w:val="TableParagraph"/>
              <w:spacing w:before="147"/>
              <w:ind w:left="20"/>
              <w:rPr>
                <w:sz w:val="22"/>
              </w:rPr>
            </w:pPr>
            <w:r>
              <w:rPr>
                <w:spacing w:val="-2"/>
                <w:sz w:val="22"/>
              </w:rPr>
              <w:t>0.001*</w:t>
            </w:r>
          </w:p>
        </w:tc>
        <w:tc>
          <w:tcPr>
            <w:tcW w:w="2333" w:type="dxa"/>
          </w:tcPr>
          <w:p>
            <w:pPr>
              <w:pStyle w:val="TableParagraph"/>
              <w:spacing w:before="147"/>
              <w:ind w:left="4" w:right="15"/>
              <w:rPr>
                <w:sz w:val="22"/>
              </w:rPr>
            </w:pPr>
            <w:r>
              <w:rPr>
                <w:spacing w:val="-2"/>
                <w:sz w:val="22"/>
              </w:rPr>
              <w:t>0.931</w:t>
            </w:r>
          </w:p>
        </w:tc>
        <w:tc>
          <w:tcPr>
            <w:tcW w:w="2149" w:type="dxa"/>
          </w:tcPr>
          <w:p>
            <w:pPr>
              <w:pStyle w:val="TableParagraph"/>
              <w:spacing w:before="147"/>
              <w:ind w:right="10"/>
              <w:rPr>
                <w:sz w:val="22"/>
              </w:rPr>
            </w:pPr>
            <w:r>
              <w:rPr>
                <w:spacing w:val="-2"/>
                <w:sz w:val="22"/>
              </w:rPr>
              <w:t>0.998</w:t>
            </w:r>
          </w:p>
        </w:tc>
      </w:tr>
      <w:tr>
        <w:trPr>
          <w:trHeight w:val="474" w:hRule="atLeast"/>
        </w:trPr>
        <w:tc>
          <w:tcPr>
            <w:tcW w:w="1784" w:type="dxa"/>
          </w:tcPr>
          <w:p>
            <w:pPr>
              <w:pStyle w:val="TableParagraph"/>
              <w:spacing w:before="56"/>
              <w:ind w:left="83" w:right="55"/>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2132" w:type="dxa"/>
          </w:tcPr>
          <w:p>
            <w:pPr>
              <w:pStyle w:val="TableParagraph"/>
              <w:spacing w:before="120"/>
              <w:ind w:left="20"/>
              <w:rPr>
                <w:sz w:val="22"/>
              </w:rPr>
            </w:pPr>
            <w:r>
              <w:rPr>
                <w:spacing w:val="-2"/>
                <w:sz w:val="22"/>
              </w:rPr>
              <w:t>0.261</w:t>
            </w:r>
          </w:p>
        </w:tc>
        <w:tc>
          <w:tcPr>
            <w:tcW w:w="2333" w:type="dxa"/>
          </w:tcPr>
          <w:p>
            <w:pPr>
              <w:pStyle w:val="TableParagraph"/>
              <w:spacing w:before="120"/>
              <w:ind w:left="4" w:right="15"/>
              <w:rPr>
                <w:sz w:val="22"/>
              </w:rPr>
            </w:pPr>
            <w:r>
              <w:rPr>
                <w:spacing w:val="-2"/>
                <w:sz w:val="22"/>
              </w:rPr>
              <w:t>0.730</w:t>
            </w:r>
          </w:p>
        </w:tc>
        <w:tc>
          <w:tcPr>
            <w:tcW w:w="2149" w:type="dxa"/>
          </w:tcPr>
          <w:p>
            <w:pPr>
              <w:pStyle w:val="TableParagraph"/>
              <w:spacing w:before="120"/>
              <w:ind w:right="10"/>
              <w:rPr>
                <w:sz w:val="22"/>
              </w:rPr>
            </w:pPr>
            <w:r>
              <w:rPr>
                <w:spacing w:val="-2"/>
                <w:sz w:val="22"/>
              </w:rPr>
              <w:t>0.136</w:t>
            </w:r>
          </w:p>
        </w:tc>
      </w:tr>
      <w:tr>
        <w:trPr>
          <w:trHeight w:val="534" w:hRule="atLeast"/>
        </w:trPr>
        <w:tc>
          <w:tcPr>
            <w:tcW w:w="1784" w:type="dxa"/>
            <w:tcBorders>
              <w:bottom w:val="single" w:sz="8" w:space="0" w:color="000000"/>
            </w:tcBorders>
          </w:tcPr>
          <w:p>
            <w:pPr>
              <w:pStyle w:val="TableParagraph"/>
              <w:spacing w:before="57"/>
              <w:ind w:left="83" w:right="55"/>
              <w:rPr>
                <w:rFonts w:ascii="Calibri"/>
                <w:b/>
                <w:sz w:val="22"/>
              </w:rPr>
            </w:pPr>
            <w:r>
              <w:rPr>
                <w:rFonts w:ascii="Calibri"/>
                <w:b/>
                <w:sz w:val="22"/>
              </w:rPr>
              <w:t>G2</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2132" w:type="dxa"/>
            <w:tcBorders>
              <w:bottom w:val="single" w:sz="8" w:space="0" w:color="000000"/>
            </w:tcBorders>
          </w:tcPr>
          <w:p>
            <w:pPr>
              <w:pStyle w:val="TableParagraph"/>
              <w:spacing w:before="121"/>
              <w:ind w:left="20"/>
              <w:rPr>
                <w:sz w:val="22"/>
              </w:rPr>
            </w:pPr>
            <w:r>
              <w:rPr>
                <w:spacing w:val="-2"/>
                <w:sz w:val="22"/>
              </w:rPr>
              <w:t>0.001*</w:t>
            </w:r>
          </w:p>
        </w:tc>
        <w:tc>
          <w:tcPr>
            <w:tcW w:w="2333" w:type="dxa"/>
            <w:tcBorders>
              <w:bottom w:val="single" w:sz="8" w:space="0" w:color="000000"/>
            </w:tcBorders>
          </w:tcPr>
          <w:p>
            <w:pPr>
              <w:pStyle w:val="TableParagraph"/>
              <w:spacing w:before="121"/>
              <w:ind w:left="4" w:right="15"/>
              <w:rPr>
                <w:sz w:val="22"/>
              </w:rPr>
            </w:pPr>
            <w:r>
              <w:rPr>
                <w:spacing w:val="-2"/>
                <w:sz w:val="22"/>
              </w:rPr>
              <w:t>0.853</w:t>
            </w:r>
          </w:p>
        </w:tc>
        <w:tc>
          <w:tcPr>
            <w:tcW w:w="2149" w:type="dxa"/>
            <w:tcBorders>
              <w:bottom w:val="single" w:sz="8" w:space="0" w:color="000000"/>
            </w:tcBorders>
          </w:tcPr>
          <w:p>
            <w:pPr>
              <w:pStyle w:val="TableParagraph"/>
              <w:spacing w:before="121"/>
              <w:ind w:left="1" w:right="10"/>
              <w:rPr>
                <w:sz w:val="22"/>
              </w:rPr>
            </w:pPr>
            <w:r>
              <w:rPr>
                <w:spacing w:val="-2"/>
                <w:sz w:val="22"/>
              </w:rPr>
              <w:t>0.034*</w:t>
            </w:r>
          </w:p>
        </w:tc>
      </w:tr>
    </w:tbl>
    <w:p>
      <w:pPr>
        <w:spacing w:line="228" w:lineRule="exact" w:before="162"/>
        <w:ind w:left="560" w:right="0" w:firstLine="0"/>
        <w:jc w:val="left"/>
        <w:rPr>
          <w:b/>
          <w:sz w:val="20"/>
        </w:rPr>
      </w:pPr>
      <w:r>
        <w:rPr>
          <w:b/>
          <w:spacing w:val="-5"/>
          <w:sz w:val="20"/>
        </w:rPr>
        <w:t>KEY</w:t>
      </w:r>
    </w:p>
    <w:p>
      <w:pPr>
        <w:spacing w:line="227" w:lineRule="exact" w:before="0"/>
        <w:ind w:left="560" w:right="0" w:firstLine="0"/>
        <w:jc w:val="both"/>
        <w:rPr>
          <w:sz w:val="20"/>
        </w:rPr>
      </w:pPr>
      <w:r>
        <w:rPr>
          <w:sz w:val="20"/>
        </w:rPr>
        <w:t>α-level</w:t>
      </w:r>
      <w:r>
        <w:rPr>
          <w:spacing w:val="-3"/>
          <w:sz w:val="20"/>
        </w:rPr>
        <w:t> </w:t>
      </w:r>
      <w:r>
        <w:rPr>
          <w:sz w:val="20"/>
        </w:rPr>
        <w:t>set</w:t>
      </w:r>
      <w:r>
        <w:rPr>
          <w:spacing w:val="-4"/>
          <w:sz w:val="20"/>
        </w:rPr>
        <w:t> </w:t>
      </w:r>
      <w:r>
        <w:rPr>
          <w:sz w:val="20"/>
        </w:rPr>
        <w:t>at</w:t>
      </w:r>
      <w:r>
        <w:rPr>
          <w:spacing w:val="-5"/>
          <w:sz w:val="20"/>
        </w:rPr>
        <w:t> </w:t>
      </w:r>
      <w:r>
        <w:rPr>
          <w:spacing w:val="-2"/>
          <w:sz w:val="20"/>
        </w:rPr>
        <w:t>p&lt;0.05</w:t>
      </w:r>
    </w:p>
    <w:p>
      <w:pPr>
        <w:spacing w:before="0"/>
        <w:ind w:left="560" w:right="5113" w:firstLine="0"/>
        <w:jc w:val="both"/>
        <w:rPr>
          <w:sz w:val="20"/>
        </w:rPr>
      </w:pPr>
      <w:r>
        <w:rPr>
          <w:sz w:val="20"/>
        </w:rPr>
        <w:t>G1 =</w:t>
      </w:r>
      <w:r>
        <w:rPr>
          <w:spacing w:val="-1"/>
          <w:sz w:val="20"/>
        </w:rPr>
        <w:t> </w:t>
      </w:r>
      <w:r>
        <w:rPr>
          <w:sz w:val="20"/>
        </w:rPr>
        <w:t>1</w:t>
      </w:r>
      <w:r>
        <w:rPr>
          <w:sz w:val="20"/>
          <w:vertAlign w:val="superscript"/>
        </w:rPr>
        <w:t>ST</w:t>
      </w:r>
      <w:r>
        <w:rPr>
          <w:spacing w:val="-1"/>
          <w:sz w:val="20"/>
          <w:vertAlign w:val="baseline"/>
        </w:rPr>
        <w:t> </w:t>
      </w:r>
      <w:r>
        <w:rPr>
          <w:sz w:val="20"/>
          <w:vertAlign w:val="baseline"/>
        </w:rPr>
        <w:t>TRIMESTER</w:t>
      </w:r>
      <w:r>
        <w:rPr>
          <w:spacing w:val="-2"/>
          <w:sz w:val="20"/>
          <w:vertAlign w:val="baseline"/>
        </w:rPr>
        <w:t> </w:t>
      </w:r>
      <w:r>
        <w:rPr>
          <w:sz w:val="20"/>
          <w:vertAlign w:val="baseline"/>
        </w:rPr>
        <w:t>Malaria</w:t>
      </w:r>
      <w:r>
        <w:rPr>
          <w:spacing w:val="-1"/>
          <w:sz w:val="20"/>
          <w:vertAlign w:val="baseline"/>
        </w:rPr>
        <w:t> </w:t>
      </w:r>
      <w:r>
        <w:rPr>
          <w:sz w:val="20"/>
          <w:vertAlign w:val="baseline"/>
        </w:rPr>
        <w:t>infected pregnant</w:t>
      </w:r>
      <w:r>
        <w:rPr>
          <w:spacing w:val="-2"/>
          <w:sz w:val="20"/>
          <w:vertAlign w:val="baseline"/>
        </w:rPr>
        <w:t> </w:t>
      </w:r>
      <w:r>
        <w:rPr>
          <w:sz w:val="20"/>
          <w:vertAlign w:val="baseline"/>
        </w:rPr>
        <w:t>subjects G2</w:t>
      </w:r>
      <w:r>
        <w:rPr>
          <w:spacing w:val="-5"/>
          <w:sz w:val="20"/>
          <w:vertAlign w:val="baseline"/>
        </w:rPr>
        <w:t> </w:t>
      </w:r>
      <w:r>
        <w:rPr>
          <w:sz w:val="20"/>
          <w:vertAlign w:val="baseline"/>
        </w:rPr>
        <w:t>=</w:t>
      </w:r>
      <w:r>
        <w:rPr>
          <w:spacing w:val="-6"/>
          <w:sz w:val="20"/>
          <w:vertAlign w:val="baseline"/>
        </w:rPr>
        <w:t> </w:t>
      </w:r>
      <w:r>
        <w:rPr>
          <w:sz w:val="20"/>
          <w:vertAlign w:val="baseline"/>
        </w:rPr>
        <w:t>2</w:t>
      </w:r>
      <w:r>
        <w:rPr>
          <w:sz w:val="20"/>
          <w:vertAlign w:val="superscript"/>
        </w:rPr>
        <w:t>ND</w:t>
      </w:r>
      <w:r>
        <w:rPr>
          <w:spacing w:val="-6"/>
          <w:sz w:val="20"/>
          <w:vertAlign w:val="baseline"/>
        </w:rPr>
        <w:t> </w:t>
      </w:r>
      <w:r>
        <w:rPr>
          <w:sz w:val="20"/>
          <w:vertAlign w:val="baseline"/>
        </w:rPr>
        <w:t>TRIMESTER</w:t>
      </w:r>
      <w:r>
        <w:rPr>
          <w:spacing w:val="-7"/>
          <w:sz w:val="20"/>
          <w:vertAlign w:val="baseline"/>
        </w:rPr>
        <w:t> </w:t>
      </w:r>
      <w:r>
        <w:rPr>
          <w:sz w:val="20"/>
          <w:vertAlign w:val="baseline"/>
        </w:rPr>
        <w:t>Malaria</w:t>
      </w:r>
      <w:r>
        <w:rPr>
          <w:spacing w:val="-6"/>
          <w:sz w:val="20"/>
          <w:vertAlign w:val="baseline"/>
        </w:rPr>
        <w:t> </w:t>
      </w:r>
      <w:r>
        <w:rPr>
          <w:sz w:val="20"/>
          <w:vertAlign w:val="baseline"/>
        </w:rPr>
        <w:t>infected</w:t>
      </w:r>
      <w:r>
        <w:rPr>
          <w:spacing w:val="-5"/>
          <w:sz w:val="20"/>
          <w:vertAlign w:val="baseline"/>
        </w:rPr>
        <w:t> </w:t>
      </w:r>
      <w:r>
        <w:rPr>
          <w:sz w:val="20"/>
          <w:vertAlign w:val="baseline"/>
        </w:rPr>
        <w:t>pregnant</w:t>
      </w:r>
      <w:r>
        <w:rPr>
          <w:spacing w:val="-7"/>
          <w:sz w:val="20"/>
          <w:vertAlign w:val="baseline"/>
        </w:rPr>
        <w:t> </w:t>
      </w:r>
      <w:r>
        <w:rPr>
          <w:sz w:val="20"/>
          <w:vertAlign w:val="baseline"/>
        </w:rPr>
        <w:t>subjects G3</w:t>
      </w:r>
      <w:r>
        <w:rPr>
          <w:spacing w:val="-4"/>
          <w:sz w:val="20"/>
          <w:vertAlign w:val="baseline"/>
        </w:rPr>
        <w:t> </w:t>
      </w:r>
      <w:r>
        <w:rPr>
          <w:sz w:val="20"/>
          <w:vertAlign w:val="baseline"/>
        </w:rPr>
        <w:t>=</w:t>
      </w:r>
      <w:r>
        <w:rPr>
          <w:spacing w:val="-5"/>
          <w:sz w:val="20"/>
          <w:vertAlign w:val="baseline"/>
        </w:rPr>
        <w:t> </w:t>
      </w:r>
      <w:r>
        <w:rPr>
          <w:sz w:val="20"/>
          <w:vertAlign w:val="baseline"/>
        </w:rPr>
        <w:t>3</w:t>
      </w:r>
      <w:r>
        <w:rPr>
          <w:sz w:val="20"/>
          <w:vertAlign w:val="superscript"/>
        </w:rPr>
        <w:t>RD</w:t>
      </w:r>
      <w:r>
        <w:rPr>
          <w:spacing w:val="-5"/>
          <w:sz w:val="20"/>
          <w:vertAlign w:val="baseline"/>
        </w:rPr>
        <w:t> </w:t>
      </w:r>
      <w:r>
        <w:rPr>
          <w:sz w:val="20"/>
          <w:vertAlign w:val="baseline"/>
        </w:rPr>
        <w:t>TRIMESTER</w:t>
      </w:r>
      <w:r>
        <w:rPr>
          <w:spacing w:val="-6"/>
          <w:sz w:val="20"/>
          <w:vertAlign w:val="baseline"/>
        </w:rPr>
        <w:t> </w:t>
      </w:r>
      <w:r>
        <w:rPr>
          <w:sz w:val="20"/>
          <w:vertAlign w:val="baseline"/>
        </w:rPr>
        <w:t>Malaria</w:t>
      </w:r>
      <w:r>
        <w:rPr>
          <w:spacing w:val="-5"/>
          <w:sz w:val="20"/>
          <w:vertAlign w:val="baseline"/>
        </w:rPr>
        <w:t> </w:t>
      </w:r>
      <w:r>
        <w:rPr>
          <w:sz w:val="20"/>
          <w:vertAlign w:val="baseline"/>
        </w:rPr>
        <w:t>infected</w:t>
      </w:r>
      <w:r>
        <w:rPr>
          <w:spacing w:val="-4"/>
          <w:sz w:val="20"/>
          <w:vertAlign w:val="baseline"/>
        </w:rPr>
        <w:t> </w:t>
      </w:r>
      <w:r>
        <w:rPr>
          <w:sz w:val="20"/>
          <w:vertAlign w:val="baseline"/>
        </w:rPr>
        <w:t>pregnant</w:t>
      </w:r>
      <w:r>
        <w:rPr>
          <w:spacing w:val="-6"/>
          <w:sz w:val="20"/>
          <w:vertAlign w:val="baseline"/>
        </w:rPr>
        <w:t> </w:t>
      </w:r>
      <w:r>
        <w:rPr>
          <w:sz w:val="20"/>
          <w:vertAlign w:val="baseline"/>
        </w:rPr>
        <w:t>subjects HB = Haemoglobin Concentration</w:t>
      </w:r>
    </w:p>
    <w:p>
      <w:pPr>
        <w:spacing w:before="1"/>
        <w:ind w:left="560" w:right="0" w:firstLine="0"/>
        <w:jc w:val="both"/>
        <w:rPr>
          <w:sz w:val="20"/>
        </w:rPr>
      </w:pPr>
      <w:r>
        <w:rPr>
          <w:sz w:val="20"/>
        </w:rPr>
        <w:t>SF</w:t>
      </w:r>
      <w:r>
        <w:rPr>
          <w:spacing w:val="-4"/>
          <w:sz w:val="20"/>
        </w:rPr>
        <w:t> </w:t>
      </w:r>
      <w:r>
        <w:rPr>
          <w:sz w:val="20"/>
        </w:rPr>
        <w:t>=</w:t>
      </w:r>
      <w:r>
        <w:rPr>
          <w:spacing w:val="-3"/>
          <w:sz w:val="20"/>
        </w:rPr>
        <w:t> </w:t>
      </w:r>
      <w:r>
        <w:rPr>
          <w:sz w:val="20"/>
        </w:rPr>
        <w:t>Serum</w:t>
      </w:r>
      <w:r>
        <w:rPr>
          <w:spacing w:val="-4"/>
          <w:sz w:val="20"/>
        </w:rPr>
        <w:t> </w:t>
      </w:r>
      <w:r>
        <w:rPr>
          <w:spacing w:val="-2"/>
          <w:sz w:val="20"/>
        </w:rPr>
        <w:t>Ferritin</w:t>
      </w:r>
    </w:p>
    <w:p>
      <w:pPr>
        <w:spacing w:before="0"/>
        <w:ind w:left="560" w:right="0" w:firstLine="0"/>
        <w:jc w:val="both"/>
        <w:rPr>
          <w:sz w:val="20"/>
        </w:rPr>
      </w:pPr>
      <w:r>
        <w:rPr>
          <w:sz w:val="20"/>
        </w:rPr>
        <w:t>STfRA</w:t>
      </w:r>
      <w:r>
        <w:rPr>
          <w:spacing w:val="-5"/>
          <w:sz w:val="20"/>
        </w:rPr>
        <w:t> </w:t>
      </w:r>
      <w:r>
        <w:rPr>
          <w:sz w:val="20"/>
        </w:rPr>
        <w:t>=</w:t>
      </w:r>
      <w:r>
        <w:rPr>
          <w:spacing w:val="-5"/>
          <w:sz w:val="20"/>
        </w:rPr>
        <w:t> </w:t>
      </w:r>
      <w:r>
        <w:rPr>
          <w:sz w:val="20"/>
        </w:rPr>
        <w:t>Serum</w:t>
      </w:r>
      <w:r>
        <w:rPr>
          <w:spacing w:val="-7"/>
          <w:sz w:val="20"/>
        </w:rPr>
        <w:t> </w:t>
      </w:r>
      <w:r>
        <w:rPr>
          <w:sz w:val="20"/>
        </w:rPr>
        <w:t>Transferrin</w:t>
      </w:r>
      <w:r>
        <w:rPr>
          <w:spacing w:val="-6"/>
          <w:sz w:val="20"/>
        </w:rPr>
        <w:t> </w:t>
      </w:r>
      <w:r>
        <w:rPr>
          <w:sz w:val="20"/>
        </w:rPr>
        <w:t>Receptor</w:t>
      </w:r>
      <w:r>
        <w:rPr>
          <w:spacing w:val="-5"/>
          <w:sz w:val="20"/>
        </w:rPr>
        <w:t> </w:t>
      </w:r>
      <w:r>
        <w:rPr>
          <w:spacing w:val="-4"/>
          <w:sz w:val="20"/>
        </w:rPr>
        <w:t>Assay</w:t>
      </w:r>
    </w:p>
    <w:p>
      <w:pPr>
        <w:spacing w:after="0"/>
        <w:jc w:val="both"/>
        <w:rPr>
          <w:sz w:val="20"/>
        </w:rPr>
        <w:sectPr>
          <w:pgSz w:w="11910" w:h="16840"/>
          <w:pgMar w:header="0" w:footer="1067" w:top="1100" w:bottom="1260" w:left="880" w:right="640"/>
        </w:sectPr>
      </w:pPr>
    </w:p>
    <w:p>
      <w:pPr>
        <w:pStyle w:val="BodyText"/>
        <w:spacing w:before="70"/>
        <w:ind w:left="560"/>
        <w:jc w:val="both"/>
      </w:pPr>
      <w:r>
        <w:rPr/>
        <w:t>Table</w:t>
      </w:r>
      <w:r>
        <w:rPr>
          <w:spacing w:val="-4"/>
        </w:rPr>
        <w:t> </w:t>
      </w:r>
      <w:r>
        <w:rPr/>
        <w:t>4.16Effect of</w:t>
      </w:r>
      <w:r>
        <w:rPr>
          <w:spacing w:val="-1"/>
        </w:rPr>
        <w:t> </w:t>
      </w:r>
      <w:r>
        <w:rPr/>
        <w:t>gravidity</w:t>
      </w:r>
      <w:r>
        <w:rPr>
          <w:spacing w:val="-5"/>
        </w:rPr>
        <w:t> </w:t>
      </w:r>
      <w:r>
        <w:rPr/>
        <w:t>on iron</w:t>
      </w:r>
      <w:r>
        <w:rPr>
          <w:spacing w:val="-1"/>
        </w:rPr>
        <w:t> </w:t>
      </w:r>
      <w:r>
        <w:rPr/>
        <w:t>status of malaria</w:t>
      </w:r>
      <w:r>
        <w:rPr>
          <w:spacing w:val="-2"/>
        </w:rPr>
        <w:t> </w:t>
      </w:r>
      <w:r>
        <w:rPr/>
        <w:t>infected pregnant</w:t>
      </w:r>
      <w:r>
        <w:rPr>
          <w:spacing w:val="3"/>
        </w:rPr>
        <w:t> </w:t>
      </w:r>
      <w:r>
        <w:rPr>
          <w:spacing w:val="-2"/>
        </w:rPr>
        <w:t>women.</w:t>
      </w:r>
    </w:p>
    <w:p>
      <w:pPr>
        <w:pStyle w:val="BodyText"/>
      </w:pPr>
    </w:p>
    <w:p>
      <w:pPr>
        <w:pStyle w:val="BodyText"/>
        <w:spacing w:line="480" w:lineRule="auto"/>
        <w:ind w:left="560" w:right="798" w:firstLine="60"/>
        <w:jc w:val="both"/>
      </w:pPr>
      <w:r>
        <w:rPr/>
        <w:t>Group 1 represented primigravidae women while groups 2 and 3 represented</w:t>
      </w:r>
      <w:r>
        <w:rPr>
          <w:spacing w:val="40"/>
        </w:rPr>
        <w:t> </w:t>
      </w:r>
      <w:r>
        <w:rPr/>
        <w:t>secondigravidae and multigravidae women respectively.</w:t>
      </w:r>
    </w:p>
    <w:p>
      <w:pPr>
        <w:pStyle w:val="BodyText"/>
        <w:spacing w:line="480" w:lineRule="auto" w:before="3"/>
        <w:ind w:left="560" w:right="798"/>
        <w:jc w:val="both"/>
      </w:pPr>
      <w:r>
        <w:rPr/>
        <w:t>For Hb, the mean</w:t>
      </w:r>
      <w:r>
        <w:rPr>
          <w:rFonts w:ascii="Symbol" w:hAnsi="Symbol"/>
        </w:rPr>
        <w:t></w:t>
      </w:r>
      <w:r>
        <w:rPr/>
        <w:t>SD (103.78</w:t>
      </w:r>
      <w:r>
        <w:rPr>
          <w:rFonts w:ascii="Symbol" w:hAnsi="Symbol"/>
        </w:rPr>
        <w:t></w:t>
      </w:r>
      <w:r>
        <w:rPr/>
        <w:t>12.13)for primigravidae women was higher and showed no significant difference(P&gt;0.05) with 102.09</w:t>
      </w:r>
      <w:r>
        <w:rPr>
          <w:rFonts w:ascii="Symbol" w:hAnsi="Symbol"/>
        </w:rPr>
        <w:t></w:t>
      </w:r>
      <w:r>
        <w:rPr/>
        <w:t>11.17 and 101.44</w:t>
      </w:r>
      <w:r>
        <w:rPr>
          <w:rFonts w:ascii="Symbol" w:hAnsi="Symbol"/>
        </w:rPr>
        <w:t></w:t>
      </w:r>
      <w:r>
        <w:rPr/>
        <w:t>9.84 for secondigravidae and multigravidae subjects respectively. Again the mean</w:t>
      </w:r>
      <w:r>
        <w:rPr>
          <w:rFonts w:ascii="Symbol" w:hAnsi="Symbol"/>
        </w:rPr>
        <w:t></w:t>
      </w:r>
      <w:r>
        <w:rPr/>
        <w:t>SD values ofHb for secondigravidae showed no significant difference (P&gt;0.05) withthe values obtainedfor multigravidae.</w:t>
      </w:r>
    </w:p>
    <w:p>
      <w:pPr>
        <w:pStyle w:val="BodyText"/>
        <w:spacing w:line="480" w:lineRule="auto"/>
        <w:ind w:left="560" w:right="798"/>
        <w:jc w:val="both"/>
      </w:pPr>
      <w:r>
        <w:rPr/>
        <w:t>As for sTfR the mean</w:t>
      </w:r>
      <w:r>
        <w:rPr>
          <w:rFonts w:ascii="Symbol" w:hAnsi="Symbol"/>
        </w:rPr>
        <w:t></w:t>
      </w:r>
      <w:r>
        <w:rPr/>
        <w:t>SD (62.35</w:t>
      </w:r>
      <w:r>
        <w:rPr>
          <w:rFonts w:ascii="Symbol" w:hAnsi="Symbol"/>
        </w:rPr>
        <w:t></w:t>
      </w:r>
      <w:r>
        <w:rPr/>
        <w:t>18.75)for primigravidae subjects showed no significance (P&gt;0.05) difference with 63.32</w:t>
      </w:r>
      <w:r>
        <w:rPr>
          <w:rFonts w:ascii="Symbol" w:hAnsi="Symbol"/>
        </w:rPr>
        <w:t></w:t>
      </w:r>
      <w:r>
        <w:rPr/>
        <w:t>22.86 and 62.84</w:t>
      </w:r>
      <w:r>
        <w:rPr>
          <w:rFonts w:ascii="Symbol" w:hAnsi="Symbol"/>
        </w:rPr>
        <w:t></w:t>
      </w:r>
      <w:r>
        <w:rPr/>
        <w:t>24.27 for secondigravidae and multigravidae subjects respectively. Also values ofmean</w:t>
      </w:r>
      <w:r>
        <w:rPr>
          <w:rFonts w:ascii="Symbol" w:hAnsi="Symbol"/>
        </w:rPr>
        <w:t></w:t>
      </w:r>
      <w:r>
        <w:rPr/>
        <w:t>SDof sTfR for secondigravidae showed no significant difference (P&gt;0.05) with that for multigravidae subjects</w:t>
      </w:r>
    </w:p>
    <w:p>
      <w:pPr>
        <w:pStyle w:val="BodyText"/>
        <w:spacing w:line="480" w:lineRule="auto"/>
        <w:ind w:left="560" w:right="796"/>
        <w:jc w:val="both"/>
      </w:pPr>
      <w:r>
        <w:rPr/>
        <w:t>The values of mean</w:t>
      </w:r>
      <w:r>
        <w:rPr>
          <w:rFonts w:ascii="Symbol" w:hAnsi="Symbol"/>
        </w:rPr>
        <w:t></w:t>
      </w:r>
      <w:r>
        <w:rPr/>
        <w:t>SD (47.98</w:t>
      </w:r>
      <w:r>
        <w:rPr>
          <w:rFonts w:ascii="Symbol" w:hAnsi="Symbol"/>
        </w:rPr>
        <w:t></w:t>
      </w:r>
      <w:r>
        <w:rPr/>
        <w:t>106.73) of SFblood level for primigravidae showed no significant difference(P&gt;0.05) with 25.92</w:t>
      </w:r>
      <w:r>
        <w:rPr>
          <w:rFonts w:ascii="Symbol" w:hAnsi="Symbol"/>
        </w:rPr>
        <w:t></w:t>
      </w:r>
      <w:r>
        <w:rPr/>
        <w:t>18.66 and 50.03</w:t>
      </w:r>
      <w:r>
        <w:rPr>
          <w:rFonts w:ascii="Symbol" w:hAnsi="Symbol"/>
        </w:rPr>
        <w:t></w:t>
      </w:r>
      <w:r>
        <w:rPr/>
        <w:t>86.87 for secondigravidae and multigravidae respectively. Moreover, mean</w:t>
      </w:r>
      <w:r>
        <w:rPr>
          <w:rFonts w:ascii="Symbol" w:hAnsi="Symbol"/>
        </w:rPr>
        <w:t></w:t>
      </w:r>
      <w:r>
        <w:rPr/>
        <w:t>SD for secondigravidae showed no significant difference (P&gt;0.05) when compared with that for multigravidae.</w:t>
      </w:r>
    </w:p>
    <w:p>
      <w:pPr>
        <w:pStyle w:val="BodyText"/>
        <w:spacing w:line="274" w:lineRule="exact"/>
        <w:ind w:left="560"/>
        <w:jc w:val="both"/>
      </w:pPr>
      <w:r>
        <w:rPr/>
        <w:t>(See</w:t>
      </w:r>
      <w:r>
        <w:rPr>
          <w:spacing w:val="-3"/>
        </w:rPr>
        <w:t> </w:t>
      </w:r>
      <w:r>
        <w:rPr/>
        <w:t>appendix</w:t>
      </w:r>
      <w:r>
        <w:rPr>
          <w:spacing w:val="4"/>
        </w:rPr>
        <w:t> </w:t>
      </w:r>
      <w:r>
        <w:rPr>
          <w:spacing w:val="-2"/>
        </w:rPr>
        <w:t>IIIe).</w:t>
      </w:r>
    </w:p>
    <w:p>
      <w:pPr>
        <w:pStyle w:val="BodyText"/>
      </w:pPr>
    </w:p>
    <w:p>
      <w:pPr>
        <w:pStyle w:val="BodyText"/>
        <w:spacing w:line="480" w:lineRule="auto"/>
        <w:ind w:left="560" w:right="1348"/>
        <w:jc w:val="both"/>
      </w:pPr>
      <w:r>
        <w:rPr/>
        <w:t>Table</w:t>
      </w:r>
      <w:r>
        <w:rPr>
          <w:spacing w:val="-4"/>
        </w:rPr>
        <w:t> </w:t>
      </w:r>
      <w:r>
        <w:rPr/>
        <w:t>4.17Comparison</w:t>
      </w:r>
      <w:r>
        <w:rPr>
          <w:spacing w:val="-3"/>
        </w:rPr>
        <w:t> </w:t>
      </w:r>
      <w:r>
        <w:rPr/>
        <w:t>of</w:t>
      </w:r>
      <w:r>
        <w:rPr>
          <w:spacing w:val="-4"/>
        </w:rPr>
        <w:t> </w:t>
      </w:r>
      <w:r>
        <w:rPr/>
        <w:t>cytokines</w:t>
      </w:r>
      <w:r>
        <w:rPr>
          <w:spacing w:val="-4"/>
        </w:rPr>
        <w:t> </w:t>
      </w:r>
      <w:r>
        <w:rPr/>
        <w:t>and</w:t>
      </w:r>
      <w:r>
        <w:rPr>
          <w:spacing w:val="-5"/>
        </w:rPr>
        <w:t> </w:t>
      </w:r>
      <w:r>
        <w:rPr/>
        <w:t>serum</w:t>
      </w:r>
      <w:r>
        <w:rPr>
          <w:spacing w:val="-4"/>
        </w:rPr>
        <w:t> </w:t>
      </w:r>
      <w:r>
        <w:rPr/>
        <w:t>iron</w:t>
      </w:r>
      <w:r>
        <w:rPr>
          <w:spacing w:val="-4"/>
        </w:rPr>
        <w:t> </w:t>
      </w:r>
      <w:r>
        <w:rPr/>
        <w:t>of</w:t>
      </w:r>
      <w:r>
        <w:rPr>
          <w:spacing w:val="-5"/>
        </w:rPr>
        <w:t> </w:t>
      </w:r>
      <w:r>
        <w:rPr/>
        <w:t>malaria</w:t>
      </w:r>
      <w:r>
        <w:rPr>
          <w:spacing w:val="-5"/>
        </w:rPr>
        <w:t> </w:t>
      </w:r>
      <w:r>
        <w:rPr/>
        <w:t>infected</w:t>
      </w:r>
      <w:r>
        <w:rPr>
          <w:spacing w:val="-4"/>
        </w:rPr>
        <w:t> </w:t>
      </w:r>
      <w:r>
        <w:rPr/>
        <w:t>pregnant</w:t>
      </w:r>
      <w:r>
        <w:rPr>
          <w:spacing w:val="-2"/>
        </w:rPr>
        <w:t> </w:t>
      </w:r>
      <w:r>
        <w:rPr/>
        <w:t>women based on normal and elevatedC-RPlevels as a marker of inflammation.</w:t>
      </w:r>
    </w:p>
    <w:p>
      <w:pPr>
        <w:pStyle w:val="BodyText"/>
        <w:spacing w:line="480" w:lineRule="auto" w:before="3"/>
        <w:ind w:left="560" w:right="791"/>
        <w:jc w:val="both"/>
      </w:pPr>
      <w:r>
        <w:rPr/>
        <w:t>The mean</w:t>
      </w:r>
      <w:r>
        <w:rPr>
          <w:rFonts w:ascii="Symbol" w:hAnsi="Symbol"/>
        </w:rPr>
        <w:t></w:t>
      </w:r>
      <w:r>
        <w:rPr/>
        <w:t>SD (24.33</w:t>
      </w:r>
      <w:r>
        <w:rPr>
          <w:rFonts w:ascii="Symbol" w:hAnsi="Symbol"/>
        </w:rPr>
        <w:t></w:t>
      </w:r>
      <w:r>
        <w:rPr/>
        <w:t>14.93) values ofIFNγ for subjects with elevated C-RPwas higher than 22.70</w:t>
      </w:r>
      <w:r>
        <w:rPr>
          <w:rFonts w:ascii="Symbol" w:hAnsi="Symbol"/>
        </w:rPr>
        <w:t></w:t>
      </w:r>
      <w:r>
        <w:rPr/>
        <w:t>12.35 for those with normal C-RP but values were not statistically significant.The mean</w:t>
      </w:r>
      <w:r>
        <w:rPr>
          <w:rFonts w:ascii="Symbol" w:hAnsi="Symbol"/>
        </w:rPr>
        <w:t></w:t>
      </w:r>
      <w:r>
        <w:rPr/>
        <w:t>SD (21.27</w:t>
      </w:r>
      <w:r>
        <w:rPr>
          <w:rFonts w:ascii="Symbol" w:hAnsi="Symbol"/>
        </w:rPr>
        <w:t></w:t>
      </w:r>
      <w:r>
        <w:rPr/>
        <w:t>12.66)values of TNF</w:t>
      </w:r>
      <w:r>
        <w:rPr>
          <w:rFonts w:ascii="Symbol" w:hAnsi="Symbol"/>
        </w:rPr>
        <w:t></w:t>
      </w:r>
      <w:r>
        <w:rPr/>
        <w:t>for subjects with normal C-RP was not significantly higher (P&gt;0.05) than 20.27</w:t>
      </w:r>
      <w:r>
        <w:rPr>
          <w:rFonts w:ascii="Symbol" w:hAnsi="Symbol"/>
        </w:rPr>
        <w:t></w:t>
      </w:r>
      <w:r>
        <w:rPr/>
        <w:t>12.27 for those with elevated C-RP.Also, the mean</w:t>
      </w:r>
      <w:r>
        <w:rPr>
          <w:rFonts w:ascii="Symbol" w:hAnsi="Symbol"/>
        </w:rPr>
        <w:t></w:t>
      </w:r>
      <w:r>
        <w:rPr/>
        <w:t>SD (10.59</w:t>
      </w:r>
      <w:r>
        <w:rPr>
          <w:rFonts w:ascii="Symbol" w:hAnsi="Symbol"/>
        </w:rPr>
        <w:t></w:t>
      </w:r>
      <w:r>
        <w:rPr/>
        <w:t>8.61)values</w:t>
      </w:r>
      <w:r>
        <w:rPr>
          <w:spacing w:val="-3"/>
        </w:rPr>
        <w:t> </w:t>
      </w:r>
      <w:r>
        <w:rPr/>
        <w:t>of IL-4for</w:t>
      </w:r>
      <w:r>
        <w:rPr>
          <w:spacing w:val="-5"/>
        </w:rPr>
        <w:t> </w:t>
      </w:r>
      <w:r>
        <w:rPr/>
        <w:t>those</w:t>
      </w:r>
      <w:r>
        <w:rPr>
          <w:spacing w:val="-3"/>
        </w:rPr>
        <w:t> </w:t>
      </w:r>
      <w:r>
        <w:rPr/>
        <w:t>with</w:t>
      </w:r>
      <w:r>
        <w:rPr>
          <w:spacing w:val="-3"/>
        </w:rPr>
        <w:t> </w:t>
      </w:r>
      <w:r>
        <w:rPr/>
        <w:t>elevated</w:t>
      </w:r>
      <w:r>
        <w:rPr>
          <w:spacing w:val="-2"/>
        </w:rPr>
        <w:t> </w:t>
      </w:r>
      <w:r>
        <w:rPr/>
        <w:t>C-RPwas</w:t>
      </w:r>
      <w:r>
        <w:rPr>
          <w:spacing w:val="-3"/>
        </w:rPr>
        <w:t> </w:t>
      </w:r>
      <w:r>
        <w:rPr/>
        <w:t>higher</w:t>
      </w:r>
      <w:r>
        <w:rPr>
          <w:spacing w:val="-3"/>
        </w:rPr>
        <w:t> </w:t>
      </w:r>
      <w:r>
        <w:rPr/>
        <w:t>than</w:t>
      </w:r>
      <w:r>
        <w:rPr>
          <w:spacing w:val="-3"/>
        </w:rPr>
        <w:t> </w:t>
      </w:r>
      <w:r>
        <w:rPr/>
        <w:t>9.51</w:t>
      </w:r>
      <w:r>
        <w:rPr>
          <w:rFonts w:ascii="Symbol" w:hAnsi="Symbol"/>
        </w:rPr>
        <w:t></w:t>
      </w:r>
      <w:r>
        <w:rPr/>
        <w:t>6.78</w:t>
      </w:r>
      <w:r>
        <w:rPr>
          <w:spacing w:val="-3"/>
        </w:rPr>
        <w:t> </w:t>
      </w:r>
      <w:r>
        <w:rPr/>
        <w:t>for</w:t>
      </w:r>
      <w:r>
        <w:rPr>
          <w:spacing w:val="-4"/>
        </w:rPr>
        <w:t> </w:t>
      </w:r>
      <w:r>
        <w:rPr/>
        <w:t>normal C-RP but values were statistically not significant.</w:t>
      </w:r>
    </w:p>
    <w:p>
      <w:pPr>
        <w:spacing w:after="0" w:line="480" w:lineRule="auto"/>
        <w:jc w:val="both"/>
        <w:sectPr>
          <w:pgSz w:w="11910" w:h="16840"/>
          <w:pgMar w:header="0" w:footer="1067" w:top="1060" w:bottom="1260" w:left="880" w:right="640"/>
        </w:sectPr>
      </w:pPr>
    </w:p>
    <w:p>
      <w:pPr>
        <w:pStyle w:val="BodyText"/>
        <w:spacing w:line="480" w:lineRule="auto" w:before="72"/>
        <w:ind w:left="560" w:right="791"/>
        <w:jc w:val="both"/>
      </w:pPr>
      <w:r>
        <w:rPr/>
        <w:t>For IL-6,the mean</w:t>
      </w:r>
      <w:r>
        <w:rPr>
          <w:rFonts w:ascii="Symbol" w:hAnsi="Symbol"/>
        </w:rPr>
        <w:t></w:t>
      </w:r>
      <w:r>
        <w:rPr/>
        <w:t>SD (65.37</w:t>
      </w:r>
      <w:r>
        <w:rPr>
          <w:rFonts w:ascii="Symbol" w:hAnsi="Symbol"/>
        </w:rPr>
        <w:t></w:t>
      </w:r>
      <w:r>
        <w:rPr/>
        <w:t>42.26) for subjects with elevated C-RPwas significantly</w:t>
      </w:r>
      <w:r>
        <w:rPr>
          <w:spacing w:val="40"/>
        </w:rPr>
        <w:t> </w:t>
      </w:r>
      <w:r>
        <w:rPr/>
        <w:t>higher (P&lt;0.05) than 26.43</w:t>
      </w:r>
      <w:r>
        <w:rPr>
          <w:rFonts w:ascii="Symbol" w:hAnsi="Symbol"/>
        </w:rPr>
        <w:t></w:t>
      </w:r>
      <w:r>
        <w:rPr/>
        <w:t>19.96 for normal C-RP.The same applies for IL-10 where mean</w:t>
      </w:r>
      <w:r>
        <w:rPr>
          <w:rFonts w:ascii="Symbol" w:hAnsi="Symbol"/>
        </w:rPr>
        <w:t></w:t>
      </w:r>
      <w:r>
        <w:rPr/>
        <w:t>SD (47.23</w:t>
      </w:r>
      <w:r>
        <w:rPr>
          <w:rFonts w:ascii="Symbol" w:hAnsi="Symbol"/>
        </w:rPr>
        <w:t></w:t>
      </w:r>
      <w:r>
        <w:rPr/>
        <w:t>35.60) values for those with elevated C-RP was significantly higher (P&lt;0.05)when compared with 33.13</w:t>
      </w:r>
      <w:r>
        <w:rPr>
          <w:rFonts w:ascii="Symbol" w:hAnsi="Symbol"/>
        </w:rPr>
        <w:t></w:t>
      </w:r>
      <w:r>
        <w:rPr/>
        <w:t>27.14 for subjects with normal C-RP. Also, the mean</w:t>
      </w:r>
      <w:r>
        <w:rPr>
          <w:rFonts w:ascii="Symbol" w:hAnsi="Symbol"/>
        </w:rPr>
        <w:t></w:t>
      </w:r>
      <w:r>
        <w:rPr/>
        <w:t>SD</w:t>
      </w:r>
      <w:r>
        <w:rPr>
          <w:spacing w:val="-1"/>
        </w:rPr>
        <w:t> </w:t>
      </w:r>
      <w:r>
        <w:rPr/>
        <w:t>(116.18</w:t>
      </w:r>
      <w:r>
        <w:rPr>
          <w:rFonts w:ascii="Symbol" w:hAnsi="Symbol"/>
        </w:rPr>
        <w:t></w:t>
      </w:r>
      <w:r>
        <w:rPr/>
        <w:t>201.46)of</w:t>
      </w:r>
      <w:r>
        <w:rPr>
          <w:spacing w:val="-2"/>
        </w:rPr>
        <w:t> </w:t>
      </w:r>
      <w:r>
        <w:rPr/>
        <w:t>serum</w:t>
      </w:r>
      <w:r>
        <w:rPr>
          <w:spacing w:val="-2"/>
        </w:rPr>
        <w:t> </w:t>
      </w:r>
      <w:r>
        <w:rPr/>
        <w:t>ferritin</w:t>
      </w:r>
      <w:r>
        <w:rPr>
          <w:spacing w:val="-1"/>
        </w:rPr>
        <w:t> </w:t>
      </w:r>
      <w:r>
        <w:rPr/>
        <w:t>for</w:t>
      </w:r>
      <w:r>
        <w:rPr>
          <w:spacing w:val="-3"/>
        </w:rPr>
        <w:t> </w:t>
      </w:r>
      <w:r>
        <w:rPr/>
        <w:t>subjects</w:t>
      </w:r>
      <w:r>
        <w:rPr>
          <w:spacing w:val="-1"/>
        </w:rPr>
        <w:t> </w:t>
      </w:r>
      <w:r>
        <w:rPr/>
        <w:t>with</w:t>
      </w:r>
      <w:r>
        <w:rPr>
          <w:spacing w:val="-1"/>
        </w:rPr>
        <w:t> </w:t>
      </w:r>
      <w:r>
        <w:rPr/>
        <w:t>elevated</w:t>
      </w:r>
      <w:r>
        <w:rPr>
          <w:spacing w:val="-2"/>
        </w:rPr>
        <w:t> </w:t>
      </w:r>
      <w:r>
        <w:rPr/>
        <w:t>C-RP</w:t>
      </w:r>
      <w:r>
        <w:rPr>
          <w:spacing w:val="-1"/>
        </w:rPr>
        <w:t> </w:t>
      </w:r>
      <w:r>
        <w:rPr/>
        <w:t>was</w:t>
      </w:r>
      <w:r>
        <w:rPr>
          <w:spacing w:val="-1"/>
        </w:rPr>
        <w:t> </w:t>
      </w:r>
      <w:r>
        <w:rPr/>
        <w:t>significantly higher (P&lt;0.05) than 31.22</w:t>
      </w:r>
      <w:r>
        <w:rPr>
          <w:rFonts w:ascii="Symbol" w:hAnsi="Symbol"/>
        </w:rPr>
        <w:t></w:t>
      </w:r>
      <w:r>
        <w:rPr/>
        <w:t>27.41 for those with normal C-RP.</w:t>
      </w:r>
    </w:p>
    <w:p>
      <w:pPr>
        <w:pStyle w:val="BodyText"/>
        <w:spacing w:line="480" w:lineRule="auto" w:before="1"/>
        <w:ind w:left="560" w:right="798"/>
        <w:jc w:val="both"/>
      </w:pPr>
      <w:r>
        <w:rPr/>
        <w:t>With sTfR, the mean</w:t>
      </w:r>
      <w:r>
        <w:rPr>
          <w:rFonts w:ascii="Symbol" w:hAnsi="Symbol"/>
        </w:rPr>
        <w:t></w:t>
      </w:r>
      <w:r>
        <w:rPr/>
        <w:t>SD (63.45</w:t>
      </w:r>
      <w:r>
        <w:rPr>
          <w:rFonts w:ascii="Symbol" w:hAnsi="Symbol"/>
        </w:rPr>
        <w:t></w:t>
      </w:r>
      <w:r>
        <w:rPr/>
        <w:t>22.23)for subjects with normal C-RP was higher but showed no significant difference (P&gt;0.05) when compared with 58.84</w:t>
      </w:r>
      <w:r>
        <w:rPr>
          <w:rFonts w:ascii="Symbol" w:hAnsi="Symbol"/>
        </w:rPr>
        <w:t></w:t>
      </w:r>
      <w:r>
        <w:rPr/>
        <w:t>20.42 for those with normal C-RP.</w:t>
      </w:r>
    </w:p>
    <w:p>
      <w:pPr>
        <w:spacing w:after="0" w:line="480" w:lineRule="auto"/>
        <w:jc w:val="both"/>
        <w:sectPr>
          <w:pgSz w:w="11910" w:h="16840"/>
          <w:pgMar w:header="0" w:footer="1067" w:top="1060" w:bottom="1260" w:left="880" w:right="640"/>
        </w:sectPr>
      </w:pPr>
    </w:p>
    <w:p>
      <w:pPr>
        <w:pStyle w:val="Heading2"/>
        <w:spacing w:before="38"/>
        <w:ind w:right="1438"/>
        <w:jc w:val="both"/>
        <w:rPr>
          <w:rFonts w:ascii="Calibri"/>
        </w:rPr>
      </w:pPr>
      <w:r>
        <w:rPr>
          <w:rFonts w:ascii="Calibri"/>
        </w:rPr>
        <w:t>TABLE 4.17: COMPARISON OF CYTOKINES AND</w:t>
      </w:r>
      <w:r>
        <w:rPr>
          <w:rFonts w:ascii="Calibri"/>
          <w:spacing w:val="-3"/>
        </w:rPr>
        <w:t> </w:t>
      </w:r>
      <w:r>
        <w:rPr>
          <w:rFonts w:ascii="Calibri"/>
        </w:rPr>
        <w:t>SERUM IRON OF MALARIA INFECTED PREGNANT</w:t>
      </w:r>
      <w:r>
        <w:rPr>
          <w:rFonts w:ascii="Calibri"/>
          <w:spacing w:val="-5"/>
        </w:rPr>
        <w:t> </w:t>
      </w:r>
      <w:r>
        <w:rPr>
          <w:rFonts w:ascii="Calibri"/>
        </w:rPr>
        <w:t>WOMEN</w:t>
      </w:r>
      <w:r>
        <w:rPr>
          <w:rFonts w:ascii="Calibri"/>
          <w:spacing w:val="-5"/>
        </w:rPr>
        <w:t> </w:t>
      </w:r>
      <w:r>
        <w:rPr>
          <w:rFonts w:ascii="Calibri"/>
        </w:rPr>
        <w:t>BASED</w:t>
      </w:r>
      <w:r>
        <w:rPr>
          <w:rFonts w:ascii="Calibri"/>
          <w:spacing w:val="-4"/>
        </w:rPr>
        <w:t> </w:t>
      </w:r>
      <w:r>
        <w:rPr>
          <w:rFonts w:ascii="Calibri"/>
        </w:rPr>
        <w:t>ON</w:t>
      </w:r>
      <w:r>
        <w:rPr>
          <w:rFonts w:ascii="Calibri"/>
          <w:spacing w:val="-3"/>
        </w:rPr>
        <w:t> </w:t>
      </w:r>
      <w:r>
        <w:rPr>
          <w:rFonts w:ascii="Calibri"/>
        </w:rPr>
        <w:t>NORMAL</w:t>
      </w:r>
      <w:r>
        <w:rPr>
          <w:rFonts w:ascii="Calibri"/>
          <w:spacing w:val="-4"/>
        </w:rPr>
        <w:t> </w:t>
      </w:r>
      <w:r>
        <w:rPr>
          <w:rFonts w:ascii="Calibri"/>
        </w:rPr>
        <w:t>AND</w:t>
      </w:r>
      <w:r>
        <w:rPr>
          <w:rFonts w:ascii="Calibri"/>
          <w:spacing w:val="-6"/>
        </w:rPr>
        <w:t> </w:t>
      </w:r>
      <w:r>
        <w:rPr>
          <w:rFonts w:ascii="Calibri"/>
        </w:rPr>
        <w:t>ELEVATEDC-RPLEVELS</w:t>
      </w:r>
      <w:r>
        <w:rPr>
          <w:rFonts w:ascii="Calibri"/>
          <w:spacing w:val="-4"/>
        </w:rPr>
        <w:t> </w:t>
      </w:r>
      <w:r>
        <w:rPr>
          <w:rFonts w:ascii="Calibri"/>
        </w:rPr>
        <w:t>AS</w:t>
      </w:r>
      <w:r>
        <w:rPr>
          <w:rFonts w:ascii="Calibri"/>
          <w:spacing w:val="-7"/>
        </w:rPr>
        <w:t> </w:t>
      </w:r>
      <w:r>
        <w:rPr>
          <w:rFonts w:ascii="Calibri"/>
        </w:rPr>
        <w:t>MARKER</w:t>
      </w:r>
      <w:r>
        <w:rPr>
          <w:rFonts w:ascii="Calibri"/>
          <w:spacing w:val="-4"/>
        </w:rPr>
        <w:t> </w:t>
      </w:r>
      <w:r>
        <w:rPr>
          <w:rFonts w:ascii="Calibri"/>
        </w:rPr>
        <w:t>OF </w:t>
      </w:r>
      <w:r>
        <w:rPr>
          <w:rFonts w:ascii="Calibri"/>
          <w:spacing w:val="-2"/>
        </w:rPr>
        <w:t>INFLAMMATION</w:t>
      </w:r>
    </w:p>
    <w:p>
      <w:pPr>
        <w:pStyle w:val="BodyText"/>
        <w:spacing w:before="166"/>
        <w:rPr>
          <w:rFonts w:ascii="Calibri"/>
          <w:b/>
          <w:sz w:val="20"/>
        </w:rPr>
      </w:pPr>
    </w:p>
    <w:tbl>
      <w:tblPr>
        <w:tblW w:w="0" w:type="auto"/>
        <w:jc w:val="lef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0"/>
        <w:gridCol w:w="2376"/>
        <w:gridCol w:w="2559"/>
        <w:gridCol w:w="1752"/>
      </w:tblGrid>
      <w:tr>
        <w:trPr>
          <w:trHeight w:val="879" w:hRule="atLeast"/>
        </w:trPr>
        <w:tc>
          <w:tcPr>
            <w:tcW w:w="2560" w:type="dxa"/>
            <w:tcBorders>
              <w:top w:val="single" w:sz="8" w:space="0" w:color="000000"/>
              <w:bottom w:val="single" w:sz="8" w:space="0" w:color="000000"/>
            </w:tcBorders>
          </w:tcPr>
          <w:p>
            <w:pPr>
              <w:pStyle w:val="TableParagraph"/>
              <w:spacing w:before="1"/>
              <w:ind w:left="3" w:right="5"/>
              <w:rPr>
                <w:rFonts w:ascii="Calibri"/>
                <w:b/>
                <w:sz w:val="24"/>
              </w:rPr>
            </w:pPr>
            <w:r>
              <w:rPr>
                <w:rFonts w:ascii="Calibri"/>
                <w:b/>
                <w:spacing w:val="-2"/>
                <w:sz w:val="24"/>
              </w:rPr>
              <w:t>Parameters</w:t>
            </w:r>
          </w:p>
        </w:tc>
        <w:tc>
          <w:tcPr>
            <w:tcW w:w="2376" w:type="dxa"/>
            <w:tcBorders>
              <w:top w:val="single" w:sz="8" w:space="0" w:color="000000"/>
              <w:bottom w:val="single" w:sz="8" w:space="0" w:color="000000"/>
            </w:tcBorders>
          </w:tcPr>
          <w:p>
            <w:pPr>
              <w:pStyle w:val="TableParagraph"/>
              <w:spacing w:line="290" w:lineRule="atLeast"/>
              <w:ind w:left="347" w:right="311"/>
              <w:rPr>
                <w:rFonts w:ascii="Calibri"/>
                <w:b/>
                <w:sz w:val="24"/>
              </w:rPr>
            </w:pPr>
            <w:r>
              <w:rPr>
                <w:rFonts w:ascii="Calibri"/>
                <w:b/>
                <w:sz w:val="24"/>
              </w:rPr>
              <w:t>Normal</w:t>
            </w:r>
            <w:r>
              <w:rPr>
                <w:rFonts w:ascii="Calibri"/>
                <w:b/>
                <w:spacing w:val="-14"/>
                <w:sz w:val="24"/>
              </w:rPr>
              <w:t> </w:t>
            </w:r>
            <w:r>
              <w:rPr>
                <w:rFonts w:ascii="Calibri"/>
                <w:b/>
                <w:sz w:val="24"/>
              </w:rPr>
              <w:t>C-RP </w:t>
            </w:r>
            <w:r>
              <w:rPr>
                <w:rFonts w:ascii="Calibri"/>
                <w:b/>
                <w:spacing w:val="-2"/>
                <w:sz w:val="24"/>
              </w:rPr>
              <w:t>(&lt;10mg/L) (n=123)</w:t>
            </w:r>
          </w:p>
        </w:tc>
        <w:tc>
          <w:tcPr>
            <w:tcW w:w="2559" w:type="dxa"/>
            <w:tcBorders>
              <w:top w:val="single" w:sz="8" w:space="0" w:color="000000"/>
              <w:bottom w:val="single" w:sz="8" w:space="0" w:color="000000"/>
            </w:tcBorders>
          </w:tcPr>
          <w:p>
            <w:pPr>
              <w:pStyle w:val="TableParagraph"/>
              <w:spacing w:line="290" w:lineRule="atLeast"/>
              <w:ind w:left="493" w:right="467"/>
              <w:rPr>
                <w:rFonts w:ascii="Calibri"/>
                <w:b/>
                <w:sz w:val="24"/>
              </w:rPr>
            </w:pPr>
            <w:r>
              <w:rPr>
                <w:rFonts w:ascii="Calibri"/>
                <w:b/>
                <w:sz w:val="24"/>
              </w:rPr>
              <w:t>Elevated</w:t>
            </w:r>
            <w:r>
              <w:rPr>
                <w:rFonts w:ascii="Calibri"/>
                <w:b/>
                <w:spacing w:val="-14"/>
                <w:sz w:val="24"/>
              </w:rPr>
              <w:t> </w:t>
            </w:r>
            <w:r>
              <w:rPr>
                <w:rFonts w:ascii="Calibri"/>
                <w:b/>
                <w:sz w:val="24"/>
              </w:rPr>
              <w:t>C-RP </w:t>
            </w:r>
            <w:r>
              <w:rPr>
                <w:rFonts w:ascii="Calibri"/>
                <w:b/>
                <w:spacing w:val="-2"/>
                <w:sz w:val="24"/>
              </w:rPr>
              <w:t>(&gt;10mg/L) (n=21)</w:t>
            </w:r>
          </w:p>
        </w:tc>
        <w:tc>
          <w:tcPr>
            <w:tcW w:w="1752" w:type="dxa"/>
            <w:tcBorders>
              <w:top w:val="single" w:sz="8" w:space="0" w:color="000000"/>
              <w:bottom w:val="single" w:sz="8" w:space="0" w:color="000000"/>
            </w:tcBorders>
          </w:tcPr>
          <w:p>
            <w:pPr>
              <w:pStyle w:val="TableParagraph"/>
              <w:spacing w:before="1"/>
              <w:ind w:left="20" w:right="27"/>
              <w:rPr>
                <w:rFonts w:ascii="Calibri"/>
                <w:b/>
                <w:sz w:val="24"/>
              </w:rPr>
            </w:pPr>
            <w:r>
              <w:rPr>
                <w:rFonts w:ascii="Calibri"/>
                <w:b/>
                <w:spacing w:val="-2"/>
                <w:sz w:val="24"/>
              </w:rPr>
              <w:t>P-Values</w:t>
            </w:r>
          </w:p>
        </w:tc>
      </w:tr>
      <w:tr>
        <w:trPr>
          <w:trHeight w:val="388" w:hRule="atLeast"/>
        </w:trPr>
        <w:tc>
          <w:tcPr>
            <w:tcW w:w="2560" w:type="dxa"/>
            <w:tcBorders>
              <w:top w:val="single" w:sz="8" w:space="0" w:color="000000"/>
            </w:tcBorders>
          </w:tcPr>
          <w:p>
            <w:pPr>
              <w:pStyle w:val="TableParagraph"/>
              <w:spacing w:line="292" w:lineRule="exact"/>
              <w:ind w:left="3" w:right="3"/>
              <w:rPr>
                <w:rFonts w:ascii="Calibri" w:hAnsi="Calibri"/>
                <w:b/>
                <w:sz w:val="24"/>
              </w:rPr>
            </w:pPr>
            <w:r>
              <w:rPr>
                <w:rFonts w:ascii="Calibri" w:hAnsi="Calibri"/>
                <w:b/>
                <w:sz w:val="24"/>
              </w:rPr>
              <w:t>IFNγ</w:t>
            </w:r>
            <w:r>
              <w:rPr>
                <w:rFonts w:ascii="Calibri" w:hAnsi="Calibri"/>
                <w:b/>
                <w:spacing w:val="1"/>
                <w:sz w:val="24"/>
              </w:rPr>
              <w:t> </w:t>
            </w:r>
            <w:r>
              <w:rPr>
                <w:rFonts w:ascii="Calibri" w:hAnsi="Calibri"/>
                <w:b/>
                <w:spacing w:val="-2"/>
                <w:sz w:val="24"/>
              </w:rPr>
              <w:t>(pg/ml)</w:t>
            </w:r>
          </w:p>
        </w:tc>
        <w:tc>
          <w:tcPr>
            <w:tcW w:w="2376" w:type="dxa"/>
            <w:tcBorders>
              <w:top w:val="single" w:sz="8" w:space="0" w:color="000000"/>
            </w:tcBorders>
          </w:tcPr>
          <w:p>
            <w:pPr>
              <w:pStyle w:val="TableParagraph"/>
              <w:spacing w:line="292" w:lineRule="exact"/>
              <w:ind w:left="505"/>
              <w:jc w:val="left"/>
              <w:rPr>
                <w:rFonts w:ascii="Calibri" w:hAnsi="Calibri"/>
                <w:sz w:val="24"/>
              </w:rPr>
            </w:pPr>
            <w:r>
              <w:rPr>
                <w:rFonts w:ascii="Calibri" w:hAnsi="Calibri"/>
                <w:sz w:val="24"/>
              </w:rPr>
              <w:t>22.70</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12.35</w:t>
            </w:r>
            <w:r>
              <w:rPr>
                <w:rFonts w:ascii="Calibri" w:hAnsi="Calibri"/>
                <w:spacing w:val="-2"/>
                <w:sz w:val="24"/>
                <w:vertAlign w:val="superscript"/>
              </w:rPr>
              <w:t>a</w:t>
            </w:r>
          </w:p>
        </w:tc>
        <w:tc>
          <w:tcPr>
            <w:tcW w:w="2559" w:type="dxa"/>
            <w:tcBorders>
              <w:top w:val="single" w:sz="8" w:space="0" w:color="000000"/>
            </w:tcBorders>
          </w:tcPr>
          <w:p>
            <w:pPr>
              <w:pStyle w:val="TableParagraph"/>
              <w:spacing w:before="25"/>
              <w:ind w:left="592"/>
              <w:jc w:val="left"/>
              <w:rPr>
                <w:rFonts w:ascii="Calibri" w:hAnsi="Calibri"/>
                <w:sz w:val="24"/>
              </w:rPr>
            </w:pPr>
            <w:r>
              <w:rPr>
                <w:rFonts w:ascii="Calibri" w:hAnsi="Calibri"/>
                <w:sz w:val="24"/>
              </w:rPr>
              <w:t>24.33</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14.93</w:t>
            </w:r>
            <w:r>
              <w:rPr>
                <w:rFonts w:ascii="Calibri" w:hAnsi="Calibri"/>
                <w:spacing w:val="-2"/>
                <w:sz w:val="24"/>
                <w:vertAlign w:val="superscript"/>
              </w:rPr>
              <w:t>a</w:t>
            </w:r>
          </w:p>
        </w:tc>
        <w:tc>
          <w:tcPr>
            <w:tcW w:w="1752" w:type="dxa"/>
            <w:tcBorders>
              <w:top w:val="single" w:sz="8" w:space="0" w:color="000000"/>
            </w:tcBorders>
          </w:tcPr>
          <w:p>
            <w:pPr>
              <w:pStyle w:val="TableParagraph"/>
              <w:spacing w:before="25"/>
              <w:ind w:left="24" w:right="27"/>
              <w:rPr>
                <w:rFonts w:ascii="Calibri"/>
                <w:sz w:val="24"/>
              </w:rPr>
            </w:pPr>
            <w:r>
              <w:rPr>
                <w:rFonts w:ascii="Calibri"/>
                <w:spacing w:val="-2"/>
                <w:sz w:val="24"/>
              </w:rPr>
              <w:t>0.590</w:t>
            </w:r>
          </w:p>
        </w:tc>
      </w:tr>
      <w:tr>
        <w:trPr>
          <w:trHeight w:val="451" w:hRule="atLeast"/>
        </w:trPr>
        <w:tc>
          <w:tcPr>
            <w:tcW w:w="2560" w:type="dxa"/>
          </w:tcPr>
          <w:p>
            <w:pPr>
              <w:pStyle w:val="TableParagraph"/>
              <w:spacing w:before="76"/>
              <w:ind w:left="3" w:right="4"/>
              <w:rPr>
                <w:rFonts w:ascii="Calibri" w:hAnsi="Calibri"/>
                <w:b/>
                <w:sz w:val="24"/>
              </w:rPr>
            </w:pPr>
            <w:r>
              <w:rPr>
                <w:rFonts w:ascii="Calibri" w:hAnsi="Calibri"/>
                <w:b/>
                <w:sz w:val="24"/>
              </w:rPr>
              <w:t>TNF</w:t>
            </w:r>
            <w:r>
              <w:rPr>
                <w:rFonts w:ascii="Calibri" w:hAnsi="Calibri"/>
                <w:b/>
                <w:spacing w:val="-1"/>
                <w:sz w:val="24"/>
              </w:rPr>
              <w:t> </w:t>
            </w:r>
            <w:r>
              <w:rPr>
                <w:rFonts w:ascii="Calibri" w:hAnsi="Calibri"/>
                <w:b/>
                <w:sz w:val="24"/>
              </w:rPr>
              <w:t>α </w:t>
            </w:r>
            <w:r>
              <w:rPr>
                <w:rFonts w:ascii="Calibri" w:hAnsi="Calibri"/>
                <w:b/>
                <w:spacing w:val="-2"/>
                <w:sz w:val="24"/>
              </w:rPr>
              <w:t>(pg/ml)</w:t>
            </w:r>
          </w:p>
        </w:tc>
        <w:tc>
          <w:tcPr>
            <w:tcW w:w="2376" w:type="dxa"/>
          </w:tcPr>
          <w:p>
            <w:pPr>
              <w:pStyle w:val="TableParagraph"/>
              <w:spacing w:before="76"/>
              <w:ind w:left="505"/>
              <w:jc w:val="left"/>
              <w:rPr>
                <w:rFonts w:ascii="Calibri" w:hAnsi="Calibri"/>
                <w:sz w:val="24"/>
              </w:rPr>
            </w:pPr>
            <w:r>
              <w:rPr>
                <w:rFonts w:ascii="Calibri" w:hAnsi="Calibri"/>
                <w:sz w:val="24"/>
              </w:rPr>
              <w:t>21.27</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12.66</w:t>
            </w:r>
            <w:r>
              <w:rPr>
                <w:rFonts w:ascii="Calibri" w:hAnsi="Calibri"/>
                <w:spacing w:val="-2"/>
                <w:sz w:val="24"/>
                <w:vertAlign w:val="superscript"/>
              </w:rPr>
              <w:t>a</w:t>
            </w:r>
          </w:p>
        </w:tc>
        <w:tc>
          <w:tcPr>
            <w:tcW w:w="2559" w:type="dxa"/>
          </w:tcPr>
          <w:p>
            <w:pPr>
              <w:pStyle w:val="TableParagraph"/>
              <w:spacing w:before="76"/>
              <w:ind w:left="592"/>
              <w:jc w:val="left"/>
              <w:rPr>
                <w:rFonts w:ascii="Calibri" w:hAnsi="Calibri"/>
                <w:sz w:val="24"/>
              </w:rPr>
            </w:pPr>
            <w:r>
              <w:rPr>
                <w:rFonts w:ascii="Calibri" w:hAnsi="Calibri"/>
                <w:sz w:val="24"/>
              </w:rPr>
              <w:t>20.27</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12.27</w:t>
            </w:r>
            <w:r>
              <w:rPr>
                <w:rFonts w:ascii="Calibri" w:hAnsi="Calibri"/>
                <w:spacing w:val="-2"/>
                <w:sz w:val="24"/>
                <w:vertAlign w:val="superscript"/>
              </w:rPr>
              <w:t>a</w:t>
            </w:r>
          </w:p>
        </w:tc>
        <w:tc>
          <w:tcPr>
            <w:tcW w:w="1752" w:type="dxa"/>
          </w:tcPr>
          <w:p>
            <w:pPr>
              <w:pStyle w:val="TableParagraph"/>
              <w:spacing w:before="76"/>
              <w:ind w:left="24" w:right="27"/>
              <w:rPr>
                <w:rFonts w:ascii="Calibri"/>
                <w:sz w:val="24"/>
              </w:rPr>
            </w:pPr>
            <w:r>
              <w:rPr>
                <w:rFonts w:ascii="Calibri"/>
                <w:spacing w:val="-2"/>
                <w:sz w:val="24"/>
              </w:rPr>
              <w:t>0.737</w:t>
            </w:r>
          </w:p>
        </w:tc>
      </w:tr>
      <w:tr>
        <w:trPr>
          <w:trHeight w:val="463" w:hRule="atLeast"/>
        </w:trPr>
        <w:tc>
          <w:tcPr>
            <w:tcW w:w="2560" w:type="dxa"/>
          </w:tcPr>
          <w:p>
            <w:pPr>
              <w:pStyle w:val="TableParagraph"/>
              <w:spacing w:before="88"/>
              <w:ind w:left="5" w:right="2"/>
              <w:rPr>
                <w:rFonts w:ascii="Calibri"/>
                <w:b/>
                <w:sz w:val="24"/>
              </w:rPr>
            </w:pPr>
            <w:r>
              <w:rPr>
                <w:rFonts w:ascii="Calibri"/>
                <w:b/>
                <w:sz w:val="24"/>
              </w:rPr>
              <w:t>IL-4 </w:t>
            </w:r>
            <w:r>
              <w:rPr>
                <w:rFonts w:ascii="Calibri"/>
                <w:b/>
                <w:spacing w:val="-2"/>
                <w:sz w:val="24"/>
              </w:rPr>
              <w:t>(pg/ml)</w:t>
            </w:r>
          </w:p>
        </w:tc>
        <w:tc>
          <w:tcPr>
            <w:tcW w:w="2376" w:type="dxa"/>
          </w:tcPr>
          <w:p>
            <w:pPr>
              <w:pStyle w:val="TableParagraph"/>
              <w:spacing w:before="88"/>
              <w:ind w:left="625"/>
              <w:jc w:val="left"/>
              <w:rPr>
                <w:rFonts w:ascii="Calibri" w:hAnsi="Calibri"/>
                <w:sz w:val="24"/>
              </w:rPr>
            </w:pPr>
            <w:r>
              <w:rPr>
                <w:rFonts w:ascii="Calibri" w:hAnsi="Calibri"/>
                <w:sz w:val="24"/>
              </w:rPr>
              <w:t>9.51</w:t>
            </w:r>
            <w:r>
              <w:rPr>
                <w:rFonts w:ascii="Calibri" w:hAnsi="Calibri"/>
                <w:spacing w:val="1"/>
                <w:sz w:val="24"/>
              </w:rPr>
              <w:t> </w:t>
            </w:r>
            <w:r>
              <w:rPr>
                <w:rFonts w:ascii="Calibri" w:hAnsi="Calibri"/>
                <w:sz w:val="24"/>
              </w:rPr>
              <w:t>±</w:t>
            </w:r>
            <w:r>
              <w:rPr>
                <w:rFonts w:ascii="Calibri" w:hAnsi="Calibri"/>
                <w:spacing w:val="-2"/>
                <w:sz w:val="24"/>
              </w:rPr>
              <w:t> 6.78</w:t>
            </w:r>
            <w:r>
              <w:rPr>
                <w:rFonts w:ascii="Calibri" w:hAnsi="Calibri"/>
                <w:spacing w:val="-2"/>
                <w:sz w:val="24"/>
                <w:vertAlign w:val="superscript"/>
              </w:rPr>
              <w:t>a</w:t>
            </w:r>
          </w:p>
        </w:tc>
        <w:tc>
          <w:tcPr>
            <w:tcW w:w="2559" w:type="dxa"/>
          </w:tcPr>
          <w:p>
            <w:pPr>
              <w:pStyle w:val="TableParagraph"/>
              <w:spacing w:before="88"/>
              <w:ind w:left="654"/>
              <w:jc w:val="left"/>
              <w:rPr>
                <w:rFonts w:ascii="Calibri" w:hAnsi="Calibri"/>
                <w:sz w:val="24"/>
              </w:rPr>
            </w:pPr>
            <w:r>
              <w:rPr>
                <w:rFonts w:ascii="Calibri" w:hAnsi="Calibri"/>
                <w:sz w:val="24"/>
              </w:rPr>
              <w:t>10.59</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pacing w:val="-2"/>
                <w:sz w:val="24"/>
              </w:rPr>
              <w:t>8.61</w:t>
            </w:r>
            <w:r>
              <w:rPr>
                <w:rFonts w:ascii="Calibri" w:hAnsi="Calibri"/>
                <w:spacing w:val="-2"/>
                <w:sz w:val="24"/>
                <w:vertAlign w:val="superscript"/>
              </w:rPr>
              <w:t>a</w:t>
            </w:r>
          </w:p>
        </w:tc>
        <w:tc>
          <w:tcPr>
            <w:tcW w:w="1752" w:type="dxa"/>
          </w:tcPr>
          <w:p>
            <w:pPr>
              <w:pStyle w:val="TableParagraph"/>
              <w:spacing w:before="88"/>
              <w:ind w:left="24" w:right="27"/>
              <w:rPr>
                <w:rFonts w:ascii="Calibri"/>
                <w:sz w:val="24"/>
              </w:rPr>
            </w:pPr>
            <w:r>
              <w:rPr>
                <w:rFonts w:ascii="Calibri"/>
                <w:spacing w:val="-2"/>
                <w:sz w:val="24"/>
              </w:rPr>
              <w:t>0.517</w:t>
            </w:r>
          </w:p>
        </w:tc>
      </w:tr>
      <w:tr>
        <w:trPr>
          <w:trHeight w:val="479" w:hRule="atLeast"/>
        </w:trPr>
        <w:tc>
          <w:tcPr>
            <w:tcW w:w="2560" w:type="dxa"/>
          </w:tcPr>
          <w:p>
            <w:pPr>
              <w:pStyle w:val="TableParagraph"/>
              <w:spacing w:before="89"/>
              <w:ind w:left="5" w:right="2"/>
              <w:rPr>
                <w:rFonts w:ascii="Calibri"/>
                <w:b/>
                <w:sz w:val="24"/>
              </w:rPr>
            </w:pPr>
            <w:r>
              <w:rPr>
                <w:rFonts w:ascii="Calibri"/>
                <w:b/>
                <w:sz w:val="24"/>
              </w:rPr>
              <w:t>IL-6 </w:t>
            </w:r>
            <w:r>
              <w:rPr>
                <w:rFonts w:ascii="Calibri"/>
                <w:b/>
                <w:spacing w:val="-2"/>
                <w:sz w:val="24"/>
              </w:rPr>
              <w:t>(pg/ml)</w:t>
            </w:r>
          </w:p>
        </w:tc>
        <w:tc>
          <w:tcPr>
            <w:tcW w:w="2376" w:type="dxa"/>
          </w:tcPr>
          <w:p>
            <w:pPr>
              <w:pStyle w:val="TableParagraph"/>
              <w:spacing w:before="89"/>
              <w:ind w:left="505"/>
              <w:jc w:val="left"/>
              <w:rPr>
                <w:rFonts w:ascii="Calibri" w:hAnsi="Calibri"/>
                <w:sz w:val="24"/>
              </w:rPr>
            </w:pPr>
            <w:r>
              <w:rPr>
                <w:rFonts w:ascii="Calibri" w:hAnsi="Calibri"/>
                <w:sz w:val="24"/>
              </w:rPr>
              <w:t>26.43</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19.96</w:t>
            </w:r>
            <w:r>
              <w:rPr>
                <w:rFonts w:ascii="Calibri" w:hAnsi="Calibri"/>
                <w:spacing w:val="-2"/>
                <w:sz w:val="24"/>
                <w:vertAlign w:val="superscript"/>
              </w:rPr>
              <w:t>a</w:t>
            </w:r>
          </w:p>
        </w:tc>
        <w:tc>
          <w:tcPr>
            <w:tcW w:w="2559" w:type="dxa"/>
          </w:tcPr>
          <w:p>
            <w:pPr>
              <w:pStyle w:val="TableParagraph"/>
              <w:spacing w:before="89"/>
              <w:ind w:left="589"/>
              <w:jc w:val="left"/>
              <w:rPr>
                <w:rFonts w:ascii="Calibri" w:hAnsi="Calibri"/>
                <w:sz w:val="24"/>
              </w:rPr>
            </w:pPr>
            <w:r>
              <w:rPr>
                <w:rFonts w:ascii="Calibri" w:hAnsi="Calibri"/>
                <w:sz w:val="24"/>
              </w:rPr>
              <w:t>65.37</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42.26</w:t>
            </w:r>
            <w:r>
              <w:rPr>
                <w:rFonts w:ascii="Calibri" w:hAnsi="Calibri"/>
                <w:spacing w:val="-2"/>
                <w:sz w:val="24"/>
                <w:vertAlign w:val="superscript"/>
              </w:rPr>
              <w:t>b</w:t>
            </w:r>
          </w:p>
        </w:tc>
        <w:tc>
          <w:tcPr>
            <w:tcW w:w="1752" w:type="dxa"/>
          </w:tcPr>
          <w:p>
            <w:pPr>
              <w:pStyle w:val="TableParagraph"/>
              <w:spacing w:before="89"/>
              <w:ind w:left="25" w:right="27"/>
              <w:rPr>
                <w:rFonts w:ascii="Calibri"/>
                <w:sz w:val="24"/>
              </w:rPr>
            </w:pPr>
            <w:r>
              <w:rPr>
                <w:rFonts w:ascii="Calibri"/>
                <w:spacing w:val="-2"/>
                <w:sz w:val="24"/>
              </w:rPr>
              <w:t>0.001</w:t>
            </w:r>
          </w:p>
        </w:tc>
      </w:tr>
      <w:tr>
        <w:trPr>
          <w:trHeight w:val="494" w:hRule="atLeast"/>
        </w:trPr>
        <w:tc>
          <w:tcPr>
            <w:tcW w:w="2560" w:type="dxa"/>
          </w:tcPr>
          <w:p>
            <w:pPr>
              <w:pStyle w:val="TableParagraph"/>
              <w:spacing w:before="104"/>
              <w:ind w:left="3" w:right="4"/>
              <w:rPr>
                <w:rFonts w:ascii="Calibri"/>
                <w:b/>
                <w:sz w:val="24"/>
              </w:rPr>
            </w:pPr>
            <w:r>
              <w:rPr>
                <w:rFonts w:ascii="Calibri"/>
                <w:b/>
                <w:sz w:val="24"/>
              </w:rPr>
              <w:t>IL-10</w:t>
            </w:r>
            <w:r>
              <w:rPr>
                <w:rFonts w:ascii="Calibri"/>
                <w:b/>
                <w:spacing w:val="-2"/>
                <w:sz w:val="24"/>
              </w:rPr>
              <w:t> (pg/ml)</w:t>
            </w:r>
          </w:p>
        </w:tc>
        <w:tc>
          <w:tcPr>
            <w:tcW w:w="2376" w:type="dxa"/>
          </w:tcPr>
          <w:p>
            <w:pPr>
              <w:pStyle w:val="TableParagraph"/>
              <w:spacing w:before="104"/>
              <w:ind w:left="505"/>
              <w:jc w:val="left"/>
              <w:rPr>
                <w:rFonts w:ascii="Calibri" w:hAnsi="Calibri"/>
                <w:sz w:val="24"/>
              </w:rPr>
            </w:pPr>
            <w:r>
              <w:rPr>
                <w:rFonts w:ascii="Calibri" w:hAnsi="Calibri"/>
                <w:sz w:val="24"/>
              </w:rPr>
              <w:t>33.13</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27.14</w:t>
            </w:r>
            <w:r>
              <w:rPr>
                <w:rFonts w:ascii="Calibri" w:hAnsi="Calibri"/>
                <w:spacing w:val="-2"/>
                <w:sz w:val="24"/>
                <w:vertAlign w:val="superscript"/>
              </w:rPr>
              <w:t>a</w:t>
            </w:r>
          </w:p>
        </w:tc>
        <w:tc>
          <w:tcPr>
            <w:tcW w:w="2559" w:type="dxa"/>
          </w:tcPr>
          <w:p>
            <w:pPr>
              <w:pStyle w:val="TableParagraph"/>
              <w:spacing w:before="104"/>
              <w:ind w:left="589"/>
              <w:jc w:val="left"/>
              <w:rPr>
                <w:rFonts w:ascii="Calibri" w:hAnsi="Calibri"/>
                <w:sz w:val="24"/>
              </w:rPr>
            </w:pPr>
            <w:r>
              <w:rPr>
                <w:rFonts w:ascii="Calibri" w:hAnsi="Calibri"/>
                <w:sz w:val="24"/>
              </w:rPr>
              <w:t>47.23</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35.60</w:t>
            </w:r>
            <w:r>
              <w:rPr>
                <w:rFonts w:ascii="Calibri" w:hAnsi="Calibri"/>
                <w:spacing w:val="-2"/>
                <w:sz w:val="24"/>
                <w:vertAlign w:val="superscript"/>
              </w:rPr>
              <w:t>b</w:t>
            </w:r>
          </w:p>
        </w:tc>
        <w:tc>
          <w:tcPr>
            <w:tcW w:w="1752" w:type="dxa"/>
          </w:tcPr>
          <w:p>
            <w:pPr>
              <w:pStyle w:val="TableParagraph"/>
              <w:spacing w:before="104"/>
              <w:ind w:left="24" w:right="27"/>
              <w:rPr>
                <w:rFonts w:ascii="Calibri"/>
                <w:sz w:val="24"/>
              </w:rPr>
            </w:pPr>
            <w:r>
              <w:rPr>
                <w:rFonts w:ascii="Calibri"/>
                <w:spacing w:val="-2"/>
                <w:sz w:val="24"/>
              </w:rPr>
              <w:t>0.038</w:t>
            </w:r>
          </w:p>
        </w:tc>
      </w:tr>
      <w:tr>
        <w:trPr>
          <w:trHeight w:val="494" w:hRule="atLeast"/>
        </w:trPr>
        <w:tc>
          <w:tcPr>
            <w:tcW w:w="2560" w:type="dxa"/>
          </w:tcPr>
          <w:p>
            <w:pPr>
              <w:pStyle w:val="TableParagraph"/>
              <w:spacing w:before="104"/>
              <w:ind w:left="3" w:right="4"/>
              <w:rPr>
                <w:rFonts w:ascii="Calibri" w:hAnsi="Calibri"/>
                <w:b/>
                <w:sz w:val="24"/>
              </w:rPr>
            </w:pPr>
            <w:r>
              <w:rPr>
                <w:rFonts w:ascii="Calibri" w:hAnsi="Calibri"/>
                <w:b/>
                <w:sz w:val="24"/>
              </w:rPr>
              <w:t>SF</w:t>
            </w:r>
            <w:r>
              <w:rPr>
                <w:rFonts w:ascii="Calibri" w:hAnsi="Calibri"/>
                <w:b/>
                <w:spacing w:val="-1"/>
                <w:sz w:val="24"/>
              </w:rPr>
              <w:t> </w:t>
            </w:r>
            <w:r>
              <w:rPr>
                <w:rFonts w:ascii="Calibri" w:hAnsi="Calibri"/>
                <w:b/>
                <w:spacing w:val="-2"/>
                <w:sz w:val="24"/>
              </w:rPr>
              <w:t>(μg/L)</w:t>
            </w:r>
          </w:p>
        </w:tc>
        <w:tc>
          <w:tcPr>
            <w:tcW w:w="2376" w:type="dxa"/>
          </w:tcPr>
          <w:p>
            <w:pPr>
              <w:pStyle w:val="TableParagraph"/>
              <w:spacing w:before="104"/>
              <w:ind w:left="505"/>
              <w:jc w:val="left"/>
              <w:rPr>
                <w:rFonts w:ascii="Calibri" w:hAnsi="Calibri"/>
                <w:sz w:val="24"/>
              </w:rPr>
            </w:pPr>
            <w:r>
              <w:rPr>
                <w:rFonts w:ascii="Calibri" w:hAnsi="Calibri"/>
                <w:sz w:val="24"/>
              </w:rPr>
              <w:t>31.22</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27.41</w:t>
            </w:r>
            <w:r>
              <w:rPr>
                <w:rFonts w:ascii="Calibri" w:hAnsi="Calibri"/>
                <w:spacing w:val="-2"/>
                <w:sz w:val="24"/>
                <w:vertAlign w:val="superscript"/>
              </w:rPr>
              <w:t>a</w:t>
            </w:r>
          </w:p>
        </w:tc>
        <w:tc>
          <w:tcPr>
            <w:tcW w:w="2559" w:type="dxa"/>
          </w:tcPr>
          <w:p>
            <w:pPr>
              <w:pStyle w:val="TableParagraph"/>
              <w:spacing w:before="104"/>
              <w:ind w:left="467"/>
              <w:jc w:val="left"/>
              <w:rPr>
                <w:rFonts w:ascii="Calibri" w:hAnsi="Calibri"/>
                <w:sz w:val="24"/>
              </w:rPr>
            </w:pPr>
            <w:r>
              <w:rPr>
                <w:rFonts w:ascii="Calibri" w:hAnsi="Calibri"/>
                <w:sz w:val="24"/>
              </w:rPr>
              <w:t>116.18</w:t>
            </w:r>
            <w:r>
              <w:rPr>
                <w:rFonts w:ascii="Calibri" w:hAnsi="Calibri"/>
                <w:spacing w:val="-1"/>
                <w:sz w:val="24"/>
              </w:rPr>
              <w:t> </w:t>
            </w:r>
            <w:r>
              <w:rPr>
                <w:rFonts w:ascii="Calibri" w:hAnsi="Calibri"/>
                <w:sz w:val="24"/>
              </w:rPr>
              <w:t>± </w:t>
            </w:r>
            <w:r>
              <w:rPr>
                <w:rFonts w:ascii="Calibri" w:hAnsi="Calibri"/>
                <w:spacing w:val="-2"/>
                <w:sz w:val="24"/>
              </w:rPr>
              <w:t>201.46</w:t>
            </w:r>
            <w:r>
              <w:rPr>
                <w:rFonts w:ascii="Calibri" w:hAnsi="Calibri"/>
                <w:spacing w:val="-2"/>
                <w:sz w:val="24"/>
                <w:vertAlign w:val="superscript"/>
              </w:rPr>
              <w:t>b</w:t>
            </w:r>
          </w:p>
        </w:tc>
        <w:tc>
          <w:tcPr>
            <w:tcW w:w="1752" w:type="dxa"/>
          </w:tcPr>
          <w:p>
            <w:pPr>
              <w:pStyle w:val="TableParagraph"/>
              <w:spacing w:before="104"/>
              <w:ind w:left="25" w:right="27"/>
              <w:rPr>
                <w:rFonts w:ascii="Calibri"/>
                <w:sz w:val="24"/>
              </w:rPr>
            </w:pPr>
            <w:r>
              <w:rPr>
                <w:rFonts w:ascii="Calibri"/>
                <w:spacing w:val="-2"/>
                <w:sz w:val="24"/>
              </w:rPr>
              <w:t>0.001</w:t>
            </w:r>
          </w:p>
        </w:tc>
      </w:tr>
      <w:tr>
        <w:trPr>
          <w:trHeight w:val="419" w:hRule="atLeast"/>
        </w:trPr>
        <w:tc>
          <w:tcPr>
            <w:tcW w:w="2560" w:type="dxa"/>
          </w:tcPr>
          <w:p>
            <w:pPr>
              <w:pStyle w:val="TableParagraph"/>
              <w:spacing w:before="104"/>
              <w:ind w:left="4" w:right="2"/>
              <w:rPr>
                <w:rFonts w:ascii="Calibri"/>
                <w:b/>
                <w:sz w:val="24"/>
              </w:rPr>
            </w:pPr>
            <w:r>
              <w:rPr>
                <w:rFonts w:ascii="Calibri"/>
                <w:b/>
                <w:sz w:val="24"/>
              </w:rPr>
              <w:t>STFRA </w:t>
            </w:r>
            <w:r>
              <w:rPr>
                <w:rFonts w:ascii="Calibri"/>
                <w:b/>
                <w:spacing w:val="-2"/>
                <w:sz w:val="24"/>
              </w:rPr>
              <w:t>(nmol/L)</w:t>
            </w:r>
          </w:p>
        </w:tc>
        <w:tc>
          <w:tcPr>
            <w:tcW w:w="2376" w:type="dxa"/>
          </w:tcPr>
          <w:p>
            <w:pPr>
              <w:pStyle w:val="TableParagraph"/>
              <w:spacing w:before="104"/>
              <w:ind w:left="505"/>
              <w:jc w:val="left"/>
              <w:rPr>
                <w:rFonts w:ascii="Calibri" w:hAnsi="Calibri"/>
                <w:sz w:val="24"/>
              </w:rPr>
            </w:pPr>
            <w:r>
              <w:rPr>
                <w:rFonts w:ascii="Calibri" w:hAnsi="Calibri"/>
                <w:sz w:val="24"/>
              </w:rPr>
              <w:t>63.45</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22.23</w:t>
            </w:r>
            <w:r>
              <w:rPr>
                <w:rFonts w:ascii="Calibri" w:hAnsi="Calibri"/>
                <w:spacing w:val="-2"/>
                <w:sz w:val="24"/>
                <w:vertAlign w:val="superscript"/>
              </w:rPr>
              <w:t>a</w:t>
            </w:r>
          </w:p>
        </w:tc>
        <w:tc>
          <w:tcPr>
            <w:tcW w:w="2559" w:type="dxa"/>
          </w:tcPr>
          <w:p>
            <w:pPr>
              <w:pStyle w:val="TableParagraph"/>
              <w:spacing w:line="269" w:lineRule="exact" w:before="130"/>
              <w:ind w:left="592"/>
              <w:jc w:val="left"/>
              <w:rPr>
                <w:rFonts w:ascii="Calibri" w:hAnsi="Calibri"/>
                <w:sz w:val="24"/>
              </w:rPr>
            </w:pPr>
            <w:r>
              <w:rPr>
                <w:rFonts w:ascii="Calibri" w:hAnsi="Calibri"/>
                <w:sz w:val="24"/>
              </w:rPr>
              <w:t>58.84</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2"/>
                <w:sz w:val="24"/>
              </w:rPr>
              <w:t>20.42</w:t>
            </w:r>
            <w:r>
              <w:rPr>
                <w:rFonts w:ascii="Calibri" w:hAnsi="Calibri"/>
                <w:spacing w:val="-2"/>
                <w:sz w:val="24"/>
                <w:vertAlign w:val="superscript"/>
              </w:rPr>
              <w:t>a</w:t>
            </w:r>
          </w:p>
        </w:tc>
        <w:tc>
          <w:tcPr>
            <w:tcW w:w="1752" w:type="dxa"/>
          </w:tcPr>
          <w:p>
            <w:pPr>
              <w:pStyle w:val="TableParagraph"/>
              <w:spacing w:line="269" w:lineRule="exact" w:before="130"/>
              <w:ind w:left="24" w:right="27"/>
              <w:rPr>
                <w:rFonts w:ascii="Calibri"/>
                <w:sz w:val="24"/>
              </w:rPr>
            </w:pPr>
            <w:r>
              <w:rPr>
                <w:rFonts w:ascii="Calibri"/>
                <w:spacing w:val="-2"/>
                <w:sz w:val="24"/>
              </w:rPr>
              <w:t>0.376</w:t>
            </w:r>
          </w:p>
        </w:tc>
      </w:tr>
    </w:tbl>
    <w:p>
      <w:pPr>
        <w:pStyle w:val="BodyText"/>
        <w:rPr>
          <w:rFonts w:ascii="Calibri"/>
          <w:b/>
          <w:sz w:val="20"/>
        </w:rPr>
      </w:pPr>
    </w:p>
    <w:p>
      <w:pPr>
        <w:pStyle w:val="BodyText"/>
        <w:spacing w:before="6"/>
        <w:rPr>
          <w:rFonts w:ascii="Calibri"/>
          <w:b/>
          <w:sz w:val="20"/>
        </w:rPr>
      </w:pPr>
      <w:r>
        <w:rPr/>
        <mc:AlternateContent>
          <mc:Choice Requires="wps">
            <w:drawing>
              <wp:anchor distT="0" distB="0" distL="0" distR="0" allowOverlap="1" layoutInCell="1" locked="0" behindDoc="1" simplePos="0" relativeHeight="487598080">
                <wp:simplePos x="0" y="0"/>
                <wp:positionH relativeFrom="page">
                  <wp:posOffset>836980</wp:posOffset>
                </wp:positionH>
                <wp:positionV relativeFrom="paragraph">
                  <wp:posOffset>174167</wp:posOffset>
                </wp:positionV>
                <wp:extent cx="5880735" cy="1270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5880735" cy="12700"/>
                        </a:xfrm>
                        <a:custGeom>
                          <a:avLst/>
                          <a:gdLst/>
                          <a:ahLst/>
                          <a:cxnLst/>
                          <a:rect l="l" t="t" r="r" b="b"/>
                          <a:pathLst>
                            <a:path w="5880735" h="12700">
                              <a:moveTo>
                                <a:pt x="3167189" y="0"/>
                              </a:moveTo>
                              <a:lnTo>
                                <a:pt x="3167189" y="0"/>
                              </a:lnTo>
                              <a:lnTo>
                                <a:pt x="0" y="0"/>
                              </a:lnTo>
                              <a:lnTo>
                                <a:pt x="0" y="12179"/>
                              </a:lnTo>
                              <a:lnTo>
                                <a:pt x="3167189" y="12179"/>
                              </a:lnTo>
                              <a:lnTo>
                                <a:pt x="3167189" y="0"/>
                              </a:lnTo>
                              <a:close/>
                            </a:path>
                            <a:path w="5880735" h="12700">
                              <a:moveTo>
                                <a:pt x="5880481" y="0"/>
                              </a:moveTo>
                              <a:lnTo>
                                <a:pt x="4767656" y="0"/>
                              </a:lnTo>
                              <a:lnTo>
                                <a:pt x="4764608" y="0"/>
                              </a:lnTo>
                              <a:lnTo>
                                <a:pt x="4755464" y="0"/>
                              </a:lnTo>
                              <a:lnTo>
                                <a:pt x="3167202" y="0"/>
                              </a:lnTo>
                              <a:lnTo>
                                <a:pt x="3167202" y="12179"/>
                              </a:lnTo>
                              <a:lnTo>
                                <a:pt x="4755464" y="12179"/>
                              </a:lnTo>
                              <a:lnTo>
                                <a:pt x="4764608" y="12179"/>
                              </a:lnTo>
                              <a:lnTo>
                                <a:pt x="4767656" y="12179"/>
                              </a:lnTo>
                              <a:lnTo>
                                <a:pt x="5880481" y="12179"/>
                              </a:lnTo>
                              <a:lnTo>
                                <a:pt x="58804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5.903999pt;margin-top:13.713945pt;width:463.05pt;height:1pt;mso-position-horizontal-relative:page;mso-position-vertical-relative:paragraph;z-index:-15718400;mso-wrap-distance-left:0;mso-wrap-distance-right:0" id="docshape33" coordorigin="1318,274" coordsize="9261,20" path="m6306,274l6301,274,6287,274,3899,274,3894,274,3879,274,1318,274,1318,293,3879,293,3894,293,3899,293,6287,293,6301,293,6306,293,6306,274xm10579,274l8826,274,8821,274,8807,274,6306,274,6306,293,8807,293,8821,293,8826,293,10579,293,10579,274xe" filled="true" fillcolor="#000000" stroked="false">
                <v:path arrowok="t"/>
                <v:fill type="solid"/>
                <w10:wrap type="topAndBottom"/>
              </v:shape>
            </w:pict>
          </mc:Fallback>
        </mc:AlternateContent>
      </w:r>
    </w:p>
    <w:p>
      <w:pPr>
        <w:spacing w:before="228"/>
        <w:ind w:left="560" w:right="0" w:firstLine="0"/>
        <w:jc w:val="left"/>
        <w:rPr>
          <w:b/>
          <w:sz w:val="20"/>
        </w:rPr>
      </w:pPr>
      <w:r>
        <w:rPr>
          <w:b/>
          <w:spacing w:val="-5"/>
          <w:sz w:val="20"/>
        </w:rPr>
        <w:t>Key</w:t>
      </w:r>
    </w:p>
    <w:p>
      <w:pPr>
        <w:spacing w:before="227"/>
        <w:ind w:left="560" w:right="0" w:firstLine="0"/>
        <w:jc w:val="left"/>
        <w:rPr>
          <w:sz w:val="20"/>
        </w:rPr>
      </w:pPr>
      <w:r>
        <w:rPr>
          <w:sz w:val="20"/>
        </w:rPr>
        <w:t>α-level</w:t>
      </w:r>
      <w:r>
        <w:rPr>
          <w:spacing w:val="45"/>
          <w:sz w:val="20"/>
        </w:rPr>
        <w:t> </w:t>
      </w:r>
      <w:r>
        <w:rPr>
          <w:sz w:val="20"/>
        </w:rPr>
        <w:t>set</w:t>
      </w:r>
      <w:r>
        <w:rPr>
          <w:spacing w:val="-4"/>
          <w:sz w:val="20"/>
        </w:rPr>
        <w:t> </w:t>
      </w:r>
      <w:r>
        <w:rPr>
          <w:sz w:val="20"/>
        </w:rPr>
        <w:t>at</w:t>
      </w:r>
      <w:r>
        <w:rPr>
          <w:spacing w:val="-4"/>
          <w:sz w:val="20"/>
        </w:rPr>
        <w:t> 0.05</w:t>
      </w:r>
    </w:p>
    <w:p>
      <w:pPr>
        <w:spacing w:before="0"/>
        <w:ind w:left="560" w:right="0" w:firstLine="0"/>
        <w:jc w:val="left"/>
        <w:rPr>
          <w:sz w:val="20"/>
        </w:rPr>
      </w:pPr>
      <w:r>
        <w:rPr>
          <w:sz w:val="20"/>
        </w:rPr>
        <w:t>a</w:t>
      </w:r>
      <w:r>
        <w:rPr>
          <w:spacing w:val="-5"/>
          <w:sz w:val="20"/>
        </w:rPr>
        <w:t> </w:t>
      </w:r>
      <w:r>
        <w:rPr>
          <w:sz w:val="20"/>
        </w:rPr>
        <w:t>and</w:t>
      </w:r>
      <w:r>
        <w:rPr>
          <w:spacing w:val="-3"/>
          <w:sz w:val="20"/>
        </w:rPr>
        <w:t> </w:t>
      </w:r>
      <w:r>
        <w:rPr>
          <w:sz w:val="20"/>
        </w:rPr>
        <w:t>b</w:t>
      </w:r>
      <w:r>
        <w:rPr>
          <w:spacing w:val="-4"/>
          <w:sz w:val="20"/>
        </w:rPr>
        <w:t> </w:t>
      </w:r>
      <w:r>
        <w:rPr>
          <w:sz w:val="20"/>
        </w:rPr>
        <w:t>are</w:t>
      </w:r>
      <w:r>
        <w:rPr>
          <w:spacing w:val="-4"/>
          <w:sz w:val="20"/>
        </w:rPr>
        <w:t> </w:t>
      </w:r>
      <w:r>
        <w:rPr>
          <w:sz w:val="20"/>
        </w:rPr>
        <w:t>superscripts</w:t>
      </w:r>
      <w:r>
        <w:rPr>
          <w:spacing w:val="-6"/>
          <w:sz w:val="20"/>
        </w:rPr>
        <w:t> </w:t>
      </w:r>
      <w:r>
        <w:rPr>
          <w:sz w:val="20"/>
        </w:rPr>
        <w:t>used</w:t>
      </w:r>
      <w:r>
        <w:rPr>
          <w:spacing w:val="-3"/>
          <w:sz w:val="20"/>
        </w:rPr>
        <w:t> </w:t>
      </w:r>
      <w:r>
        <w:rPr>
          <w:sz w:val="20"/>
        </w:rPr>
        <w:t>to</w:t>
      </w:r>
      <w:r>
        <w:rPr>
          <w:spacing w:val="-4"/>
          <w:sz w:val="20"/>
        </w:rPr>
        <w:t> </w:t>
      </w:r>
      <w:r>
        <w:rPr>
          <w:sz w:val="20"/>
        </w:rPr>
        <w:t>show</w:t>
      </w:r>
      <w:r>
        <w:rPr>
          <w:spacing w:val="-6"/>
          <w:sz w:val="20"/>
        </w:rPr>
        <w:t> </w:t>
      </w:r>
      <w:r>
        <w:rPr>
          <w:sz w:val="20"/>
        </w:rPr>
        <w:t>significant</w:t>
      </w:r>
      <w:r>
        <w:rPr>
          <w:spacing w:val="-5"/>
          <w:sz w:val="20"/>
        </w:rPr>
        <w:t> </w:t>
      </w:r>
      <w:r>
        <w:rPr>
          <w:spacing w:val="-2"/>
          <w:sz w:val="20"/>
        </w:rPr>
        <w:t>difference.</w:t>
      </w:r>
    </w:p>
    <w:p>
      <w:pPr>
        <w:spacing w:before="0"/>
        <w:ind w:left="560" w:right="3345" w:firstLine="0"/>
        <w:jc w:val="left"/>
        <w:rPr>
          <w:sz w:val="20"/>
        </w:rPr>
      </w:pPr>
      <w:r>
        <w:rPr>
          <w:sz w:val="20"/>
        </w:rPr>
        <w:t>Values</w:t>
      </w:r>
      <w:r>
        <w:rPr>
          <w:spacing w:val="-3"/>
          <w:sz w:val="20"/>
        </w:rPr>
        <w:t> </w:t>
      </w:r>
      <w:r>
        <w:rPr>
          <w:sz w:val="20"/>
        </w:rPr>
        <w:t>not</w:t>
      </w:r>
      <w:r>
        <w:rPr>
          <w:spacing w:val="-5"/>
          <w:sz w:val="20"/>
        </w:rPr>
        <w:t> </w:t>
      </w:r>
      <w:r>
        <w:rPr>
          <w:sz w:val="20"/>
        </w:rPr>
        <w:t>sharing</w:t>
      </w:r>
      <w:r>
        <w:rPr>
          <w:spacing w:val="-5"/>
          <w:sz w:val="20"/>
        </w:rPr>
        <w:t> </w:t>
      </w:r>
      <w:r>
        <w:rPr>
          <w:sz w:val="20"/>
        </w:rPr>
        <w:t>the</w:t>
      </w:r>
      <w:r>
        <w:rPr>
          <w:spacing w:val="-4"/>
          <w:sz w:val="20"/>
        </w:rPr>
        <w:t> </w:t>
      </w:r>
      <w:r>
        <w:rPr>
          <w:sz w:val="20"/>
        </w:rPr>
        <w:t>same</w:t>
      </w:r>
      <w:r>
        <w:rPr>
          <w:spacing w:val="-4"/>
          <w:sz w:val="20"/>
        </w:rPr>
        <w:t> </w:t>
      </w:r>
      <w:r>
        <w:rPr>
          <w:sz w:val="20"/>
        </w:rPr>
        <w:t>superscript</w:t>
      </w:r>
      <w:r>
        <w:rPr>
          <w:spacing w:val="-3"/>
          <w:sz w:val="20"/>
        </w:rPr>
        <w:t> </w:t>
      </w:r>
      <w:r>
        <w:rPr>
          <w:sz w:val="20"/>
        </w:rPr>
        <w:t>means</w:t>
      </w:r>
      <w:r>
        <w:rPr>
          <w:spacing w:val="-5"/>
          <w:sz w:val="20"/>
        </w:rPr>
        <w:t> </w:t>
      </w:r>
      <w:r>
        <w:rPr>
          <w:sz w:val="20"/>
        </w:rPr>
        <w:t>there</w:t>
      </w:r>
      <w:r>
        <w:rPr>
          <w:spacing w:val="-4"/>
          <w:sz w:val="20"/>
        </w:rPr>
        <w:t> </w:t>
      </w:r>
      <w:r>
        <w:rPr>
          <w:sz w:val="20"/>
        </w:rPr>
        <w:t>is</w:t>
      </w:r>
      <w:r>
        <w:rPr>
          <w:spacing w:val="-5"/>
          <w:sz w:val="20"/>
        </w:rPr>
        <w:t> </w:t>
      </w:r>
      <w:r>
        <w:rPr>
          <w:sz w:val="20"/>
        </w:rPr>
        <w:t>a</w:t>
      </w:r>
      <w:r>
        <w:rPr>
          <w:spacing w:val="-4"/>
          <w:sz w:val="20"/>
        </w:rPr>
        <w:t> </w:t>
      </w:r>
      <w:r>
        <w:rPr>
          <w:sz w:val="20"/>
        </w:rPr>
        <w:t>significant</w:t>
      </w:r>
      <w:r>
        <w:rPr>
          <w:spacing w:val="-5"/>
          <w:sz w:val="20"/>
        </w:rPr>
        <w:t> </w:t>
      </w:r>
      <w:r>
        <w:rPr>
          <w:sz w:val="20"/>
        </w:rPr>
        <w:t>difference Values sharing the same superscript mean there is no significant difference</w:t>
      </w:r>
    </w:p>
    <w:p>
      <w:pPr>
        <w:spacing w:after="0"/>
        <w:jc w:val="left"/>
        <w:rPr>
          <w:sz w:val="20"/>
        </w:rPr>
        <w:sectPr>
          <w:pgSz w:w="11910" w:h="16840"/>
          <w:pgMar w:header="0" w:footer="1067" w:top="1100" w:bottom="1260" w:left="880" w:right="640"/>
        </w:sectPr>
      </w:pPr>
    </w:p>
    <w:p>
      <w:pPr>
        <w:pStyle w:val="BodyText"/>
        <w:spacing w:line="480" w:lineRule="auto" w:before="70"/>
        <w:ind w:left="560" w:right="798"/>
        <w:jc w:val="both"/>
      </w:pPr>
      <w:r>
        <w:rPr/>
        <w:t>Table 4.18Comparison of red blood cell profile of malaria infected pregnant women based onnormal and elevatedlevels of C-RP as a marker of inflammation.</w:t>
      </w:r>
    </w:p>
    <w:p>
      <w:pPr>
        <w:pStyle w:val="BodyText"/>
        <w:spacing w:line="480" w:lineRule="auto" w:before="3"/>
        <w:ind w:left="560" w:right="793"/>
        <w:jc w:val="both"/>
      </w:pPr>
      <w:r>
        <w:rPr/>
        <w:t>For Hb, the mean</w:t>
      </w:r>
      <w:r>
        <w:rPr>
          <w:rFonts w:ascii="Symbol" w:hAnsi="Symbol"/>
        </w:rPr>
        <w:t></w:t>
      </w:r>
      <w:r>
        <w:rPr/>
        <w:t>SD (108.24</w:t>
      </w:r>
      <w:r>
        <w:rPr>
          <w:rFonts w:ascii="Symbol" w:hAnsi="Symbol"/>
        </w:rPr>
        <w:t></w:t>
      </w:r>
      <w:r>
        <w:rPr/>
        <w:t>12.03)was higher in subjects with elevated values of C-RP</w:t>
      </w:r>
      <w:r>
        <w:rPr>
          <w:spacing w:val="80"/>
        </w:rPr>
        <w:t> </w:t>
      </w:r>
      <w:r>
        <w:rPr/>
        <w:t>but showed no significant difference (P&gt;0.05) whencompared with 101.43</w:t>
      </w:r>
      <w:r>
        <w:rPr>
          <w:rFonts w:ascii="Symbol" w:hAnsi="Symbol"/>
        </w:rPr>
        <w:t></w:t>
      </w:r>
      <w:r>
        <w:rPr/>
        <w:t>10.53 for those with normal values of C-RP.</w:t>
      </w:r>
    </w:p>
    <w:p>
      <w:pPr>
        <w:pStyle w:val="BodyText"/>
        <w:spacing w:line="480" w:lineRule="auto"/>
        <w:ind w:left="560" w:right="796"/>
        <w:jc w:val="both"/>
      </w:pPr>
      <w:r>
        <w:rPr/>
        <w:t>The mean</w:t>
      </w:r>
      <w:r>
        <w:rPr>
          <w:rFonts w:ascii="Symbol" w:hAnsi="Symbol"/>
        </w:rPr>
        <w:t></w:t>
      </w:r>
      <w:r>
        <w:rPr/>
        <w:t>SD (3.81</w:t>
      </w:r>
      <w:r>
        <w:rPr>
          <w:rFonts w:ascii="Symbol" w:hAnsi="Symbol"/>
        </w:rPr>
        <w:t></w:t>
      </w:r>
      <w:r>
        <w:rPr/>
        <w:t>0.56)of total red blood cell count for subjects with normal C-RPshowed no significant (P&gt;0.05) difference when compared with 3.80</w:t>
      </w:r>
      <w:r>
        <w:rPr>
          <w:rFonts w:ascii="Symbol" w:hAnsi="Symbol"/>
        </w:rPr>
        <w:t></w:t>
      </w:r>
      <w:r>
        <w:rPr/>
        <w:t>0.54 for those with elevated values of C-RP.</w:t>
      </w:r>
    </w:p>
    <w:p>
      <w:pPr>
        <w:pStyle w:val="BodyText"/>
        <w:spacing w:line="480" w:lineRule="auto"/>
        <w:ind w:left="560" w:right="796"/>
        <w:jc w:val="both"/>
      </w:pPr>
      <w:r>
        <w:rPr/>
        <w:t>Also HCT (PCV) mean</w:t>
      </w:r>
      <w:r>
        <w:rPr>
          <w:rFonts w:ascii="Symbol" w:hAnsi="Symbol"/>
        </w:rPr>
        <w:t></w:t>
      </w:r>
      <w:r>
        <w:rPr/>
        <w:t>SD (0.31</w:t>
      </w:r>
      <w:r>
        <w:rPr>
          <w:rFonts w:ascii="Symbol" w:hAnsi="Symbol"/>
        </w:rPr>
        <w:t></w:t>
      </w:r>
      <w:r>
        <w:rPr/>
        <w:t>0.03)for subjects with elevated C-RP was not significant (P&gt;0.05) compared with 0.31</w:t>
      </w:r>
      <w:r>
        <w:rPr>
          <w:rFonts w:ascii="Symbol" w:hAnsi="Symbol"/>
        </w:rPr>
        <w:t></w:t>
      </w:r>
      <w:r>
        <w:rPr/>
        <w:t>0.02 for subjects with normal values of C-RP.</w:t>
      </w:r>
    </w:p>
    <w:p>
      <w:pPr>
        <w:pStyle w:val="BodyText"/>
        <w:spacing w:line="480" w:lineRule="auto"/>
        <w:ind w:left="560" w:right="795"/>
        <w:jc w:val="both"/>
      </w:pPr>
      <w:r>
        <w:rPr/>
        <w:t>With MCV, the mean</w:t>
      </w:r>
      <w:r>
        <w:rPr>
          <w:rFonts w:ascii="Symbol" w:hAnsi="Symbol"/>
        </w:rPr>
        <w:t></w:t>
      </w:r>
      <w:r>
        <w:rPr/>
        <w:t>SD (92.82</w:t>
      </w:r>
      <w:r>
        <w:rPr>
          <w:rFonts w:ascii="Symbol" w:hAnsi="Symbol"/>
        </w:rPr>
        <w:t></w:t>
      </w:r>
      <w:r>
        <w:rPr/>
        <w:t>6.99)for subject with elevated C-RP was significantly (P&lt;0.05) higher than 87.42</w:t>
      </w:r>
      <w:r>
        <w:rPr>
          <w:rFonts w:ascii="Symbol" w:hAnsi="Symbol"/>
        </w:rPr>
        <w:t></w:t>
      </w:r>
      <w:r>
        <w:rPr/>
        <w:t>11.41 for those with normal values of C-RP.</w:t>
      </w:r>
    </w:p>
    <w:p>
      <w:pPr>
        <w:pStyle w:val="BodyText"/>
        <w:spacing w:line="480" w:lineRule="auto"/>
        <w:ind w:left="560" w:right="796"/>
        <w:jc w:val="both"/>
      </w:pPr>
      <w:r>
        <w:rPr/>
        <w:t>As for MCH, the mean</w:t>
      </w:r>
      <w:r>
        <w:rPr>
          <w:rFonts w:ascii="Symbol" w:hAnsi="Symbol"/>
        </w:rPr>
        <w:t></w:t>
      </w:r>
      <w:r>
        <w:rPr/>
        <w:t>SD (29.44</w:t>
      </w:r>
      <w:r>
        <w:rPr>
          <w:rFonts w:ascii="Symbol" w:hAnsi="Symbol"/>
        </w:rPr>
        <w:t></w:t>
      </w:r>
      <w:r>
        <w:rPr/>
        <w:t>2.54) for subjects with elevated C-RP showed no significant difference (P&gt;0.05) compared with 28.10</w:t>
      </w:r>
      <w:r>
        <w:rPr>
          <w:rFonts w:ascii="Symbol" w:hAnsi="Symbol"/>
        </w:rPr>
        <w:t></w:t>
      </w:r>
      <w:r>
        <w:rPr/>
        <w:t>3.09 for those with normal C-RP.</w:t>
      </w:r>
    </w:p>
    <w:p>
      <w:pPr>
        <w:pStyle w:val="BodyText"/>
      </w:pPr>
    </w:p>
    <w:p>
      <w:pPr>
        <w:pStyle w:val="BodyText"/>
      </w:pPr>
    </w:p>
    <w:p>
      <w:pPr>
        <w:pStyle w:val="BodyText"/>
        <w:spacing w:line="480" w:lineRule="auto"/>
        <w:ind w:left="560" w:right="796"/>
        <w:jc w:val="both"/>
      </w:pPr>
      <w:r>
        <w:rPr/>
        <w:t>For MCHC, the mean</w:t>
      </w:r>
      <w:r>
        <w:rPr>
          <w:rFonts w:ascii="Symbol" w:hAnsi="Symbol"/>
        </w:rPr>
        <w:t></w:t>
      </w:r>
      <w:r>
        <w:rPr/>
        <w:t>SD (329.30</w:t>
      </w:r>
      <w:r>
        <w:rPr>
          <w:rFonts w:ascii="Symbol" w:hAnsi="Symbol"/>
        </w:rPr>
        <w:t></w:t>
      </w:r>
      <w:r>
        <w:rPr/>
        <w:t>7.88)for subjects with normal C-RP shows no significant difference (P&gt;0.05) compared with 317.30</w:t>
      </w:r>
      <w:r>
        <w:rPr>
          <w:rFonts w:ascii="Symbol" w:hAnsi="Symbol"/>
        </w:rPr>
        <w:t></w:t>
      </w:r>
      <w:r>
        <w:rPr/>
        <w:t>1.56 for those elevated C-RP.</w:t>
      </w:r>
    </w:p>
    <w:p>
      <w:pPr>
        <w:spacing w:after="0" w:line="480" w:lineRule="auto"/>
        <w:jc w:val="both"/>
        <w:sectPr>
          <w:pgSz w:w="11910" w:h="16840"/>
          <w:pgMar w:header="0" w:footer="1067" w:top="1060" w:bottom="1260" w:left="880" w:right="640"/>
        </w:sectPr>
      </w:pPr>
    </w:p>
    <w:p>
      <w:pPr>
        <w:pStyle w:val="Heading2"/>
        <w:spacing w:line="360" w:lineRule="auto" w:before="38"/>
        <w:ind w:right="610"/>
        <w:jc w:val="both"/>
        <w:rPr>
          <w:rFonts w:ascii="Calibri"/>
        </w:rPr>
      </w:pPr>
      <w:r>
        <w:rPr>
          <w:rFonts w:ascii="Calibri"/>
        </w:rPr>
        <w:t>TABLE 4.18: COMPARISON OF RED BLOOD CELL PROFILE OF MALARIA INFECTED PREGNANT WOMEN BASED ON NORMAL AND ELEVATED LEVELS OFC-RP AS A MARKER OF </w:t>
      </w:r>
      <w:r>
        <w:rPr>
          <w:rFonts w:ascii="Calibri"/>
          <w:spacing w:val="-2"/>
        </w:rPr>
        <w:t>INFLAMMATION.</w:t>
      </w:r>
    </w:p>
    <w:p>
      <w:pPr>
        <w:pStyle w:val="BodyText"/>
        <w:spacing w:before="180"/>
        <w:rPr>
          <w:rFonts w:ascii="Calibri"/>
          <w:b/>
          <w:sz w:val="20"/>
        </w:rPr>
      </w:pPr>
    </w:p>
    <w:tbl>
      <w:tblPr>
        <w:tblW w:w="0" w:type="auto"/>
        <w:jc w:val="left"/>
        <w:tblInd w:w="1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1"/>
        <w:gridCol w:w="2348"/>
        <w:gridCol w:w="2493"/>
        <w:gridCol w:w="1696"/>
      </w:tblGrid>
      <w:tr>
        <w:trPr>
          <w:trHeight w:val="880" w:hRule="atLeast"/>
        </w:trPr>
        <w:tc>
          <w:tcPr>
            <w:tcW w:w="1631" w:type="dxa"/>
            <w:tcBorders>
              <w:top w:val="single" w:sz="8" w:space="0" w:color="000000"/>
              <w:bottom w:val="single" w:sz="8" w:space="0" w:color="000000"/>
            </w:tcBorders>
          </w:tcPr>
          <w:p>
            <w:pPr>
              <w:pStyle w:val="TableParagraph"/>
              <w:ind w:left="165" w:right="280" w:firstLine="148"/>
              <w:jc w:val="left"/>
              <w:rPr>
                <w:b/>
                <w:sz w:val="24"/>
              </w:rPr>
            </w:pPr>
            <w:r>
              <w:rPr>
                <w:b/>
                <w:sz w:val="24"/>
              </w:rPr>
              <w:t>Red Cell </w:t>
            </w:r>
            <w:r>
              <w:rPr>
                <w:b/>
                <w:spacing w:val="-2"/>
                <w:sz w:val="24"/>
              </w:rPr>
              <w:t>Parameters</w:t>
            </w:r>
          </w:p>
        </w:tc>
        <w:tc>
          <w:tcPr>
            <w:tcW w:w="2348" w:type="dxa"/>
            <w:tcBorders>
              <w:top w:val="single" w:sz="8" w:space="0" w:color="000000"/>
              <w:bottom w:val="single" w:sz="8" w:space="0" w:color="000000"/>
            </w:tcBorders>
          </w:tcPr>
          <w:p>
            <w:pPr>
              <w:pStyle w:val="TableParagraph"/>
              <w:spacing w:line="290" w:lineRule="atLeast"/>
              <w:ind w:left="464" w:right="594" w:hanging="2"/>
              <w:rPr>
                <w:rFonts w:ascii="Calibri"/>
                <w:b/>
                <w:sz w:val="24"/>
              </w:rPr>
            </w:pPr>
            <w:r>
              <w:rPr>
                <w:rFonts w:ascii="Calibri"/>
                <w:b/>
                <w:sz w:val="24"/>
              </w:rPr>
              <w:t>Normal C- </w:t>
            </w:r>
            <w:r>
              <w:rPr>
                <w:rFonts w:ascii="Calibri"/>
                <w:b/>
                <w:spacing w:val="-2"/>
                <w:sz w:val="24"/>
              </w:rPr>
              <w:t>RP(&lt;10mg/L) (n=123)</w:t>
            </w:r>
          </w:p>
        </w:tc>
        <w:tc>
          <w:tcPr>
            <w:tcW w:w="2493" w:type="dxa"/>
            <w:tcBorders>
              <w:top w:val="single" w:sz="8" w:space="0" w:color="000000"/>
              <w:bottom w:val="single" w:sz="8" w:space="0" w:color="000000"/>
            </w:tcBorders>
          </w:tcPr>
          <w:p>
            <w:pPr>
              <w:pStyle w:val="TableParagraph"/>
              <w:spacing w:line="290" w:lineRule="atLeast"/>
              <w:ind w:left="603" w:right="600" w:firstLine="3"/>
              <w:rPr>
                <w:rFonts w:ascii="Calibri"/>
                <w:b/>
                <w:sz w:val="24"/>
              </w:rPr>
            </w:pPr>
            <w:r>
              <w:rPr>
                <w:rFonts w:ascii="Calibri"/>
                <w:b/>
                <w:sz w:val="24"/>
              </w:rPr>
              <w:t>Elevated C- </w:t>
            </w:r>
            <w:r>
              <w:rPr>
                <w:rFonts w:ascii="Calibri"/>
                <w:b/>
                <w:spacing w:val="-2"/>
                <w:sz w:val="24"/>
              </w:rPr>
              <w:t>RP(&gt;10mg/L) (n=21)</w:t>
            </w:r>
          </w:p>
        </w:tc>
        <w:tc>
          <w:tcPr>
            <w:tcW w:w="1696" w:type="dxa"/>
            <w:tcBorders>
              <w:top w:val="single" w:sz="8" w:space="0" w:color="000000"/>
              <w:bottom w:val="single" w:sz="8" w:space="0" w:color="000000"/>
            </w:tcBorders>
          </w:tcPr>
          <w:p>
            <w:pPr>
              <w:pStyle w:val="TableParagraph"/>
              <w:spacing w:before="1"/>
              <w:ind w:left="13"/>
              <w:rPr>
                <w:rFonts w:ascii="Calibri"/>
                <w:b/>
                <w:sz w:val="24"/>
              </w:rPr>
            </w:pPr>
            <w:r>
              <w:rPr>
                <w:rFonts w:ascii="Calibri"/>
                <w:b/>
                <w:sz w:val="24"/>
              </w:rPr>
              <w:t>P-</w:t>
            </w:r>
            <w:r>
              <w:rPr>
                <w:rFonts w:ascii="Calibri"/>
                <w:b/>
                <w:spacing w:val="-2"/>
                <w:sz w:val="24"/>
              </w:rPr>
              <w:t>Values</w:t>
            </w:r>
          </w:p>
        </w:tc>
      </w:tr>
      <w:tr>
        <w:trPr>
          <w:trHeight w:val="386" w:hRule="atLeast"/>
        </w:trPr>
        <w:tc>
          <w:tcPr>
            <w:tcW w:w="1631" w:type="dxa"/>
            <w:tcBorders>
              <w:top w:val="single" w:sz="8" w:space="0" w:color="000000"/>
            </w:tcBorders>
          </w:tcPr>
          <w:p>
            <w:pPr>
              <w:pStyle w:val="TableParagraph"/>
              <w:spacing w:line="292" w:lineRule="exact"/>
              <w:ind w:left="352"/>
              <w:jc w:val="left"/>
              <w:rPr>
                <w:rFonts w:ascii="Calibri"/>
                <w:b/>
                <w:sz w:val="24"/>
              </w:rPr>
            </w:pPr>
            <w:r>
              <w:rPr>
                <w:rFonts w:ascii="Calibri"/>
                <w:b/>
                <w:sz w:val="24"/>
              </w:rPr>
              <w:t>HB </w:t>
            </w:r>
            <w:r>
              <w:rPr>
                <w:rFonts w:ascii="Calibri"/>
                <w:b/>
                <w:spacing w:val="-2"/>
                <w:sz w:val="24"/>
              </w:rPr>
              <w:t>(g/L)</w:t>
            </w:r>
          </w:p>
        </w:tc>
        <w:tc>
          <w:tcPr>
            <w:tcW w:w="2348" w:type="dxa"/>
            <w:tcBorders>
              <w:top w:val="single" w:sz="8" w:space="0" w:color="000000"/>
            </w:tcBorders>
          </w:tcPr>
          <w:p>
            <w:pPr>
              <w:pStyle w:val="TableParagraph"/>
              <w:spacing w:line="317" w:lineRule="exact"/>
              <w:ind w:right="417"/>
              <w:jc w:val="right"/>
              <w:rPr>
                <w:rFonts w:ascii="Calibri" w:hAnsi="Calibri"/>
                <w:sz w:val="26"/>
              </w:rPr>
            </w:pPr>
            <w:r>
              <w:rPr>
                <w:rFonts w:ascii="Calibri" w:hAnsi="Calibri"/>
                <w:sz w:val="26"/>
              </w:rPr>
              <w:t>101.43</w:t>
            </w:r>
            <w:r>
              <w:rPr>
                <w:rFonts w:ascii="Calibri" w:hAnsi="Calibri"/>
                <w:spacing w:val="-4"/>
                <w:sz w:val="26"/>
              </w:rPr>
              <w:t> </w:t>
            </w:r>
            <w:r>
              <w:rPr>
                <w:rFonts w:ascii="Calibri" w:hAnsi="Calibri"/>
                <w:sz w:val="26"/>
              </w:rPr>
              <w:t>±</w:t>
            </w:r>
            <w:r>
              <w:rPr>
                <w:rFonts w:ascii="Calibri" w:hAnsi="Calibri"/>
                <w:spacing w:val="-5"/>
                <w:sz w:val="26"/>
              </w:rPr>
              <w:t> </w:t>
            </w:r>
            <w:r>
              <w:rPr>
                <w:rFonts w:ascii="Calibri" w:hAnsi="Calibri"/>
                <w:spacing w:val="-2"/>
                <w:sz w:val="26"/>
              </w:rPr>
              <w:t>10.53</w:t>
            </w:r>
            <w:r>
              <w:rPr>
                <w:rFonts w:ascii="Calibri" w:hAnsi="Calibri"/>
                <w:spacing w:val="-2"/>
                <w:sz w:val="26"/>
                <w:vertAlign w:val="superscript"/>
              </w:rPr>
              <w:t>a</w:t>
            </w:r>
          </w:p>
        </w:tc>
        <w:tc>
          <w:tcPr>
            <w:tcW w:w="2493" w:type="dxa"/>
            <w:tcBorders>
              <w:top w:val="single" w:sz="8" w:space="0" w:color="000000"/>
            </w:tcBorders>
          </w:tcPr>
          <w:p>
            <w:pPr>
              <w:pStyle w:val="TableParagraph"/>
              <w:spacing w:line="317" w:lineRule="exact"/>
              <w:ind w:left="420"/>
              <w:jc w:val="left"/>
              <w:rPr>
                <w:rFonts w:ascii="Calibri" w:hAnsi="Calibri"/>
                <w:sz w:val="26"/>
              </w:rPr>
            </w:pPr>
            <w:r>
              <w:rPr>
                <w:rFonts w:ascii="Calibri" w:hAnsi="Calibri"/>
                <w:sz w:val="26"/>
              </w:rPr>
              <w:t>108.24</w:t>
            </w:r>
            <w:r>
              <w:rPr>
                <w:rFonts w:ascii="Calibri" w:hAnsi="Calibri"/>
                <w:spacing w:val="-6"/>
                <w:sz w:val="26"/>
              </w:rPr>
              <w:t> </w:t>
            </w:r>
            <w:r>
              <w:rPr>
                <w:rFonts w:ascii="Calibri" w:hAnsi="Calibri"/>
                <w:sz w:val="26"/>
              </w:rPr>
              <w:t>±</w:t>
            </w:r>
            <w:r>
              <w:rPr>
                <w:rFonts w:ascii="Calibri" w:hAnsi="Calibri"/>
                <w:spacing w:val="-5"/>
                <w:sz w:val="26"/>
              </w:rPr>
              <w:t> </w:t>
            </w:r>
            <w:r>
              <w:rPr>
                <w:rFonts w:ascii="Calibri" w:hAnsi="Calibri"/>
                <w:spacing w:val="-2"/>
                <w:sz w:val="26"/>
              </w:rPr>
              <w:t>12.03</w:t>
            </w:r>
            <w:r>
              <w:rPr>
                <w:rFonts w:ascii="Calibri" w:hAnsi="Calibri"/>
                <w:spacing w:val="-2"/>
                <w:sz w:val="26"/>
                <w:vertAlign w:val="superscript"/>
              </w:rPr>
              <w:t>b</w:t>
            </w:r>
          </w:p>
        </w:tc>
        <w:tc>
          <w:tcPr>
            <w:tcW w:w="1696" w:type="dxa"/>
            <w:tcBorders>
              <w:top w:val="single" w:sz="8" w:space="0" w:color="000000"/>
            </w:tcBorders>
          </w:tcPr>
          <w:p>
            <w:pPr>
              <w:pStyle w:val="TableParagraph"/>
              <w:spacing w:line="317" w:lineRule="exact"/>
              <w:ind w:left="13"/>
              <w:rPr>
                <w:rFonts w:ascii="Calibri"/>
                <w:sz w:val="26"/>
              </w:rPr>
            </w:pPr>
            <w:r>
              <w:rPr>
                <w:rFonts w:ascii="Calibri"/>
                <w:spacing w:val="-2"/>
                <w:sz w:val="26"/>
              </w:rPr>
              <w:t>0.008</w:t>
            </w:r>
          </w:p>
        </w:tc>
      </w:tr>
      <w:tr>
        <w:trPr>
          <w:trHeight w:val="468" w:hRule="atLeast"/>
        </w:trPr>
        <w:tc>
          <w:tcPr>
            <w:tcW w:w="1631" w:type="dxa"/>
          </w:tcPr>
          <w:p>
            <w:pPr>
              <w:pStyle w:val="TableParagraph"/>
              <w:spacing w:before="77"/>
              <w:ind w:right="289"/>
              <w:jc w:val="right"/>
              <w:rPr>
                <w:rFonts w:ascii="Calibri"/>
                <w:b/>
                <w:sz w:val="24"/>
              </w:rPr>
            </w:pPr>
            <w:r>
              <w:rPr>
                <w:rFonts w:ascii="Calibri"/>
                <w:b/>
                <w:sz w:val="24"/>
              </w:rPr>
              <w:t>RBC</w:t>
            </w:r>
            <w:r>
              <w:rPr>
                <w:rFonts w:ascii="Calibri"/>
                <w:b/>
                <w:spacing w:val="-2"/>
                <w:sz w:val="24"/>
              </w:rPr>
              <w:t> (x10</w:t>
            </w:r>
            <w:r>
              <w:rPr>
                <w:rFonts w:ascii="Calibri"/>
                <w:b/>
                <w:spacing w:val="-2"/>
                <w:sz w:val="24"/>
                <w:vertAlign w:val="superscript"/>
              </w:rPr>
              <w:t>12</w:t>
            </w:r>
            <w:r>
              <w:rPr>
                <w:rFonts w:ascii="Calibri"/>
                <w:b/>
                <w:spacing w:val="-2"/>
                <w:sz w:val="24"/>
                <w:vertAlign w:val="baseline"/>
              </w:rPr>
              <w:t>/L)</w:t>
            </w:r>
          </w:p>
        </w:tc>
        <w:tc>
          <w:tcPr>
            <w:tcW w:w="2348" w:type="dxa"/>
          </w:tcPr>
          <w:p>
            <w:pPr>
              <w:pStyle w:val="TableParagraph"/>
              <w:spacing w:before="78"/>
              <w:ind w:left="481"/>
              <w:jc w:val="left"/>
              <w:rPr>
                <w:rFonts w:ascii="Calibri" w:hAnsi="Calibri"/>
                <w:sz w:val="26"/>
              </w:rPr>
            </w:pPr>
            <w:r>
              <w:rPr>
                <w:rFonts w:ascii="Calibri" w:hAnsi="Calibri"/>
                <w:sz w:val="26"/>
              </w:rPr>
              <w:t>3.81</w:t>
            </w:r>
            <w:r>
              <w:rPr>
                <w:rFonts w:ascii="Calibri" w:hAnsi="Calibri"/>
                <w:spacing w:val="-4"/>
                <w:sz w:val="26"/>
              </w:rPr>
              <w:t> </w:t>
            </w:r>
            <w:r>
              <w:rPr>
                <w:rFonts w:ascii="Calibri" w:hAnsi="Calibri"/>
                <w:sz w:val="26"/>
              </w:rPr>
              <w:t>±</w:t>
            </w:r>
            <w:r>
              <w:rPr>
                <w:rFonts w:ascii="Calibri" w:hAnsi="Calibri"/>
                <w:spacing w:val="-4"/>
                <w:sz w:val="26"/>
              </w:rPr>
              <w:t> </w:t>
            </w:r>
            <w:r>
              <w:rPr>
                <w:rFonts w:ascii="Calibri" w:hAnsi="Calibri"/>
                <w:spacing w:val="-2"/>
                <w:sz w:val="26"/>
              </w:rPr>
              <w:t>0.56</w:t>
            </w:r>
            <w:r>
              <w:rPr>
                <w:rFonts w:ascii="Calibri" w:hAnsi="Calibri"/>
                <w:spacing w:val="-2"/>
                <w:sz w:val="26"/>
                <w:vertAlign w:val="superscript"/>
              </w:rPr>
              <w:t>a</w:t>
            </w:r>
          </w:p>
        </w:tc>
        <w:tc>
          <w:tcPr>
            <w:tcW w:w="2493" w:type="dxa"/>
          </w:tcPr>
          <w:p>
            <w:pPr>
              <w:pStyle w:val="TableParagraph"/>
              <w:spacing w:before="78"/>
              <w:ind w:left="622"/>
              <w:jc w:val="left"/>
              <w:rPr>
                <w:rFonts w:ascii="Calibri" w:hAnsi="Calibri"/>
                <w:sz w:val="26"/>
              </w:rPr>
            </w:pPr>
            <w:r>
              <w:rPr>
                <w:rFonts w:ascii="Calibri" w:hAnsi="Calibri"/>
                <w:sz w:val="26"/>
              </w:rPr>
              <w:t>3.80</w:t>
            </w:r>
            <w:r>
              <w:rPr>
                <w:rFonts w:ascii="Calibri" w:hAnsi="Calibri"/>
                <w:spacing w:val="-4"/>
                <w:sz w:val="26"/>
              </w:rPr>
              <w:t> </w:t>
            </w:r>
            <w:r>
              <w:rPr>
                <w:rFonts w:ascii="Calibri" w:hAnsi="Calibri"/>
                <w:sz w:val="26"/>
              </w:rPr>
              <w:t>±</w:t>
            </w:r>
            <w:r>
              <w:rPr>
                <w:rFonts w:ascii="Calibri" w:hAnsi="Calibri"/>
                <w:spacing w:val="-4"/>
                <w:sz w:val="26"/>
              </w:rPr>
              <w:t> </w:t>
            </w:r>
            <w:r>
              <w:rPr>
                <w:rFonts w:ascii="Calibri" w:hAnsi="Calibri"/>
                <w:spacing w:val="-2"/>
                <w:sz w:val="26"/>
              </w:rPr>
              <w:t>0.54</w:t>
            </w:r>
            <w:r>
              <w:rPr>
                <w:rFonts w:ascii="Calibri" w:hAnsi="Calibri"/>
                <w:spacing w:val="-2"/>
                <w:sz w:val="26"/>
                <w:vertAlign w:val="superscript"/>
              </w:rPr>
              <w:t>a</w:t>
            </w:r>
          </w:p>
        </w:tc>
        <w:tc>
          <w:tcPr>
            <w:tcW w:w="1696" w:type="dxa"/>
          </w:tcPr>
          <w:p>
            <w:pPr>
              <w:pStyle w:val="TableParagraph"/>
              <w:spacing w:before="78"/>
              <w:ind w:left="13"/>
              <w:rPr>
                <w:rFonts w:ascii="Calibri"/>
                <w:sz w:val="26"/>
              </w:rPr>
            </w:pPr>
            <w:r>
              <w:rPr>
                <w:rFonts w:ascii="Calibri"/>
                <w:spacing w:val="-2"/>
                <w:sz w:val="26"/>
              </w:rPr>
              <w:t>0.955</w:t>
            </w:r>
          </w:p>
        </w:tc>
      </w:tr>
      <w:tr>
        <w:trPr>
          <w:trHeight w:val="467" w:hRule="atLeast"/>
        </w:trPr>
        <w:tc>
          <w:tcPr>
            <w:tcW w:w="1631" w:type="dxa"/>
          </w:tcPr>
          <w:p>
            <w:pPr>
              <w:pStyle w:val="TableParagraph"/>
              <w:spacing w:before="78"/>
              <w:ind w:left="304"/>
              <w:jc w:val="left"/>
              <w:rPr>
                <w:rFonts w:ascii="Calibri"/>
                <w:b/>
                <w:sz w:val="24"/>
              </w:rPr>
            </w:pPr>
            <w:r>
              <w:rPr>
                <w:rFonts w:ascii="Calibri"/>
                <w:b/>
                <w:sz w:val="24"/>
              </w:rPr>
              <w:t>HCT</w:t>
            </w:r>
            <w:r>
              <w:rPr>
                <w:rFonts w:ascii="Calibri"/>
                <w:b/>
                <w:spacing w:val="-2"/>
                <w:sz w:val="24"/>
              </w:rPr>
              <w:t> (L/L)</w:t>
            </w:r>
          </w:p>
        </w:tc>
        <w:tc>
          <w:tcPr>
            <w:tcW w:w="2348" w:type="dxa"/>
          </w:tcPr>
          <w:p>
            <w:pPr>
              <w:pStyle w:val="TableParagraph"/>
              <w:spacing w:before="78"/>
              <w:ind w:left="452"/>
              <w:jc w:val="left"/>
              <w:rPr>
                <w:rFonts w:ascii="Calibri" w:hAnsi="Calibri"/>
                <w:sz w:val="26"/>
              </w:rPr>
            </w:pPr>
            <w:r>
              <w:rPr>
                <w:rFonts w:ascii="Calibri" w:hAnsi="Calibri"/>
                <w:sz w:val="26"/>
              </w:rPr>
              <w:t>0.31</w:t>
            </w:r>
            <w:r>
              <w:rPr>
                <w:rFonts w:ascii="Calibri" w:hAnsi="Calibri"/>
                <w:spacing w:val="-3"/>
                <w:sz w:val="26"/>
              </w:rPr>
              <w:t> </w:t>
            </w:r>
            <w:r>
              <w:rPr>
                <w:rFonts w:ascii="Calibri" w:hAnsi="Calibri"/>
                <w:sz w:val="26"/>
              </w:rPr>
              <w:t>±</w:t>
            </w:r>
            <w:r>
              <w:rPr>
                <w:rFonts w:ascii="Calibri" w:hAnsi="Calibri"/>
                <w:spacing w:val="54"/>
                <w:sz w:val="26"/>
              </w:rPr>
              <w:t> </w:t>
            </w:r>
            <w:r>
              <w:rPr>
                <w:rFonts w:ascii="Calibri" w:hAnsi="Calibri"/>
                <w:spacing w:val="-2"/>
                <w:sz w:val="26"/>
              </w:rPr>
              <w:t>0.03</w:t>
            </w:r>
            <w:r>
              <w:rPr>
                <w:rFonts w:ascii="Calibri" w:hAnsi="Calibri"/>
                <w:spacing w:val="-2"/>
                <w:sz w:val="26"/>
                <w:vertAlign w:val="superscript"/>
              </w:rPr>
              <w:t>a</w:t>
            </w:r>
          </w:p>
        </w:tc>
        <w:tc>
          <w:tcPr>
            <w:tcW w:w="2493" w:type="dxa"/>
          </w:tcPr>
          <w:p>
            <w:pPr>
              <w:pStyle w:val="TableParagraph"/>
              <w:spacing w:before="78"/>
              <w:ind w:left="622"/>
              <w:jc w:val="left"/>
              <w:rPr>
                <w:rFonts w:ascii="Calibri" w:hAnsi="Calibri"/>
                <w:sz w:val="26"/>
              </w:rPr>
            </w:pPr>
            <w:r>
              <w:rPr>
                <w:rFonts w:ascii="Calibri" w:hAnsi="Calibri"/>
                <w:sz w:val="26"/>
              </w:rPr>
              <w:t>0.31</w:t>
            </w:r>
            <w:r>
              <w:rPr>
                <w:rFonts w:ascii="Calibri" w:hAnsi="Calibri"/>
                <w:spacing w:val="-4"/>
                <w:sz w:val="26"/>
              </w:rPr>
              <w:t> </w:t>
            </w:r>
            <w:r>
              <w:rPr>
                <w:rFonts w:ascii="Calibri" w:hAnsi="Calibri"/>
                <w:sz w:val="26"/>
              </w:rPr>
              <w:t>±</w:t>
            </w:r>
            <w:r>
              <w:rPr>
                <w:rFonts w:ascii="Calibri" w:hAnsi="Calibri"/>
                <w:spacing w:val="-4"/>
                <w:sz w:val="26"/>
              </w:rPr>
              <w:t> </w:t>
            </w:r>
            <w:r>
              <w:rPr>
                <w:rFonts w:ascii="Calibri" w:hAnsi="Calibri"/>
                <w:spacing w:val="-2"/>
                <w:sz w:val="26"/>
              </w:rPr>
              <w:t>0.02</w:t>
            </w:r>
            <w:r>
              <w:rPr>
                <w:rFonts w:ascii="Calibri" w:hAnsi="Calibri"/>
                <w:spacing w:val="-2"/>
                <w:sz w:val="26"/>
                <w:vertAlign w:val="superscript"/>
              </w:rPr>
              <w:t>a</w:t>
            </w:r>
          </w:p>
        </w:tc>
        <w:tc>
          <w:tcPr>
            <w:tcW w:w="1696" w:type="dxa"/>
          </w:tcPr>
          <w:p>
            <w:pPr>
              <w:pStyle w:val="TableParagraph"/>
              <w:spacing w:before="78"/>
              <w:ind w:left="13"/>
              <w:rPr>
                <w:rFonts w:ascii="Calibri"/>
                <w:sz w:val="26"/>
              </w:rPr>
            </w:pPr>
            <w:r>
              <w:rPr>
                <w:rFonts w:ascii="Calibri"/>
                <w:spacing w:val="-2"/>
                <w:sz w:val="26"/>
              </w:rPr>
              <w:t>0.717</w:t>
            </w:r>
          </w:p>
        </w:tc>
      </w:tr>
      <w:tr>
        <w:trPr>
          <w:trHeight w:val="480" w:hRule="atLeast"/>
        </w:trPr>
        <w:tc>
          <w:tcPr>
            <w:tcW w:w="1631" w:type="dxa"/>
          </w:tcPr>
          <w:p>
            <w:pPr>
              <w:pStyle w:val="TableParagraph"/>
              <w:spacing w:before="76"/>
              <w:ind w:left="309"/>
              <w:jc w:val="left"/>
              <w:rPr>
                <w:rFonts w:ascii="Calibri"/>
                <w:b/>
                <w:sz w:val="24"/>
              </w:rPr>
            </w:pPr>
            <w:r>
              <w:rPr>
                <w:rFonts w:ascii="Calibri"/>
                <w:b/>
                <w:sz w:val="24"/>
              </w:rPr>
              <w:t>MCV</w:t>
            </w:r>
            <w:r>
              <w:rPr>
                <w:rFonts w:ascii="Calibri"/>
                <w:b/>
                <w:spacing w:val="-2"/>
                <w:sz w:val="24"/>
              </w:rPr>
              <w:t> </w:t>
            </w:r>
            <w:r>
              <w:rPr>
                <w:rFonts w:ascii="Calibri"/>
                <w:b/>
                <w:spacing w:val="-4"/>
                <w:sz w:val="24"/>
              </w:rPr>
              <w:t>(FL)</w:t>
            </w:r>
          </w:p>
        </w:tc>
        <w:tc>
          <w:tcPr>
            <w:tcW w:w="2348" w:type="dxa"/>
          </w:tcPr>
          <w:p>
            <w:pPr>
              <w:pStyle w:val="TableParagraph"/>
              <w:spacing w:before="76"/>
              <w:ind w:right="484"/>
              <w:jc w:val="right"/>
              <w:rPr>
                <w:rFonts w:ascii="Calibri" w:hAnsi="Calibri"/>
                <w:sz w:val="26"/>
              </w:rPr>
            </w:pPr>
            <w:r>
              <w:rPr>
                <w:rFonts w:ascii="Calibri" w:hAnsi="Calibri"/>
                <w:sz w:val="26"/>
              </w:rPr>
              <w:t>87.42</w:t>
            </w:r>
            <w:r>
              <w:rPr>
                <w:rFonts w:ascii="Calibri" w:hAnsi="Calibri"/>
                <w:spacing w:val="-5"/>
                <w:sz w:val="26"/>
              </w:rPr>
              <w:t> </w:t>
            </w:r>
            <w:r>
              <w:rPr>
                <w:rFonts w:ascii="Calibri" w:hAnsi="Calibri"/>
                <w:sz w:val="26"/>
              </w:rPr>
              <w:t>±</w:t>
            </w:r>
            <w:r>
              <w:rPr>
                <w:rFonts w:ascii="Calibri" w:hAnsi="Calibri"/>
                <w:spacing w:val="-4"/>
                <w:sz w:val="26"/>
              </w:rPr>
              <w:t> </w:t>
            </w:r>
            <w:r>
              <w:rPr>
                <w:rFonts w:ascii="Calibri" w:hAnsi="Calibri"/>
                <w:spacing w:val="-2"/>
                <w:sz w:val="26"/>
              </w:rPr>
              <w:t>11.41</w:t>
            </w:r>
            <w:r>
              <w:rPr>
                <w:rFonts w:ascii="Calibri" w:hAnsi="Calibri"/>
                <w:spacing w:val="-2"/>
                <w:sz w:val="26"/>
                <w:vertAlign w:val="superscript"/>
              </w:rPr>
              <w:t>a</w:t>
            </w:r>
          </w:p>
        </w:tc>
        <w:tc>
          <w:tcPr>
            <w:tcW w:w="2493" w:type="dxa"/>
          </w:tcPr>
          <w:p>
            <w:pPr>
              <w:pStyle w:val="TableParagraph"/>
              <w:spacing w:before="76"/>
              <w:ind w:left="553"/>
              <w:jc w:val="left"/>
              <w:rPr>
                <w:rFonts w:ascii="Calibri" w:hAnsi="Calibri"/>
                <w:sz w:val="26"/>
              </w:rPr>
            </w:pPr>
            <w:r>
              <w:rPr>
                <w:rFonts w:ascii="Calibri" w:hAnsi="Calibri"/>
                <w:sz w:val="26"/>
              </w:rPr>
              <w:t>92.82</w:t>
            </w:r>
            <w:r>
              <w:rPr>
                <w:rFonts w:ascii="Calibri" w:hAnsi="Calibri"/>
                <w:spacing w:val="-5"/>
                <w:sz w:val="26"/>
              </w:rPr>
              <w:t> </w:t>
            </w:r>
            <w:r>
              <w:rPr>
                <w:rFonts w:ascii="Calibri" w:hAnsi="Calibri"/>
                <w:sz w:val="26"/>
              </w:rPr>
              <w:t>±</w:t>
            </w:r>
            <w:r>
              <w:rPr>
                <w:rFonts w:ascii="Calibri" w:hAnsi="Calibri"/>
                <w:spacing w:val="-4"/>
                <w:sz w:val="26"/>
              </w:rPr>
              <w:t> </w:t>
            </w:r>
            <w:r>
              <w:rPr>
                <w:rFonts w:ascii="Calibri" w:hAnsi="Calibri"/>
                <w:spacing w:val="-2"/>
                <w:sz w:val="26"/>
              </w:rPr>
              <w:t>6.99</w:t>
            </w:r>
            <w:r>
              <w:rPr>
                <w:rFonts w:ascii="Calibri" w:hAnsi="Calibri"/>
                <w:spacing w:val="-2"/>
                <w:sz w:val="26"/>
                <w:vertAlign w:val="superscript"/>
              </w:rPr>
              <w:t>b</w:t>
            </w:r>
          </w:p>
        </w:tc>
        <w:tc>
          <w:tcPr>
            <w:tcW w:w="1696" w:type="dxa"/>
          </w:tcPr>
          <w:p>
            <w:pPr>
              <w:pStyle w:val="TableParagraph"/>
              <w:spacing w:before="76"/>
              <w:ind w:left="13"/>
              <w:rPr>
                <w:rFonts w:ascii="Calibri"/>
                <w:sz w:val="26"/>
              </w:rPr>
            </w:pPr>
            <w:r>
              <w:rPr>
                <w:rFonts w:ascii="Calibri"/>
                <w:spacing w:val="-2"/>
                <w:sz w:val="26"/>
              </w:rPr>
              <w:t>0.038</w:t>
            </w:r>
          </w:p>
        </w:tc>
      </w:tr>
      <w:tr>
        <w:trPr>
          <w:trHeight w:val="495" w:hRule="atLeast"/>
        </w:trPr>
        <w:tc>
          <w:tcPr>
            <w:tcW w:w="1631" w:type="dxa"/>
          </w:tcPr>
          <w:p>
            <w:pPr>
              <w:pStyle w:val="TableParagraph"/>
              <w:spacing w:before="91"/>
              <w:ind w:left="290"/>
              <w:jc w:val="left"/>
              <w:rPr>
                <w:rFonts w:ascii="Calibri"/>
                <w:b/>
                <w:sz w:val="24"/>
              </w:rPr>
            </w:pPr>
            <w:r>
              <w:rPr>
                <w:rFonts w:ascii="Calibri"/>
                <w:b/>
                <w:sz w:val="24"/>
              </w:rPr>
              <w:t>MCH</w:t>
            </w:r>
            <w:r>
              <w:rPr>
                <w:rFonts w:ascii="Calibri"/>
                <w:b/>
                <w:spacing w:val="-1"/>
                <w:sz w:val="24"/>
              </w:rPr>
              <w:t> </w:t>
            </w:r>
            <w:r>
              <w:rPr>
                <w:rFonts w:ascii="Calibri"/>
                <w:b/>
                <w:spacing w:val="-4"/>
                <w:sz w:val="24"/>
              </w:rPr>
              <w:t>(pg)</w:t>
            </w:r>
          </w:p>
        </w:tc>
        <w:tc>
          <w:tcPr>
            <w:tcW w:w="2348" w:type="dxa"/>
          </w:tcPr>
          <w:p>
            <w:pPr>
              <w:pStyle w:val="TableParagraph"/>
              <w:spacing w:before="91"/>
              <w:ind w:left="416"/>
              <w:jc w:val="left"/>
              <w:rPr>
                <w:rFonts w:ascii="Calibri" w:hAnsi="Calibri"/>
                <w:sz w:val="26"/>
              </w:rPr>
            </w:pPr>
            <w:r>
              <w:rPr>
                <w:rFonts w:ascii="Calibri" w:hAnsi="Calibri"/>
                <w:sz w:val="26"/>
              </w:rPr>
              <w:t>28.10</w:t>
            </w:r>
            <w:r>
              <w:rPr>
                <w:rFonts w:ascii="Calibri" w:hAnsi="Calibri"/>
                <w:spacing w:val="-5"/>
                <w:sz w:val="26"/>
              </w:rPr>
              <w:t> </w:t>
            </w:r>
            <w:r>
              <w:rPr>
                <w:rFonts w:ascii="Calibri" w:hAnsi="Calibri"/>
                <w:sz w:val="26"/>
              </w:rPr>
              <w:t>±</w:t>
            </w:r>
            <w:r>
              <w:rPr>
                <w:rFonts w:ascii="Calibri" w:hAnsi="Calibri"/>
                <w:spacing w:val="-4"/>
                <w:sz w:val="26"/>
              </w:rPr>
              <w:t> </w:t>
            </w:r>
            <w:r>
              <w:rPr>
                <w:rFonts w:ascii="Calibri" w:hAnsi="Calibri"/>
                <w:spacing w:val="-2"/>
                <w:sz w:val="26"/>
              </w:rPr>
              <w:t>3.09</w:t>
            </w:r>
            <w:r>
              <w:rPr>
                <w:rFonts w:ascii="Calibri" w:hAnsi="Calibri"/>
                <w:spacing w:val="-2"/>
                <w:sz w:val="26"/>
                <w:vertAlign w:val="superscript"/>
              </w:rPr>
              <w:t>a</w:t>
            </w:r>
          </w:p>
        </w:tc>
        <w:tc>
          <w:tcPr>
            <w:tcW w:w="2493" w:type="dxa"/>
          </w:tcPr>
          <w:p>
            <w:pPr>
              <w:pStyle w:val="TableParagraph"/>
              <w:spacing w:before="91"/>
              <w:ind w:left="557"/>
              <w:jc w:val="left"/>
              <w:rPr>
                <w:rFonts w:ascii="Calibri" w:hAnsi="Calibri"/>
                <w:sz w:val="26"/>
              </w:rPr>
            </w:pPr>
            <w:r>
              <w:rPr>
                <w:rFonts w:ascii="Calibri" w:hAnsi="Calibri"/>
                <w:sz w:val="26"/>
              </w:rPr>
              <w:t>29.44</w:t>
            </w:r>
            <w:r>
              <w:rPr>
                <w:rFonts w:ascii="Calibri" w:hAnsi="Calibri"/>
                <w:spacing w:val="-5"/>
                <w:sz w:val="26"/>
              </w:rPr>
              <w:t> </w:t>
            </w:r>
            <w:r>
              <w:rPr>
                <w:rFonts w:ascii="Calibri" w:hAnsi="Calibri"/>
                <w:sz w:val="26"/>
              </w:rPr>
              <w:t>±</w:t>
            </w:r>
            <w:r>
              <w:rPr>
                <w:rFonts w:ascii="Calibri" w:hAnsi="Calibri"/>
                <w:spacing w:val="-4"/>
                <w:sz w:val="26"/>
              </w:rPr>
              <w:t> </w:t>
            </w:r>
            <w:r>
              <w:rPr>
                <w:rFonts w:ascii="Calibri" w:hAnsi="Calibri"/>
                <w:spacing w:val="-2"/>
                <w:sz w:val="26"/>
              </w:rPr>
              <w:t>2.54</w:t>
            </w:r>
            <w:r>
              <w:rPr>
                <w:rFonts w:ascii="Calibri" w:hAnsi="Calibri"/>
                <w:spacing w:val="-2"/>
                <w:sz w:val="26"/>
                <w:vertAlign w:val="superscript"/>
              </w:rPr>
              <w:t>a</w:t>
            </w:r>
          </w:p>
        </w:tc>
        <w:tc>
          <w:tcPr>
            <w:tcW w:w="1696" w:type="dxa"/>
          </w:tcPr>
          <w:p>
            <w:pPr>
              <w:pStyle w:val="TableParagraph"/>
              <w:spacing w:before="91"/>
              <w:ind w:left="13"/>
              <w:rPr>
                <w:rFonts w:ascii="Calibri"/>
                <w:sz w:val="26"/>
              </w:rPr>
            </w:pPr>
            <w:r>
              <w:rPr>
                <w:rFonts w:ascii="Calibri"/>
                <w:spacing w:val="-2"/>
                <w:sz w:val="26"/>
              </w:rPr>
              <w:t>0.062</w:t>
            </w:r>
          </w:p>
        </w:tc>
      </w:tr>
      <w:tr>
        <w:trPr>
          <w:trHeight w:val="589" w:hRule="atLeast"/>
        </w:trPr>
        <w:tc>
          <w:tcPr>
            <w:tcW w:w="1631" w:type="dxa"/>
            <w:tcBorders>
              <w:bottom w:val="single" w:sz="8" w:space="0" w:color="000000"/>
            </w:tcBorders>
          </w:tcPr>
          <w:p>
            <w:pPr>
              <w:pStyle w:val="TableParagraph"/>
              <w:spacing w:before="92"/>
              <w:ind w:right="322"/>
              <w:jc w:val="right"/>
              <w:rPr>
                <w:rFonts w:ascii="Calibri"/>
                <w:b/>
                <w:sz w:val="24"/>
              </w:rPr>
            </w:pPr>
            <w:r>
              <w:rPr>
                <w:rFonts w:ascii="Calibri"/>
                <w:b/>
                <w:sz w:val="24"/>
              </w:rPr>
              <w:t>MCHC</w:t>
            </w:r>
            <w:r>
              <w:rPr>
                <w:rFonts w:ascii="Calibri"/>
                <w:b/>
                <w:spacing w:val="-4"/>
                <w:sz w:val="24"/>
              </w:rPr>
              <w:t> </w:t>
            </w:r>
            <w:r>
              <w:rPr>
                <w:rFonts w:ascii="Calibri"/>
                <w:b/>
                <w:spacing w:val="-2"/>
                <w:sz w:val="24"/>
              </w:rPr>
              <w:t>(g/l)</w:t>
            </w:r>
          </w:p>
        </w:tc>
        <w:tc>
          <w:tcPr>
            <w:tcW w:w="2348" w:type="dxa"/>
            <w:tcBorders>
              <w:bottom w:val="single" w:sz="8" w:space="0" w:color="000000"/>
            </w:tcBorders>
          </w:tcPr>
          <w:p>
            <w:pPr>
              <w:pStyle w:val="TableParagraph"/>
              <w:spacing w:before="92"/>
              <w:ind w:right="484"/>
              <w:jc w:val="right"/>
              <w:rPr>
                <w:rFonts w:ascii="Calibri" w:hAnsi="Calibri"/>
                <w:sz w:val="26"/>
              </w:rPr>
            </w:pPr>
            <w:r>
              <w:rPr>
                <w:rFonts w:ascii="Calibri" w:hAnsi="Calibri"/>
                <w:sz w:val="26"/>
              </w:rPr>
              <w:t>329.30</w:t>
            </w:r>
            <w:r>
              <w:rPr>
                <w:rFonts w:ascii="Calibri" w:hAnsi="Calibri"/>
                <w:spacing w:val="-6"/>
                <w:sz w:val="26"/>
              </w:rPr>
              <w:t> </w:t>
            </w:r>
            <w:r>
              <w:rPr>
                <w:rFonts w:ascii="Calibri" w:hAnsi="Calibri"/>
                <w:sz w:val="26"/>
              </w:rPr>
              <w:t>±</w:t>
            </w:r>
            <w:r>
              <w:rPr>
                <w:rFonts w:ascii="Calibri" w:hAnsi="Calibri"/>
                <w:spacing w:val="-6"/>
                <w:sz w:val="26"/>
              </w:rPr>
              <w:t> </w:t>
            </w:r>
            <w:r>
              <w:rPr>
                <w:rFonts w:ascii="Calibri" w:hAnsi="Calibri"/>
                <w:spacing w:val="-2"/>
                <w:sz w:val="26"/>
              </w:rPr>
              <w:t>7.88</w:t>
            </w:r>
            <w:r>
              <w:rPr>
                <w:rFonts w:ascii="Calibri" w:hAnsi="Calibri"/>
                <w:spacing w:val="-2"/>
                <w:sz w:val="26"/>
                <w:vertAlign w:val="superscript"/>
              </w:rPr>
              <w:t>a</w:t>
            </w:r>
          </w:p>
        </w:tc>
        <w:tc>
          <w:tcPr>
            <w:tcW w:w="2493" w:type="dxa"/>
            <w:tcBorders>
              <w:bottom w:val="single" w:sz="8" w:space="0" w:color="000000"/>
            </w:tcBorders>
          </w:tcPr>
          <w:p>
            <w:pPr>
              <w:pStyle w:val="TableParagraph"/>
              <w:spacing w:before="92"/>
              <w:ind w:left="490"/>
              <w:jc w:val="left"/>
              <w:rPr>
                <w:rFonts w:ascii="Calibri" w:hAnsi="Calibri"/>
                <w:sz w:val="26"/>
              </w:rPr>
            </w:pPr>
            <w:r>
              <w:rPr>
                <w:rFonts w:ascii="Calibri" w:hAnsi="Calibri"/>
                <w:sz w:val="26"/>
              </w:rPr>
              <w:t>317.30</w:t>
            </w:r>
            <w:r>
              <w:rPr>
                <w:rFonts w:ascii="Calibri" w:hAnsi="Calibri"/>
                <w:spacing w:val="-6"/>
                <w:sz w:val="26"/>
              </w:rPr>
              <w:t> </w:t>
            </w:r>
            <w:r>
              <w:rPr>
                <w:rFonts w:ascii="Calibri" w:hAnsi="Calibri"/>
                <w:sz w:val="26"/>
              </w:rPr>
              <w:t>±</w:t>
            </w:r>
            <w:r>
              <w:rPr>
                <w:rFonts w:ascii="Calibri" w:hAnsi="Calibri"/>
                <w:spacing w:val="-5"/>
                <w:sz w:val="26"/>
              </w:rPr>
              <w:t> </w:t>
            </w:r>
            <w:r>
              <w:rPr>
                <w:rFonts w:ascii="Calibri" w:hAnsi="Calibri"/>
                <w:spacing w:val="-2"/>
                <w:sz w:val="26"/>
              </w:rPr>
              <w:t>1.56</w:t>
            </w:r>
            <w:r>
              <w:rPr>
                <w:rFonts w:ascii="Calibri" w:hAnsi="Calibri"/>
                <w:spacing w:val="-2"/>
                <w:sz w:val="26"/>
                <w:vertAlign w:val="superscript"/>
              </w:rPr>
              <w:t>a</w:t>
            </w:r>
          </w:p>
        </w:tc>
        <w:tc>
          <w:tcPr>
            <w:tcW w:w="1696" w:type="dxa"/>
            <w:tcBorders>
              <w:bottom w:val="single" w:sz="8" w:space="0" w:color="000000"/>
            </w:tcBorders>
          </w:tcPr>
          <w:p>
            <w:pPr>
              <w:pStyle w:val="TableParagraph"/>
              <w:spacing w:before="92"/>
              <w:ind w:left="13"/>
              <w:rPr>
                <w:rFonts w:ascii="Calibri"/>
                <w:sz w:val="26"/>
              </w:rPr>
            </w:pPr>
            <w:r>
              <w:rPr>
                <w:rFonts w:ascii="Calibri"/>
                <w:spacing w:val="-2"/>
                <w:sz w:val="26"/>
              </w:rPr>
              <w:t>0.489</w:t>
            </w:r>
          </w:p>
        </w:tc>
      </w:tr>
    </w:tbl>
    <w:p>
      <w:pPr>
        <w:pStyle w:val="BodyText"/>
        <w:spacing w:before="212"/>
        <w:rPr>
          <w:rFonts w:ascii="Calibri"/>
          <w:b/>
        </w:rPr>
      </w:pPr>
    </w:p>
    <w:p>
      <w:pPr>
        <w:spacing w:line="228" w:lineRule="exact" w:before="0"/>
        <w:ind w:left="560" w:right="0" w:firstLine="0"/>
        <w:jc w:val="left"/>
        <w:rPr>
          <w:b/>
          <w:sz w:val="20"/>
        </w:rPr>
      </w:pPr>
      <w:r>
        <w:rPr>
          <w:b/>
          <w:spacing w:val="-4"/>
          <w:sz w:val="20"/>
        </w:rPr>
        <w:t>Key:</w:t>
      </w:r>
    </w:p>
    <w:p>
      <w:pPr>
        <w:spacing w:line="228" w:lineRule="exact" w:before="0"/>
        <w:ind w:left="560" w:right="0" w:firstLine="0"/>
        <w:jc w:val="left"/>
        <w:rPr>
          <w:sz w:val="20"/>
        </w:rPr>
      </w:pPr>
      <w:r>
        <w:rPr>
          <w:sz w:val="20"/>
        </w:rPr>
        <w:t>α-level</w:t>
      </w:r>
      <w:r>
        <w:rPr>
          <w:spacing w:val="45"/>
          <w:sz w:val="20"/>
        </w:rPr>
        <w:t> </w:t>
      </w:r>
      <w:r>
        <w:rPr>
          <w:sz w:val="20"/>
        </w:rPr>
        <w:t>set</w:t>
      </w:r>
      <w:r>
        <w:rPr>
          <w:spacing w:val="-4"/>
          <w:sz w:val="20"/>
        </w:rPr>
        <w:t> </w:t>
      </w:r>
      <w:r>
        <w:rPr>
          <w:sz w:val="20"/>
        </w:rPr>
        <w:t>at</w:t>
      </w:r>
      <w:r>
        <w:rPr>
          <w:spacing w:val="-4"/>
          <w:sz w:val="20"/>
        </w:rPr>
        <w:t> 0.05</w:t>
      </w:r>
    </w:p>
    <w:p>
      <w:pPr>
        <w:spacing w:line="229" w:lineRule="exact" w:before="1"/>
        <w:ind w:left="560" w:right="0" w:firstLine="0"/>
        <w:jc w:val="left"/>
        <w:rPr>
          <w:sz w:val="20"/>
        </w:rPr>
      </w:pPr>
      <w:r>
        <w:rPr>
          <w:sz w:val="20"/>
        </w:rPr>
        <w:t>a</w:t>
      </w:r>
      <w:r>
        <w:rPr>
          <w:spacing w:val="-5"/>
          <w:sz w:val="20"/>
        </w:rPr>
        <w:t> </w:t>
      </w:r>
      <w:r>
        <w:rPr>
          <w:sz w:val="20"/>
        </w:rPr>
        <w:t>and</w:t>
      </w:r>
      <w:r>
        <w:rPr>
          <w:spacing w:val="-3"/>
          <w:sz w:val="20"/>
        </w:rPr>
        <w:t> </w:t>
      </w:r>
      <w:r>
        <w:rPr>
          <w:sz w:val="20"/>
        </w:rPr>
        <w:t>b</w:t>
      </w:r>
      <w:r>
        <w:rPr>
          <w:spacing w:val="-4"/>
          <w:sz w:val="20"/>
        </w:rPr>
        <w:t> </w:t>
      </w:r>
      <w:r>
        <w:rPr>
          <w:sz w:val="20"/>
        </w:rPr>
        <w:t>are</w:t>
      </w:r>
      <w:r>
        <w:rPr>
          <w:spacing w:val="-4"/>
          <w:sz w:val="20"/>
        </w:rPr>
        <w:t> </w:t>
      </w:r>
      <w:r>
        <w:rPr>
          <w:sz w:val="20"/>
        </w:rPr>
        <w:t>superscripts</w:t>
      </w:r>
      <w:r>
        <w:rPr>
          <w:spacing w:val="-6"/>
          <w:sz w:val="20"/>
        </w:rPr>
        <w:t> </w:t>
      </w:r>
      <w:r>
        <w:rPr>
          <w:sz w:val="20"/>
        </w:rPr>
        <w:t>used</w:t>
      </w:r>
      <w:r>
        <w:rPr>
          <w:spacing w:val="-3"/>
          <w:sz w:val="20"/>
        </w:rPr>
        <w:t> </w:t>
      </w:r>
      <w:r>
        <w:rPr>
          <w:sz w:val="20"/>
        </w:rPr>
        <w:t>to</w:t>
      </w:r>
      <w:r>
        <w:rPr>
          <w:spacing w:val="-4"/>
          <w:sz w:val="20"/>
        </w:rPr>
        <w:t> </w:t>
      </w:r>
      <w:r>
        <w:rPr>
          <w:sz w:val="20"/>
        </w:rPr>
        <w:t>show</w:t>
      </w:r>
      <w:r>
        <w:rPr>
          <w:spacing w:val="-6"/>
          <w:sz w:val="20"/>
        </w:rPr>
        <w:t> </w:t>
      </w:r>
      <w:r>
        <w:rPr>
          <w:sz w:val="20"/>
        </w:rPr>
        <w:t>significant</w:t>
      </w:r>
      <w:r>
        <w:rPr>
          <w:spacing w:val="-5"/>
          <w:sz w:val="20"/>
        </w:rPr>
        <w:t> </w:t>
      </w:r>
      <w:r>
        <w:rPr>
          <w:spacing w:val="-2"/>
          <w:sz w:val="20"/>
        </w:rPr>
        <w:t>difference.</w:t>
      </w:r>
    </w:p>
    <w:p>
      <w:pPr>
        <w:spacing w:before="0"/>
        <w:ind w:left="560" w:right="3345" w:firstLine="0"/>
        <w:jc w:val="left"/>
        <w:rPr>
          <w:sz w:val="20"/>
        </w:rPr>
      </w:pPr>
      <w:r>
        <w:rPr>
          <w:sz w:val="20"/>
        </w:rPr>
        <w:t>Values</w:t>
      </w:r>
      <w:r>
        <w:rPr>
          <w:spacing w:val="-3"/>
          <w:sz w:val="20"/>
        </w:rPr>
        <w:t> </w:t>
      </w:r>
      <w:r>
        <w:rPr>
          <w:sz w:val="20"/>
        </w:rPr>
        <w:t>not</w:t>
      </w:r>
      <w:r>
        <w:rPr>
          <w:spacing w:val="-5"/>
          <w:sz w:val="20"/>
        </w:rPr>
        <w:t> </w:t>
      </w:r>
      <w:r>
        <w:rPr>
          <w:sz w:val="20"/>
        </w:rPr>
        <w:t>sharing</w:t>
      </w:r>
      <w:r>
        <w:rPr>
          <w:spacing w:val="-5"/>
          <w:sz w:val="20"/>
        </w:rPr>
        <w:t> </w:t>
      </w:r>
      <w:r>
        <w:rPr>
          <w:sz w:val="20"/>
        </w:rPr>
        <w:t>the</w:t>
      </w:r>
      <w:r>
        <w:rPr>
          <w:spacing w:val="-4"/>
          <w:sz w:val="20"/>
        </w:rPr>
        <w:t> </w:t>
      </w:r>
      <w:r>
        <w:rPr>
          <w:sz w:val="20"/>
        </w:rPr>
        <w:t>same</w:t>
      </w:r>
      <w:r>
        <w:rPr>
          <w:spacing w:val="-4"/>
          <w:sz w:val="20"/>
        </w:rPr>
        <w:t> </w:t>
      </w:r>
      <w:r>
        <w:rPr>
          <w:sz w:val="20"/>
        </w:rPr>
        <w:t>superscript</w:t>
      </w:r>
      <w:r>
        <w:rPr>
          <w:spacing w:val="-3"/>
          <w:sz w:val="20"/>
        </w:rPr>
        <w:t> </w:t>
      </w:r>
      <w:r>
        <w:rPr>
          <w:sz w:val="20"/>
        </w:rPr>
        <w:t>means</w:t>
      </w:r>
      <w:r>
        <w:rPr>
          <w:spacing w:val="-5"/>
          <w:sz w:val="20"/>
        </w:rPr>
        <w:t> </w:t>
      </w:r>
      <w:r>
        <w:rPr>
          <w:sz w:val="20"/>
        </w:rPr>
        <w:t>there</w:t>
      </w:r>
      <w:r>
        <w:rPr>
          <w:spacing w:val="-4"/>
          <w:sz w:val="20"/>
        </w:rPr>
        <w:t> </w:t>
      </w:r>
      <w:r>
        <w:rPr>
          <w:sz w:val="20"/>
        </w:rPr>
        <w:t>is</w:t>
      </w:r>
      <w:r>
        <w:rPr>
          <w:spacing w:val="-5"/>
          <w:sz w:val="20"/>
        </w:rPr>
        <w:t> </w:t>
      </w:r>
      <w:r>
        <w:rPr>
          <w:sz w:val="20"/>
        </w:rPr>
        <w:t>a</w:t>
      </w:r>
      <w:r>
        <w:rPr>
          <w:spacing w:val="-4"/>
          <w:sz w:val="20"/>
        </w:rPr>
        <w:t> </w:t>
      </w:r>
      <w:r>
        <w:rPr>
          <w:sz w:val="20"/>
        </w:rPr>
        <w:t>significant</w:t>
      </w:r>
      <w:r>
        <w:rPr>
          <w:spacing w:val="-5"/>
          <w:sz w:val="20"/>
        </w:rPr>
        <w:t> </w:t>
      </w:r>
      <w:r>
        <w:rPr>
          <w:sz w:val="20"/>
        </w:rPr>
        <w:t>difference Values sharing the same superscript means there is no significant difference</w:t>
      </w:r>
    </w:p>
    <w:p>
      <w:pPr>
        <w:spacing w:after="0"/>
        <w:jc w:val="left"/>
        <w:rPr>
          <w:sz w:val="20"/>
        </w:rPr>
        <w:sectPr>
          <w:pgSz w:w="11910" w:h="16840"/>
          <w:pgMar w:header="0" w:footer="1067" w:top="1100" w:bottom="1260" w:left="880" w:right="640"/>
        </w:sectPr>
      </w:pPr>
    </w:p>
    <w:p>
      <w:pPr>
        <w:pStyle w:val="BodyText"/>
        <w:spacing w:line="480" w:lineRule="auto" w:before="70"/>
        <w:ind w:left="560" w:right="799"/>
        <w:jc w:val="both"/>
      </w:pPr>
      <w:r>
        <w:rPr/>
        <w:t>Table 4.19Random blood sugar, creatinine and C-RP levels of malaria infected pregnant women compared with the uninfected pregnant women and control group.</w:t>
      </w:r>
    </w:p>
    <w:p>
      <w:pPr>
        <w:pStyle w:val="BodyText"/>
        <w:spacing w:line="480" w:lineRule="auto" w:before="1"/>
        <w:ind w:left="560" w:right="796"/>
        <w:jc w:val="both"/>
      </w:pPr>
      <w:r>
        <w:rPr/>
        <w:t>Group 1 and 2 were used to represent malaria infected and uninfected pregnant subjects respectively</w:t>
      </w:r>
      <w:r>
        <w:rPr>
          <w:spacing w:val="-1"/>
        </w:rPr>
        <w:t> </w:t>
      </w:r>
      <w:r>
        <w:rPr/>
        <w:t>while groups 5 and 6 represent the malaria infected and uninfected non-pregnant </w:t>
      </w:r>
      <w:r>
        <w:rPr>
          <w:spacing w:val="-2"/>
        </w:rPr>
        <w:t>subjects.</w:t>
      </w:r>
    </w:p>
    <w:p>
      <w:pPr>
        <w:pStyle w:val="BodyText"/>
        <w:spacing w:line="480" w:lineRule="auto" w:before="2"/>
        <w:ind w:left="560" w:right="795"/>
        <w:jc w:val="both"/>
      </w:pPr>
      <w:r>
        <w:rPr/>
        <w:t>For RBS, the mean</w:t>
      </w:r>
      <w:r>
        <w:rPr>
          <w:rFonts w:ascii="Symbol" w:hAnsi="Symbol"/>
        </w:rPr>
        <w:t></w:t>
      </w:r>
      <w:r>
        <w:rPr/>
        <w:t>SD (57.82</w:t>
      </w:r>
      <w:r>
        <w:rPr>
          <w:rFonts w:ascii="Symbol" w:hAnsi="Symbol"/>
        </w:rPr>
        <w:t></w:t>
      </w:r>
      <w:r>
        <w:rPr/>
        <w:t>21.55)for group 1 subjects was lower and showed no significant difference(P&gt;0.05) when compared to 68.97</w:t>
      </w:r>
      <w:r>
        <w:rPr>
          <w:rFonts w:ascii="Symbol" w:hAnsi="Symbol"/>
        </w:rPr>
        <w:t></w:t>
      </w:r>
      <w:r>
        <w:rPr/>
        <w:t>31.24 for group 2 subjects but showed significant difference (P&lt;0.05) when compared with 79.00</w:t>
      </w:r>
      <w:r>
        <w:rPr>
          <w:rFonts w:ascii="Symbol" w:hAnsi="Symbol"/>
        </w:rPr>
        <w:t></w:t>
      </w:r>
      <w:r>
        <w:rPr/>
        <w:t>18.68 and 91.40</w:t>
      </w:r>
      <w:r>
        <w:rPr>
          <w:rFonts w:ascii="Symbol" w:hAnsi="Symbol"/>
        </w:rPr>
        <w:t></w:t>
      </w:r>
      <w:r>
        <w:rPr/>
        <w:t>17.63 for women in groups 5 and 6 respectively.</w:t>
      </w:r>
      <w:r>
        <w:rPr>
          <w:spacing w:val="40"/>
        </w:rPr>
        <w:t> </w:t>
      </w:r>
      <w:r>
        <w:rPr/>
        <w:t>The mean</w:t>
      </w:r>
      <w:r>
        <w:rPr>
          <w:rFonts w:ascii="Symbol" w:hAnsi="Symbol"/>
        </w:rPr>
        <w:t></w:t>
      </w:r>
      <w:r>
        <w:rPr/>
        <w:t>SD for group 2 subjects showed no significant difference(P&gt;0.05) when compared to that for group 5 subjects but was significantly lower (P&lt;0.05) than 91.40</w:t>
      </w:r>
      <w:r>
        <w:rPr>
          <w:rFonts w:ascii="Symbol" w:hAnsi="Symbol"/>
        </w:rPr>
        <w:t></w:t>
      </w:r>
      <w:r>
        <w:rPr/>
        <w:t>17.63 for group 6 subjects. On the other hand, the mean</w:t>
      </w:r>
      <w:r>
        <w:rPr>
          <w:rFonts w:ascii="Symbol" w:hAnsi="Symbol"/>
        </w:rPr>
        <w:t></w:t>
      </w:r>
      <w:r>
        <w:rPr/>
        <w:t>SD for group 5 subjects showed no significant difference (P&gt;0.05) when compared with that for group 6 subjects.</w:t>
      </w:r>
    </w:p>
    <w:p>
      <w:pPr>
        <w:pStyle w:val="BodyText"/>
        <w:spacing w:line="480" w:lineRule="auto"/>
        <w:ind w:left="560" w:right="798"/>
        <w:jc w:val="both"/>
      </w:pPr>
      <w:r>
        <w:rPr/>
        <w:t>For</w:t>
      </w:r>
      <w:r>
        <w:rPr>
          <w:spacing w:val="-2"/>
        </w:rPr>
        <w:t> </w:t>
      </w:r>
      <w:r>
        <w:rPr/>
        <w:t>creatinine</w:t>
      </w:r>
      <w:r>
        <w:rPr>
          <w:spacing w:val="-2"/>
        </w:rPr>
        <w:t> </w:t>
      </w:r>
      <w:r>
        <w:rPr/>
        <w:t>level,</w:t>
      </w:r>
      <w:r>
        <w:rPr>
          <w:spacing w:val="-1"/>
        </w:rPr>
        <w:t> </w:t>
      </w:r>
      <w:r>
        <w:rPr/>
        <w:t>the</w:t>
      </w:r>
      <w:r>
        <w:rPr>
          <w:spacing w:val="-2"/>
        </w:rPr>
        <w:t> </w:t>
      </w:r>
      <w:r>
        <w:rPr/>
        <w:t>mean</w:t>
      </w:r>
      <w:r>
        <w:rPr>
          <w:rFonts w:ascii="Symbol" w:hAnsi="Symbol"/>
        </w:rPr>
        <w:t></w:t>
      </w:r>
      <w:r>
        <w:rPr/>
        <w:t>SD</w:t>
      </w:r>
      <w:r>
        <w:rPr>
          <w:spacing w:val="-2"/>
        </w:rPr>
        <w:t> </w:t>
      </w:r>
      <w:r>
        <w:rPr/>
        <w:t>1.32</w:t>
      </w:r>
      <w:r>
        <w:rPr>
          <w:rFonts w:ascii="Symbol" w:hAnsi="Symbol"/>
        </w:rPr>
        <w:t></w:t>
      </w:r>
      <w:r>
        <w:rPr/>
        <w:t>1.59,</w:t>
      </w:r>
      <w:r>
        <w:rPr>
          <w:spacing w:val="-1"/>
        </w:rPr>
        <w:t> </w:t>
      </w:r>
      <w:r>
        <w:rPr/>
        <w:t>1.09</w:t>
      </w:r>
      <w:r>
        <w:rPr>
          <w:rFonts w:ascii="Symbol" w:hAnsi="Symbol"/>
        </w:rPr>
        <w:t></w:t>
      </w:r>
      <w:r>
        <w:rPr/>
        <w:t>0.44,</w:t>
      </w:r>
      <w:r>
        <w:rPr>
          <w:spacing w:val="-1"/>
        </w:rPr>
        <w:t> </w:t>
      </w:r>
      <w:r>
        <w:rPr/>
        <w:t>1.24</w:t>
      </w:r>
      <w:r>
        <w:rPr>
          <w:rFonts w:ascii="Symbol" w:hAnsi="Symbol"/>
        </w:rPr>
        <w:t></w:t>
      </w:r>
      <w:r>
        <w:rPr/>
        <w:t>0.38</w:t>
      </w:r>
      <w:r>
        <w:rPr>
          <w:spacing w:val="-1"/>
        </w:rPr>
        <w:t> </w:t>
      </w:r>
      <w:r>
        <w:rPr/>
        <w:t>and</w:t>
      </w:r>
      <w:r>
        <w:rPr>
          <w:spacing w:val="-1"/>
        </w:rPr>
        <w:t> </w:t>
      </w:r>
      <w:r>
        <w:rPr/>
        <w:t>1.24</w:t>
      </w:r>
      <w:r>
        <w:rPr>
          <w:rFonts w:ascii="Symbol" w:hAnsi="Symbol"/>
        </w:rPr>
        <w:t></w:t>
      </w:r>
      <w:r>
        <w:rPr/>
        <w:t>0.39</w:t>
      </w:r>
      <w:r>
        <w:rPr>
          <w:spacing w:val="-1"/>
        </w:rPr>
        <w:t> </w:t>
      </w:r>
      <w:r>
        <w:rPr/>
        <w:t>for</w:t>
      </w:r>
      <w:r>
        <w:rPr>
          <w:spacing w:val="-2"/>
        </w:rPr>
        <w:t> </w:t>
      </w:r>
      <w:r>
        <w:rPr/>
        <w:t>groups 1, 2, 5, and 6subjects respectively showed no significant difference (P&gt;0.05) when compared within and between the groups.</w:t>
      </w:r>
    </w:p>
    <w:p>
      <w:pPr>
        <w:pStyle w:val="BodyText"/>
        <w:spacing w:line="480" w:lineRule="auto" w:before="1"/>
        <w:ind w:left="560" w:right="796"/>
        <w:jc w:val="both"/>
      </w:pPr>
      <w:r>
        <w:rPr/>
        <w:t>As for C-RP, the mean</w:t>
      </w:r>
      <w:r>
        <w:rPr>
          <w:rFonts w:ascii="Symbol" w:hAnsi="Symbol"/>
        </w:rPr>
        <w:t></w:t>
      </w:r>
      <w:r>
        <w:rPr/>
        <w:t>SD (6.09</w:t>
      </w:r>
      <w:r>
        <w:rPr>
          <w:rFonts w:ascii="Symbol" w:hAnsi="Symbol"/>
        </w:rPr>
        <w:t></w:t>
      </w:r>
      <w:r>
        <w:rPr/>
        <w:t>4.88)for group 1 women was significantly higher (P&lt;0.05) than 4.49</w:t>
      </w:r>
      <w:r>
        <w:rPr>
          <w:rFonts w:ascii="Symbol" w:hAnsi="Symbol"/>
        </w:rPr>
        <w:t></w:t>
      </w:r>
      <w:r>
        <w:rPr/>
        <w:t>2.74 for group 2 women, but showed no significant difference (P&gt;0.05) when compared with 5.36</w:t>
      </w:r>
      <w:r>
        <w:rPr>
          <w:rFonts w:ascii="Symbol" w:hAnsi="Symbol"/>
        </w:rPr>
        <w:t></w:t>
      </w:r>
      <w:r>
        <w:rPr/>
        <w:t>1.95 and 5.26</w:t>
      </w:r>
      <w:r>
        <w:rPr>
          <w:rFonts w:ascii="Symbol" w:hAnsi="Symbol"/>
        </w:rPr>
        <w:t></w:t>
      </w:r>
      <w:r>
        <w:rPr/>
        <w:t>1.97 for those of groups 5 and 6 women respectively. Also the mean</w:t>
      </w:r>
      <w:r>
        <w:rPr>
          <w:rFonts w:ascii="Symbol" w:hAnsi="Symbol"/>
        </w:rPr>
        <w:t></w:t>
      </w:r>
      <w:r>
        <w:rPr/>
        <w:t>SD for group 2 women showed no significant difference (P&gt;0.05) when compared with those for groups 5 and 6 women. Furthermore, there was no significant difference when the mean</w:t>
      </w:r>
      <w:r>
        <w:rPr>
          <w:rFonts w:ascii="Symbol" w:hAnsi="Symbol"/>
        </w:rPr>
        <w:t></w:t>
      </w:r>
      <w:r>
        <w:rPr/>
        <w:t>SD for group 5 women was compared with that for women in group 6 (P&gt;0.05)</w:t>
      </w:r>
    </w:p>
    <w:p>
      <w:pPr>
        <w:spacing w:after="0" w:line="480" w:lineRule="auto"/>
        <w:jc w:val="both"/>
        <w:sectPr>
          <w:pgSz w:w="11910" w:h="16840"/>
          <w:pgMar w:header="0" w:footer="1067" w:top="1060" w:bottom="1260" w:left="880" w:right="640"/>
        </w:sectPr>
      </w:pPr>
    </w:p>
    <w:p>
      <w:pPr>
        <w:pStyle w:val="Heading2"/>
        <w:spacing w:line="360" w:lineRule="auto" w:before="77"/>
        <w:ind w:right="793"/>
        <w:jc w:val="both"/>
      </w:pPr>
      <w:r>
        <w:rPr/>
        <w:t>TABLE 4.19: RANDOM BLOOD SUGAR, CREATININE AND C-RP LEVELS OF MALARIA INFECTED WOMEN COMPARED WITH THE UNINFECTED PREGNANT WOMEN AND CONTROL GROUP.</w:t>
      </w:r>
    </w:p>
    <w:p>
      <w:pPr>
        <w:pStyle w:val="BodyText"/>
        <w:spacing w:before="212"/>
        <w:rPr>
          <w:b/>
          <w:sz w:val="20"/>
        </w:rPr>
      </w:pPr>
    </w:p>
    <w:tbl>
      <w:tblPr>
        <w:tblW w:w="0" w:type="auto"/>
        <w:jc w:val="left"/>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3"/>
        <w:gridCol w:w="2256"/>
        <w:gridCol w:w="2296"/>
        <w:gridCol w:w="2491"/>
      </w:tblGrid>
      <w:tr>
        <w:trPr>
          <w:trHeight w:val="876" w:hRule="atLeast"/>
        </w:trPr>
        <w:tc>
          <w:tcPr>
            <w:tcW w:w="1893" w:type="dxa"/>
            <w:tcBorders>
              <w:top w:val="single" w:sz="4" w:space="0" w:color="000000"/>
              <w:bottom w:val="single" w:sz="4" w:space="0" w:color="000000"/>
            </w:tcBorders>
          </w:tcPr>
          <w:p>
            <w:pPr>
              <w:pStyle w:val="TableParagraph"/>
              <w:spacing w:line="292" w:lineRule="exact"/>
              <w:ind w:left="446"/>
              <w:jc w:val="left"/>
              <w:rPr>
                <w:rFonts w:ascii="Calibri"/>
                <w:b/>
                <w:sz w:val="24"/>
              </w:rPr>
            </w:pPr>
            <w:r>
              <w:rPr>
                <w:rFonts w:ascii="Calibri"/>
                <w:b/>
                <w:spacing w:val="-2"/>
                <w:sz w:val="24"/>
              </w:rPr>
              <w:t>GROUPS</w:t>
            </w:r>
          </w:p>
        </w:tc>
        <w:tc>
          <w:tcPr>
            <w:tcW w:w="2256" w:type="dxa"/>
            <w:tcBorders>
              <w:top w:val="single" w:sz="4" w:space="0" w:color="000000"/>
              <w:bottom w:val="single" w:sz="4" w:space="0" w:color="000000"/>
            </w:tcBorders>
          </w:tcPr>
          <w:p>
            <w:pPr>
              <w:pStyle w:val="TableParagraph"/>
              <w:spacing w:line="292" w:lineRule="exact"/>
              <w:ind w:left="3" w:right="53"/>
              <w:rPr>
                <w:rFonts w:ascii="Calibri"/>
                <w:b/>
                <w:sz w:val="24"/>
              </w:rPr>
            </w:pPr>
            <w:r>
              <w:rPr>
                <w:rFonts w:ascii="Calibri"/>
                <w:b/>
                <w:spacing w:val="-5"/>
                <w:sz w:val="24"/>
              </w:rPr>
              <w:t>RBS</w:t>
            </w:r>
          </w:p>
          <w:p>
            <w:pPr>
              <w:pStyle w:val="TableParagraph"/>
              <w:spacing w:before="146"/>
              <w:ind w:left="5" w:right="53"/>
              <w:rPr>
                <w:rFonts w:ascii="Calibri"/>
                <w:b/>
                <w:sz w:val="24"/>
              </w:rPr>
            </w:pPr>
            <w:r>
              <w:rPr>
                <w:rFonts w:ascii="Calibri"/>
                <w:b/>
                <w:spacing w:val="-2"/>
                <w:sz w:val="24"/>
              </w:rPr>
              <w:t>(mg/dl)</w:t>
            </w:r>
          </w:p>
        </w:tc>
        <w:tc>
          <w:tcPr>
            <w:tcW w:w="2296" w:type="dxa"/>
            <w:tcBorders>
              <w:top w:val="single" w:sz="4" w:space="0" w:color="000000"/>
              <w:bottom w:val="single" w:sz="4" w:space="0" w:color="000000"/>
            </w:tcBorders>
          </w:tcPr>
          <w:p>
            <w:pPr>
              <w:pStyle w:val="TableParagraph"/>
              <w:spacing w:line="292" w:lineRule="exact"/>
              <w:ind w:left="1" w:right="103"/>
              <w:rPr>
                <w:rFonts w:ascii="Calibri"/>
                <w:b/>
                <w:sz w:val="24"/>
              </w:rPr>
            </w:pPr>
            <w:r>
              <w:rPr>
                <w:rFonts w:ascii="Calibri"/>
                <w:b/>
                <w:spacing w:val="-2"/>
                <w:sz w:val="24"/>
              </w:rPr>
              <w:t>CREATININE</w:t>
            </w:r>
          </w:p>
          <w:p>
            <w:pPr>
              <w:pStyle w:val="TableParagraph"/>
              <w:spacing w:before="146"/>
              <w:ind w:right="103"/>
              <w:rPr>
                <w:rFonts w:ascii="Calibri"/>
                <w:b/>
                <w:sz w:val="24"/>
              </w:rPr>
            </w:pPr>
            <w:r>
              <w:rPr>
                <w:rFonts w:ascii="Calibri"/>
                <w:b/>
                <w:spacing w:val="-2"/>
                <w:sz w:val="24"/>
              </w:rPr>
              <w:t>(mg/dl)</w:t>
            </w:r>
          </w:p>
        </w:tc>
        <w:tc>
          <w:tcPr>
            <w:tcW w:w="2491" w:type="dxa"/>
            <w:tcBorders>
              <w:top w:val="single" w:sz="4" w:space="0" w:color="000000"/>
              <w:bottom w:val="single" w:sz="4" w:space="0" w:color="000000"/>
            </w:tcBorders>
          </w:tcPr>
          <w:p>
            <w:pPr>
              <w:pStyle w:val="TableParagraph"/>
              <w:spacing w:line="292" w:lineRule="exact"/>
              <w:ind w:left="3" w:right="210"/>
              <w:rPr>
                <w:rFonts w:ascii="Calibri"/>
                <w:b/>
                <w:sz w:val="24"/>
              </w:rPr>
            </w:pPr>
            <w:r>
              <w:rPr>
                <w:rFonts w:ascii="Calibri"/>
                <w:b/>
                <w:sz w:val="24"/>
              </w:rPr>
              <w:t>C-</w:t>
            </w:r>
            <w:r>
              <w:rPr>
                <w:rFonts w:ascii="Calibri"/>
                <w:b/>
                <w:spacing w:val="-5"/>
                <w:sz w:val="24"/>
              </w:rPr>
              <w:t>RP</w:t>
            </w:r>
          </w:p>
          <w:p>
            <w:pPr>
              <w:pStyle w:val="TableParagraph"/>
              <w:spacing w:before="146"/>
              <w:ind w:right="210"/>
              <w:rPr>
                <w:rFonts w:ascii="Calibri"/>
                <w:b/>
                <w:sz w:val="24"/>
              </w:rPr>
            </w:pPr>
            <w:r>
              <w:rPr>
                <w:rFonts w:ascii="Calibri"/>
                <w:b/>
                <w:spacing w:val="-2"/>
                <w:sz w:val="24"/>
              </w:rPr>
              <w:t>(mg/L)</w:t>
            </w:r>
          </w:p>
        </w:tc>
      </w:tr>
      <w:tr>
        <w:trPr>
          <w:trHeight w:val="362" w:hRule="atLeast"/>
        </w:trPr>
        <w:tc>
          <w:tcPr>
            <w:tcW w:w="1893" w:type="dxa"/>
            <w:tcBorders>
              <w:top w:val="single" w:sz="4" w:space="0" w:color="000000"/>
            </w:tcBorders>
          </w:tcPr>
          <w:p>
            <w:pPr>
              <w:pStyle w:val="TableParagraph"/>
              <w:spacing w:line="292" w:lineRule="exact"/>
              <w:ind w:right="418"/>
              <w:jc w:val="right"/>
              <w:rPr>
                <w:rFonts w:ascii="Calibri"/>
                <w:b/>
                <w:sz w:val="24"/>
              </w:rPr>
            </w:pPr>
            <w:r>
              <w:rPr>
                <w:rFonts w:ascii="Calibri"/>
                <w:b/>
                <w:sz w:val="24"/>
              </w:rPr>
              <w:t>G1</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4"/>
                <w:sz w:val="24"/>
              </w:rPr>
              <w:t>144)</w:t>
            </w:r>
          </w:p>
        </w:tc>
        <w:tc>
          <w:tcPr>
            <w:tcW w:w="2256" w:type="dxa"/>
            <w:tcBorders>
              <w:top w:val="single" w:sz="4" w:space="0" w:color="000000"/>
            </w:tcBorders>
          </w:tcPr>
          <w:p>
            <w:pPr>
              <w:pStyle w:val="TableParagraph"/>
              <w:spacing w:line="288" w:lineRule="exact"/>
              <w:ind w:left="2" w:right="53"/>
              <w:rPr>
                <w:sz w:val="24"/>
              </w:rPr>
            </w:pPr>
            <w:r>
              <w:rPr>
                <w:spacing w:val="-2"/>
                <w:sz w:val="24"/>
              </w:rPr>
              <w:t>57.82</w:t>
            </w:r>
            <w:r>
              <w:rPr>
                <w:rFonts w:ascii="Symbol" w:hAnsi="Symbol"/>
                <w:spacing w:val="-2"/>
                <w:sz w:val="24"/>
              </w:rPr>
              <w:t></w:t>
            </w:r>
            <w:r>
              <w:rPr>
                <w:spacing w:val="-2"/>
                <w:sz w:val="24"/>
              </w:rPr>
              <w:t>21.55</w:t>
            </w:r>
          </w:p>
        </w:tc>
        <w:tc>
          <w:tcPr>
            <w:tcW w:w="2296" w:type="dxa"/>
            <w:tcBorders>
              <w:top w:val="single" w:sz="4" w:space="0" w:color="000000"/>
            </w:tcBorders>
          </w:tcPr>
          <w:p>
            <w:pPr>
              <w:pStyle w:val="TableParagraph"/>
              <w:spacing w:line="288" w:lineRule="exact"/>
              <w:ind w:left="3" w:right="103"/>
              <w:rPr>
                <w:sz w:val="24"/>
              </w:rPr>
            </w:pPr>
            <w:r>
              <w:rPr>
                <w:spacing w:val="-2"/>
                <w:sz w:val="24"/>
              </w:rPr>
              <w:t>1.32</w:t>
            </w:r>
            <w:r>
              <w:rPr>
                <w:rFonts w:ascii="Symbol" w:hAnsi="Symbol"/>
                <w:spacing w:val="-2"/>
                <w:sz w:val="24"/>
              </w:rPr>
              <w:t></w:t>
            </w:r>
            <w:r>
              <w:rPr>
                <w:spacing w:val="-2"/>
                <w:sz w:val="24"/>
              </w:rPr>
              <w:t>1.59</w:t>
            </w:r>
          </w:p>
        </w:tc>
        <w:tc>
          <w:tcPr>
            <w:tcW w:w="2491" w:type="dxa"/>
            <w:tcBorders>
              <w:top w:val="single" w:sz="4" w:space="0" w:color="000000"/>
            </w:tcBorders>
          </w:tcPr>
          <w:p>
            <w:pPr>
              <w:pStyle w:val="TableParagraph"/>
              <w:spacing w:line="288" w:lineRule="exact"/>
              <w:ind w:left="4" w:right="210"/>
              <w:rPr>
                <w:sz w:val="24"/>
              </w:rPr>
            </w:pPr>
            <w:r>
              <w:rPr>
                <w:spacing w:val="-2"/>
                <w:sz w:val="24"/>
              </w:rPr>
              <w:t>6.09</w:t>
            </w:r>
            <w:r>
              <w:rPr>
                <w:rFonts w:ascii="Symbol" w:hAnsi="Symbol"/>
                <w:spacing w:val="-2"/>
                <w:sz w:val="24"/>
              </w:rPr>
              <w:t></w:t>
            </w:r>
            <w:r>
              <w:rPr>
                <w:spacing w:val="-2"/>
                <w:sz w:val="24"/>
              </w:rPr>
              <w:t>4.88</w:t>
            </w:r>
          </w:p>
        </w:tc>
      </w:tr>
      <w:tr>
        <w:trPr>
          <w:trHeight w:val="441" w:hRule="atLeast"/>
        </w:trPr>
        <w:tc>
          <w:tcPr>
            <w:tcW w:w="1893" w:type="dxa"/>
          </w:tcPr>
          <w:p>
            <w:pPr>
              <w:pStyle w:val="TableParagraph"/>
              <w:spacing w:before="79"/>
              <w:ind w:right="480"/>
              <w:jc w:val="right"/>
              <w:rPr>
                <w:rFonts w:ascii="Calibri"/>
                <w:b/>
                <w:sz w:val="24"/>
              </w:rPr>
            </w:pPr>
            <w:r>
              <w:rPr>
                <w:rFonts w:ascii="Calibri"/>
                <w:b/>
                <w:sz w:val="24"/>
              </w:rPr>
              <w:t>G2</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62)</w:t>
            </w:r>
          </w:p>
        </w:tc>
        <w:tc>
          <w:tcPr>
            <w:tcW w:w="2256" w:type="dxa"/>
          </w:tcPr>
          <w:p>
            <w:pPr>
              <w:pStyle w:val="TableParagraph"/>
              <w:spacing w:before="73"/>
              <w:ind w:left="2" w:right="53"/>
              <w:rPr>
                <w:sz w:val="24"/>
              </w:rPr>
            </w:pPr>
            <w:r>
              <w:rPr>
                <w:spacing w:val="-2"/>
                <w:sz w:val="24"/>
              </w:rPr>
              <w:t>68.97</w:t>
            </w:r>
            <w:r>
              <w:rPr>
                <w:rFonts w:ascii="Symbol" w:hAnsi="Symbol"/>
                <w:spacing w:val="-2"/>
                <w:sz w:val="24"/>
              </w:rPr>
              <w:t></w:t>
            </w:r>
            <w:r>
              <w:rPr>
                <w:spacing w:val="-2"/>
                <w:sz w:val="24"/>
              </w:rPr>
              <w:t>31.24</w:t>
            </w:r>
          </w:p>
        </w:tc>
        <w:tc>
          <w:tcPr>
            <w:tcW w:w="2296" w:type="dxa"/>
          </w:tcPr>
          <w:p>
            <w:pPr>
              <w:pStyle w:val="TableParagraph"/>
              <w:spacing w:before="73"/>
              <w:ind w:left="3" w:right="103"/>
              <w:rPr>
                <w:sz w:val="24"/>
              </w:rPr>
            </w:pPr>
            <w:r>
              <w:rPr>
                <w:spacing w:val="-2"/>
                <w:sz w:val="24"/>
              </w:rPr>
              <w:t>1.09</w:t>
            </w:r>
            <w:r>
              <w:rPr>
                <w:rFonts w:ascii="Symbol" w:hAnsi="Symbol"/>
                <w:spacing w:val="-2"/>
                <w:sz w:val="24"/>
              </w:rPr>
              <w:t></w:t>
            </w:r>
            <w:r>
              <w:rPr>
                <w:spacing w:val="-2"/>
                <w:sz w:val="24"/>
              </w:rPr>
              <w:t>0.44</w:t>
            </w:r>
          </w:p>
        </w:tc>
        <w:tc>
          <w:tcPr>
            <w:tcW w:w="2491" w:type="dxa"/>
          </w:tcPr>
          <w:p>
            <w:pPr>
              <w:pStyle w:val="TableParagraph"/>
              <w:spacing w:before="73"/>
              <w:ind w:left="4" w:right="210"/>
              <w:rPr>
                <w:sz w:val="24"/>
              </w:rPr>
            </w:pPr>
            <w:r>
              <w:rPr>
                <w:spacing w:val="-2"/>
                <w:sz w:val="24"/>
              </w:rPr>
              <w:t>4.49</w:t>
            </w:r>
            <w:r>
              <w:rPr>
                <w:rFonts w:ascii="Symbol" w:hAnsi="Symbol"/>
                <w:spacing w:val="-2"/>
                <w:sz w:val="24"/>
              </w:rPr>
              <w:t></w:t>
            </w:r>
            <w:r>
              <w:rPr>
                <w:spacing w:val="-2"/>
                <w:sz w:val="24"/>
              </w:rPr>
              <w:t>2.74</w:t>
            </w:r>
          </w:p>
        </w:tc>
      </w:tr>
      <w:tr>
        <w:trPr>
          <w:trHeight w:val="440" w:hRule="atLeast"/>
        </w:trPr>
        <w:tc>
          <w:tcPr>
            <w:tcW w:w="1893" w:type="dxa"/>
          </w:tcPr>
          <w:p>
            <w:pPr>
              <w:pStyle w:val="TableParagraph"/>
              <w:spacing w:before="79"/>
              <w:ind w:right="480"/>
              <w:jc w:val="right"/>
              <w:rPr>
                <w:rFonts w:ascii="Calibri"/>
                <w:b/>
                <w:sz w:val="24"/>
              </w:rPr>
            </w:pPr>
            <w:r>
              <w:rPr>
                <w:rFonts w:ascii="Calibri"/>
                <w:b/>
                <w:sz w:val="24"/>
              </w:rPr>
              <w:t>G5</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20)</w:t>
            </w:r>
          </w:p>
        </w:tc>
        <w:tc>
          <w:tcPr>
            <w:tcW w:w="2256" w:type="dxa"/>
          </w:tcPr>
          <w:p>
            <w:pPr>
              <w:pStyle w:val="TableParagraph"/>
              <w:spacing w:before="74"/>
              <w:ind w:left="2" w:right="53"/>
              <w:rPr>
                <w:sz w:val="24"/>
              </w:rPr>
            </w:pPr>
            <w:r>
              <w:rPr>
                <w:spacing w:val="-2"/>
                <w:sz w:val="24"/>
              </w:rPr>
              <w:t>79.00</w:t>
            </w:r>
            <w:r>
              <w:rPr>
                <w:rFonts w:ascii="Symbol" w:hAnsi="Symbol"/>
                <w:spacing w:val="-2"/>
                <w:sz w:val="24"/>
              </w:rPr>
              <w:t></w:t>
            </w:r>
            <w:r>
              <w:rPr>
                <w:spacing w:val="-2"/>
                <w:sz w:val="24"/>
              </w:rPr>
              <w:t>18.68</w:t>
            </w:r>
          </w:p>
        </w:tc>
        <w:tc>
          <w:tcPr>
            <w:tcW w:w="2296" w:type="dxa"/>
          </w:tcPr>
          <w:p>
            <w:pPr>
              <w:pStyle w:val="TableParagraph"/>
              <w:spacing w:before="74"/>
              <w:ind w:left="3" w:right="103"/>
              <w:rPr>
                <w:sz w:val="24"/>
              </w:rPr>
            </w:pPr>
            <w:r>
              <w:rPr>
                <w:spacing w:val="-2"/>
                <w:sz w:val="24"/>
              </w:rPr>
              <w:t>1.24</w:t>
            </w:r>
            <w:r>
              <w:rPr>
                <w:rFonts w:ascii="Symbol" w:hAnsi="Symbol"/>
                <w:spacing w:val="-2"/>
                <w:sz w:val="24"/>
              </w:rPr>
              <w:t></w:t>
            </w:r>
            <w:r>
              <w:rPr>
                <w:spacing w:val="-2"/>
                <w:sz w:val="24"/>
              </w:rPr>
              <w:t>0.38</w:t>
            </w:r>
          </w:p>
        </w:tc>
        <w:tc>
          <w:tcPr>
            <w:tcW w:w="2491" w:type="dxa"/>
          </w:tcPr>
          <w:p>
            <w:pPr>
              <w:pStyle w:val="TableParagraph"/>
              <w:spacing w:before="74"/>
              <w:ind w:left="4" w:right="210"/>
              <w:rPr>
                <w:sz w:val="24"/>
              </w:rPr>
            </w:pPr>
            <w:r>
              <w:rPr>
                <w:spacing w:val="-2"/>
                <w:sz w:val="24"/>
              </w:rPr>
              <w:t>5.36</w:t>
            </w:r>
            <w:r>
              <w:rPr>
                <w:rFonts w:ascii="Symbol" w:hAnsi="Symbol"/>
                <w:spacing w:val="-2"/>
                <w:sz w:val="24"/>
              </w:rPr>
              <w:t></w:t>
            </w:r>
            <w:r>
              <w:rPr>
                <w:spacing w:val="-2"/>
                <w:sz w:val="24"/>
              </w:rPr>
              <w:t>1.95</w:t>
            </w:r>
          </w:p>
        </w:tc>
      </w:tr>
      <w:tr>
        <w:trPr>
          <w:trHeight w:val="445" w:hRule="atLeast"/>
        </w:trPr>
        <w:tc>
          <w:tcPr>
            <w:tcW w:w="1893" w:type="dxa"/>
          </w:tcPr>
          <w:p>
            <w:pPr>
              <w:pStyle w:val="TableParagraph"/>
              <w:spacing w:before="78"/>
              <w:ind w:right="480"/>
              <w:jc w:val="right"/>
              <w:rPr>
                <w:rFonts w:ascii="Calibri"/>
                <w:b/>
                <w:sz w:val="24"/>
              </w:rPr>
            </w:pPr>
            <w:r>
              <w:rPr>
                <w:rFonts w:ascii="Calibri"/>
                <w:b/>
                <w:sz w:val="24"/>
              </w:rPr>
              <w:t>G6</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20)</w:t>
            </w:r>
          </w:p>
        </w:tc>
        <w:tc>
          <w:tcPr>
            <w:tcW w:w="2256" w:type="dxa"/>
          </w:tcPr>
          <w:p>
            <w:pPr>
              <w:pStyle w:val="TableParagraph"/>
              <w:spacing w:before="72"/>
              <w:ind w:left="2" w:right="53"/>
              <w:rPr>
                <w:sz w:val="24"/>
              </w:rPr>
            </w:pPr>
            <w:r>
              <w:rPr>
                <w:spacing w:val="-2"/>
                <w:sz w:val="24"/>
              </w:rPr>
              <w:t>91.40</w:t>
            </w:r>
            <w:r>
              <w:rPr>
                <w:rFonts w:ascii="Symbol" w:hAnsi="Symbol"/>
                <w:spacing w:val="-2"/>
                <w:sz w:val="24"/>
              </w:rPr>
              <w:t></w:t>
            </w:r>
            <w:r>
              <w:rPr>
                <w:spacing w:val="-2"/>
                <w:sz w:val="24"/>
              </w:rPr>
              <w:t>17.63</w:t>
            </w:r>
          </w:p>
        </w:tc>
        <w:tc>
          <w:tcPr>
            <w:tcW w:w="2296" w:type="dxa"/>
          </w:tcPr>
          <w:p>
            <w:pPr>
              <w:pStyle w:val="TableParagraph"/>
              <w:spacing w:before="72"/>
              <w:ind w:left="3" w:right="103"/>
              <w:rPr>
                <w:sz w:val="24"/>
              </w:rPr>
            </w:pPr>
            <w:r>
              <w:rPr>
                <w:spacing w:val="-2"/>
                <w:sz w:val="24"/>
              </w:rPr>
              <w:t>1.24</w:t>
            </w:r>
            <w:r>
              <w:rPr>
                <w:rFonts w:ascii="Symbol" w:hAnsi="Symbol"/>
                <w:spacing w:val="-2"/>
                <w:sz w:val="24"/>
              </w:rPr>
              <w:t></w:t>
            </w:r>
            <w:r>
              <w:rPr>
                <w:spacing w:val="-2"/>
                <w:sz w:val="24"/>
              </w:rPr>
              <w:t>0.39</w:t>
            </w:r>
          </w:p>
        </w:tc>
        <w:tc>
          <w:tcPr>
            <w:tcW w:w="2491" w:type="dxa"/>
          </w:tcPr>
          <w:p>
            <w:pPr>
              <w:pStyle w:val="TableParagraph"/>
              <w:spacing w:before="72"/>
              <w:ind w:left="4" w:right="210"/>
              <w:rPr>
                <w:sz w:val="24"/>
              </w:rPr>
            </w:pPr>
            <w:r>
              <w:rPr>
                <w:spacing w:val="-2"/>
                <w:sz w:val="24"/>
              </w:rPr>
              <w:t>5.26</w:t>
            </w:r>
            <w:r>
              <w:rPr>
                <w:rFonts w:ascii="Symbol" w:hAnsi="Symbol"/>
                <w:spacing w:val="-2"/>
                <w:sz w:val="24"/>
              </w:rPr>
              <w:t></w:t>
            </w:r>
            <w:r>
              <w:rPr>
                <w:spacing w:val="-2"/>
                <w:sz w:val="24"/>
              </w:rPr>
              <w:t>1.97</w:t>
            </w:r>
          </w:p>
        </w:tc>
      </w:tr>
      <w:tr>
        <w:trPr>
          <w:trHeight w:val="440" w:hRule="atLeast"/>
        </w:trPr>
        <w:tc>
          <w:tcPr>
            <w:tcW w:w="1893" w:type="dxa"/>
          </w:tcPr>
          <w:p>
            <w:pPr>
              <w:pStyle w:val="TableParagraph"/>
              <w:spacing w:before="74"/>
              <w:ind w:right="513"/>
              <w:jc w:val="right"/>
              <w:rPr>
                <w:rFonts w:ascii="Calibri"/>
                <w:b/>
                <w:sz w:val="24"/>
              </w:rPr>
            </w:pPr>
            <w:r>
              <w:rPr>
                <w:rFonts w:ascii="Calibri"/>
                <w:b/>
                <w:sz w:val="24"/>
              </w:rPr>
              <w:t>F(p) </w:t>
            </w:r>
            <w:r>
              <w:rPr>
                <w:rFonts w:ascii="Calibri"/>
                <w:b/>
                <w:spacing w:val="-2"/>
                <w:sz w:val="24"/>
              </w:rPr>
              <w:t>Value</w:t>
            </w:r>
          </w:p>
        </w:tc>
        <w:tc>
          <w:tcPr>
            <w:tcW w:w="2256" w:type="dxa"/>
          </w:tcPr>
          <w:p>
            <w:pPr>
              <w:pStyle w:val="TableParagraph"/>
              <w:spacing w:before="69"/>
              <w:ind w:right="53"/>
              <w:rPr>
                <w:sz w:val="24"/>
              </w:rPr>
            </w:pPr>
            <w:r>
              <w:rPr>
                <w:spacing w:val="-2"/>
                <w:sz w:val="24"/>
              </w:rPr>
              <w:t>15.291(0.000)</w:t>
            </w:r>
          </w:p>
        </w:tc>
        <w:tc>
          <w:tcPr>
            <w:tcW w:w="2296" w:type="dxa"/>
          </w:tcPr>
          <w:p>
            <w:pPr>
              <w:pStyle w:val="TableParagraph"/>
              <w:spacing w:before="69"/>
              <w:ind w:left="1" w:right="103"/>
              <w:rPr>
                <w:sz w:val="24"/>
              </w:rPr>
            </w:pPr>
            <w:r>
              <w:rPr>
                <w:spacing w:val="-2"/>
                <w:sz w:val="24"/>
              </w:rPr>
              <w:t>0.485(0.693)</w:t>
            </w:r>
          </w:p>
        </w:tc>
        <w:tc>
          <w:tcPr>
            <w:tcW w:w="2491" w:type="dxa"/>
          </w:tcPr>
          <w:p>
            <w:pPr>
              <w:pStyle w:val="TableParagraph"/>
              <w:spacing w:before="69"/>
              <w:ind w:left="2" w:right="210"/>
              <w:rPr>
                <w:sz w:val="24"/>
              </w:rPr>
            </w:pPr>
            <w:r>
              <w:rPr>
                <w:spacing w:val="-2"/>
                <w:sz w:val="24"/>
              </w:rPr>
              <w:t>2.281(.080)</w:t>
            </w:r>
          </w:p>
        </w:tc>
      </w:tr>
      <w:tr>
        <w:trPr>
          <w:trHeight w:val="439" w:hRule="atLeast"/>
        </w:trPr>
        <w:tc>
          <w:tcPr>
            <w:tcW w:w="1893" w:type="dxa"/>
          </w:tcPr>
          <w:p>
            <w:pPr>
              <w:pStyle w:val="TableParagraph"/>
              <w:spacing w:before="73"/>
              <w:ind w:left="436"/>
              <w:jc w:val="left"/>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G2</w:t>
            </w:r>
          </w:p>
        </w:tc>
        <w:tc>
          <w:tcPr>
            <w:tcW w:w="2256" w:type="dxa"/>
          </w:tcPr>
          <w:p>
            <w:pPr>
              <w:pStyle w:val="TableParagraph"/>
              <w:spacing w:before="67"/>
              <w:ind w:left="3" w:right="53"/>
              <w:rPr>
                <w:sz w:val="24"/>
              </w:rPr>
            </w:pPr>
            <w:r>
              <w:rPr>
                <w:spacing w:val="-2"/>
                <w:sz w:val="24"/>
              </w:rPr>
              <w:t>0.058</w:t>
            </w:r>
          </w:p>
        </w:tc>
        <w:tc>
          <w:tcPr>
            <w:tcW w:w="2296" w:type="dxa"/>
          </w:tcPr>
          <w:p>
            <w:pPr>
              <w:pStyle w:val="TableParagraph"/>
              <w:spacing w:before="67"/>
              <w:ind w:left="3" w:right="103"/>
              <w:rPr>
                <w:sz w:val="24"/>
              </w:rPr>
            </w:pPr>
            <w:r>
              <w:rPr>
                <w:spacing w:val="-2"/>
                <w:sz w:val="24"/>
              </w:rPr>
              <w:t>0.384</w:t>
            </w:r>
          </w:p>
        </w:tc>
        <w:tc>
          <w:tcPr>
            <w:tcW w:w="2491" w:type="dxa"/>
          </w:tcPr>
          <w:p>
            <w:pPr>
              <w:pStyle w:val="TableParagraph"/>
              <w:spacing w:before="67"/>
              <w:ind w:left="4" w:right="210"/>
              <w:rPr>
                <w:sz w:val="24"/>
              </w:rPr>
            </w:pPr>
            <w:r>
              <w:rPr>
                <w:spacing w:val="-2"/>
                <w:sz w:val="24"/>
              </w:rPr>
              <w:t>0.017*</w:t>
            </w:r>
          </w:p>
        </w:tc>
      </w:tr>
      <w:tr>
        <w:trPr>
          <w:trHeight w:val="439" w:hRule="atLeast"/>
        </w:trPr>
        <w:tc>
          <w:tcPr>
            <w:tcW w:w="1893" w:type="dxa"/>
          </w:tcPr>
          <w:p>
            <w:pPr>
              <w:pStyle w:val="TableParagraph"/>
              <w:spacing w:before="73"/>
              <w:ind w:left="436"/>
              <w:jc w:val="left"/>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G5</w:t>
            </w:r>
          </w:p>
        </w:tc>
        <w:tc>
          <w:tcPr>
            <w:tcW w:w="2256" w:type="dxa"/>
          </w:tcPr>
          <w:p>
            <w:pPr>
              <w:pStyle w:val="TableParagraph"/>
              <w:spacing w:before="67"/>
              <w:ind w:left="3" w:right="53"/>
              <w:rPr>
                <w:sz w:val="24"/>
              </w:rPr>
            </w:pPr>
            <w:r>
              <w:rPr>
                <w:spacing w:val="-2"/>
                <w:sz w:val="24"/>
              </w:rPr>
              <w:t>0.001*</w:t>
            </w:r>
          </w:p>
        </w:tc>
        <w:tc>
          <w:tcPr>
            <w:tcW w:w="2296" w:type="dxa"/>
          </w:tcPr>
          <w:p>
            <w:pPr>
              <w:pStyle w:val="TableParagraph"/>
              <w:spacing w:before="67"/>
              <w:ind w:left="3" w:right="103"/>
              <w:rPr>
                <w:sz w:val="24"/>
              </w:rPr>
            </w:pPr>
            <w:r>
              <w:rPr>
                <w:spacing w:val="-2"/>
                <w:sz w:val="24"/>
              </w:rPr>
              <w:t>0.954</w:t>
            </w:r>
          </w:p>
        </w:tc>
        <w:tc>
          <w:tcPr>
            <w:tcW w:w="2491" w:type="dxa"/>
          </w:tcPr>
          <w:p>
            <w:pPr>
              <w:pStyle w:val="TableParagraph"/>
              <w:spacing w:before="67"/>
              <w:ind w:left="4" w:right="210"/>
              <w:rPr>
                <w:sz w:val="24"/>
              </w:rPr>
            </w:pPr>
            <w:r>
              <w:rPr>
                <w:spacing w:val="-2"/>
                <w:sz w:val="24"/>
              </w:rPr>
              <w:t>0.619</w:t>
            </w:r>
          </w:p>
        </w:tc>
      </w:tr>
      <w:tr>
        <w:trPr>
          <w:trHeight w:val="440" w:hRule="atLeast"/>
        </w:trPr>
        <w:tc>
          <w:tcPr>
            <w:tcW w:w="1893" w:type="dxa"/>
          </w:tcPr>
          <w:p>
            <w:pPr>
              <w:pStyle w:val="TableParagraph"/>
              <w:spacing w:before="73"/>
              <w:ind w:left="436"/>
              <w:jc w:val="left"/>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G6</w:t>
            </w:r>
          </w:p>
        </w:tc>
        <w:tc>
          <w:tcPr>
            <w:tcW w:w="2256" w:type="dxa"/>
          </w:tcPr>
          <w:p>
            <w:pPr>
              <w:pStyle w:val="TableParagraph"/>
              <w:spacing w:before="67"/>
              <w:ind w:left="3" w:right="53"/>
              <w:rPr>
                <w:sz w:val="24"/>
              </w:rPr>
            </w:pPr>
            <w:r>
              <w:rPr>
                <w:spacing w:val="-2"/>
                <w:sz w:val="24"/>
              </w:rPr>
              <w:t>0.001*</w:t>
            </w:r>
          </w:p>
        </w:tc>
        <w:tc>
          <w:tcPr>
            <w:tcW w:w="2296" w:type="dxa"/>
          </w:tcPr>
          <w:p>
            <w:pPr>
              <w:pStyle w:val="TableParagraph"/>
              <w:spacing w:before="67"/>
              <w:ind w:left="3" w:right="103"/>
              <w:rPr>
                <w:sz w:val="24"/>
              </w:rPr>
            </w:pPr>
            <w:r>
              <w:rPr>
                <w:spacing w:val="-2"/>
                <w:sz w:val="24"/>
              </w:rPr>
              <w:t>0.962</w:t>
            </w:r>
          </w:p>
        </w:tc>
        <w:tc>
          <w:tcPr>
            <w:tcW w:w="2491" w:type="dxa"/>
          </w:tcPr>
          <w:p>
            <w:pPr>
              <w:pStyle w:val="TableParagraph"/>
              <w:spacing w:before="67"/>
              <w:ind w:left="4" w:right="210"/>
              <w:rPr>
                <w:sz w:val="24"/>
              </w:rPr>
            </w:pPr>
            <w:r>
              <w:rPr>
                <w:spacing w:val="-2"/>
                <w:sz w:val="24"/>
              </w:rPr>
              <w:t>0.513</w:t>
            </w:r>
          </w:p>
        </w:tc>
      </w:tr>
      <w:tr>
        <w:trPr>
          <w:trHeight w:val="440" w:hRule="atLeast"/>
        </w:trPr>
        <w:tc>
          <w:tcPr>
            <w:tcW w:w="1893" w:type="dxa"/>
          </w:tcPr>
          <w:p>
            <w:pPr>
              <w:pStyle w:val="TableParagraph"/>
              <w:spacing w:before="74"/>
              <w:ind w:left="436"/>
              <w:jc w:val="left"/>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G5</w:t>
            </w:r>
          </w:p>
        </w:tc>
        <w:tc>
          <w:tcPr>
            <w:tcW w:w="2256" w:type="dxa"/>
          </w:tcPr>
          <w:p>
            <w:pPr>
              <w:pStyle w:val="TableParagraph"/>
              <w:spacing w:before="69"/>
              <w:ind w:left="3" w:right="53"/>
              <w:rPr>
                <w:sz w:val="24"/>
              </w:rPr>
            </w:pPr>
            <w:r>
              <w:rPr>
                <w:spacing w:val="-2"/>
                <w:sz w:val="24"/>
              </w:rPr>
              <w:t>0.312</w:t>
            </w:r>
          </w:p>
        </w:tc>
        <w:tc>
          <w:tcPr>
            <w:tcW w:w="2296" w:type="dxa"/>
          </w:tcPr>
          <w:p>
            <w:pPr>
              <w:pStyle w:val="TableParagraph"/>
              <w:spacing w:before="69"/>
              <w:ind w:left="3" w:right="103"/>
              <w:rPr>
                <w:sz w:val="24"/>
              </w:rPr>
            </w:pPr>
            <w:r>
              <w:rPr>
                <w:spacing w:val="-2"/>
                <w:sz w:val="24"/>
              </w:rPr>
              <w:t>0.476</w:t>
            </w:r>
          </w:p>
        </w:tc>
        <w:tc>
          <w:tcPr>
            <w:tcW w:w="2491" w:type="dxa"/>
          </w:tcPr>
          <w:p>
            <w:pPr>
              <w:pStyle w:val="TableParagraph"/>
              <w:spacing w:before="69"/>
              <w:ind w:left="4" w:right="210"/>
              <w:rPr>
                <w:sz w:val="24"/>
              </w:rPr>
            </w:pPr>
            <w:r>
              <w:rPr>
                <w:spacing w:val="-2"/>
                <w:sz w:val="24"/>
              </w:rPr>
              <w:t>0.414</w:t>
            </w:r>
          </w:p>
        </w:tc>
      </w:tr>
      <w:tr>
        <w:trPr>
          <w:trHeight w:val="439" w:hRule="atLeast"/>
        </w:trPr>
        <w:tc>
          <w:tcPr>
            <w:tcW w:w="1893" w:type="dxa"/>
          </w:tcPr>
          <w:p>
            <w:pPr>
              <w:pStyle w:val="TableParagraph"/>
              <w:spacing w:before="73"/>
              <w:ind w:left="436"/>
              <w:jc w:val="left"/>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G6</w:t>
            </w:r>
          </w:p>
        </w:tc>
        <w:tc>
          <w:tcPr>
            <w:tcW w:w="2256" w:type="dxa"/>
          </w:tcPr>
          <w:p>
            <w:pPr>
              <w:pStyle w:val="TableParagraph"/>
              <w:spacing w:before="68"/>
              <w:ind w:left="3" w:right="53"/>
              <w:rPr>
                <w:sz w:val="24"/>
              </w:rPr>
            </w:pPr>
            <w:r>
              <w:rPr>
                <w:spacing w:val="-2"/>
                <w:sz w:val="24"/>
              </w:rPr>
              <w:t>0.001*</w:t>
            </w:r>
          </w:p>
        </w:tc>
        <w:tc>
          <w:tcPr>
            <w:tcW w:w="2296" w:type="dxa"/>
          </w:tcPr>
          <w:p>
            <w:pPr>
              <w:pStyle w:val="TableParagraph"/>
              <w:spacing w:before="68"/>
              <w:ind w:left="3" w:right="103"/>
              <w:rPr>
                <w:sz w:val="24"/>
              </w:rPr>
            </w:pPr>
            <w:r>
              <w:rPr>
                <w:spacing w:val="-2"/>
                <w:sz w:val="24"/>
              </w:rPr>
              <w:t>0.465</w:t>
            </w:r>
          </w:p>
        </w:tc>
        <w:tc>
          <w:tcPr>
            <w:tcW w:w="2491" w:type="dxa"/>
          </w:tcPr>
          <w:p>
            <w:pPr>
              <w:pStyle w:val="TableParagraph"/>
              <w:spacing w:before="68"/>
              <w:ind w:left="4" w:right="210"/>
              <w:rPr>
                <w:sz w:val="24"/>
              </w:rPr>
            </w:pPr>
            <w:r>
              <w:rPr>
                <w:spacing w:val="-2"/>
                <w:sz w:val="24"/>
              </w:rPr>
              <w:t>0.531</w:t>
            </w:r>
          </w:p>
        </w:tc>
      </w:tr>
      <w:tr>
        <w:trPr>
          <w:trHeight w:val="512" w:hRule="atLeast"/>
        </w:trPr>
        <w:tc>
          <w:tcPr>
            <w:tcW w:w="1893" w:type="dxa"/>
            <w:tcBorders>
              <w:bottom w:val="single" w:sz="4" w:space="0" w:color="000000"/>
            </w:tcBorders>
          </w:tcPr>
          <w:p>
            <w:pPr>
              <w:pStyle w:val="TableParagraph"/>
              <w:spacing w:before="73"/>
              <w:ind w:left="436"/>
              <w:jc w:val="left"/>
              <w:rPr>
                <w:rFonts w:ascii="Calibri"/>
                <w:b/>
                <w:sz w:val="24"/>
              </w:rPr>
            </w:pPr>
            <w:r>
              <w:rPr>
                <w:rFonts w:ascii="Calibri"/>
                <w:b/>
                <w:sz w:val="24"/>
              </w:rPr>
              <w:t>G5</w:t>
            </w:r>
            <w:r>
              <w:rPr>
                <w:rFonts w:ascii="Calibri"/>
                <w:b/>
                <w:spacing w:val="1"/>
                <w:sz w:val="24"/>
              </w:rPr>
              <w:t> </w:t>
            </w:r>
            <w:r>
              <w:rPr>
                <w:rFonts w:ascii="Calibri"/>
                <w:b/>
                <w:sz w:val="24"/>
              </w:rPr>
              <w:t>vs </w:t>
            </w:r>
            <w:r>
              <w:rPr>
                <w:rFonts w:ascii="Calibri"/>
                <w:b/>
                <w:spacing w:val="-5"/>
                <w:sz w:val="24"/>
              </w:rPr>
              <w:t>G6</w:t>
            </w:r>
          </w:p>
        </w:tc>
        <w:tc>
          <w:tcPr>
            <w:tcW w:w="2256" w:type="dxa"/>
            <w:tcBorders>
              <w:bottom w:val="single" w:sz="4" w:space="0" w:color="000000"/>
            </w:tcBorders>
          </w:tcPr>
          <w:p>
            <w:pPr>
              <w:pStyle w:val="TableParagraph"/>
              <w:spacing w:before="67"/>
              <w:ind w:left="3" w:right="53"/>
              <w:rPr>
                <w:sz w:val="24"/>
              </w:rPr>
            </w:pPr>
            <w:r>
              <w:rPr>
                <w:spacing w:val="-2"/>
                <w:sz w:val="24"/>
              </w:rPr>
              <w:t>0.153</w:t>
            </w:r>
          </w:p>
        </w:tc>
        <w:tc>
          <w:tcPr>
            <w:tcW w:w="2296" w:type="dxa"/>
            <w:tcBorders>
              <w:bottom w:val="single" w:sz="4" w:space="0" w:color="000000"/>
            </w:tcBorders>
          </w:tcPr>
          <w:p>
            <w:pPr>
              <w:pStyle w:val="TableParagraph"/>
              <w:spacing w:before="67"/>
              <w:ind w:left="3" w:right="103"/>
              <w:rPr>
                <w:sz w:val="24"/>
              </w:rPr>
            </w:pPr>
            <w:r>
              <w:rPr>
                <w:spacing w:val="-2"/>
                <w:sz w:val="24"/>
              </w:rPr>
              <w:t>1.000</w:t>
            </w:r>
          </w:p>
        </w:tc>
        <w:tc>
          <w:tcPr>
            <w:tcW w:w="2491" w:type="dxa"/>
            <w:tcBorders>
              <w:bottom w:val="single" w:sz="4" w:space="0" w:color="000000"/>
            </w:tcBorders>
          </w:tcPr>
          <w:p>
            <w:pPr>
              <w:pStyle w:val="TableParagraph"/>
              <w:spacing w:before="67"/>
              <w:ind w:left="4" w:right="210"/>
              <w:rPr>
                <w:sz w:val="24"/>
              </w:rPr>
            </w:pPr>
            <w:r>
              <w:rPr>
                <w:spacing w:val="-2"/>
                <w:sz w:val="24"/>
              </w:rPr>
              <w:t>0.998</w:t>
            </w:r>
          </w:p>
        </w:tc>
      </w:tr>
    </w:tbl>
    <w:p>
      <w:pPr>
        <w:pStyle w:val="BodyText"/>
        <w:spacing w:before="36"/>
        <w:rPr>
          <w:b/>
          <w:sz w:val="18"/>
        </w:rPr>
      </w:pPr>
    </w:p>
    <w:p>
      <w:pPr>
        <w:spacing w:before="0"/>
        <w:ind w:left="560" w:right="0" w:firstLine="0"/>
        <w:jc w:val="left"/>
        <w:rPr>
          <w:b/>
          <w:sz w:val="18"/>
        </w:rPr>
      </w:pPr>
      <w:r>
        <w:rPr>
          <w:b/>
          <w:spacing w:val="-5"/>
          <w:sz w:val="18"/>
        </w:rPr>
        <w:t>Key</w:t>
      </w:r>
    </w:p>
    <w:p>
      <w:pPr>
        <w:spacing w:before="25"/>
        <w:ind w:left="560" w:right="0" w:firstLine="0"/>
        <w:jc w:val="left"/>
        <w:rPr>
          <w:sz w:val="18"/>
        </w:rPr>
      </w:pPr>
      <w:r>
        <w:rPr>
          <w:rFonts w:ascii="Symbol" w:hAnsi="Symbol"/>
          <w:sz w:val="18"/>
        </w:rPr>
        <w:t></w:t>
      </w:r>
      <w:r>
        <w:rPr>
          <w:sz w:val="18"/>
        </w:rPr>
        <w:t>-level</w:t>
      </w:r>
      <w:r>
        <w:rPr>
          <w:spacing w:val="-5"/>
          <w:sz w:val="18"/>
        </w:rPr>
        <w:t> </w:t>
      </w:r>
      <w:r>
        <w:rPr>
          <w:sz w:val="18"/>
        </w:rPr>
        <w:t>set</w:t>
      </w:r>
      <w:r>
        <w:rPr>
          <w:spacing w:val="-3"/>
          <w:sz w:val="18"/>
        </w:rPr>
        <w:t> </w:t>
      </w:r>
      <w:r>
        <w:rPr>
          <w:sz w:val="18"/>
        </w:rPr>
        <w:t>at</w:t>
      </w:r>
      <w:r>
        <w:rPr>
          <w:spacing w:val="-3"/>
          <w:sz w:val="18"/>
        </w:rPr>
        <w:t> </w:t>
      </w:r>
      <w:r>
        <w:rPr>
          <w:spacing w:val="-4"/>
          <w:sz w:val="18"/>
        </w:rPr>
        <w:t>0.05</w:t>
      </w:r>
    </w:p>
    <w:p>
      <w:pPr>
        <w:spacing w:line="276" w:lineRule="auto" w:before="35" w:after="7"/>
        <w:ind w:left="560" w:right="7678" w:firstLine="0"/>
        <w:jc w:val="left"/>
        <w:rPr>
          <w:sz w:val="18"/>
        </w:rPr>
      </w:pPr>
      <w:r>
        <w:rPr>
          <w:sz w:val="18"/>
        </w:rPr>
        <w:t>*(P&lt;0.05) = Significant P&gt;0.05</w:t>
      </w:r>
      <w:r>
        <w:rPr>
          <w:spacing w:val="-12"/>
          <w:sz w:val="18"/>
        </w:rPr>
        <w:t> </w:t>
      </w:r>
      <w:r>
        <w:rPr>
          <w:sz w:val="18"/>
        </w:rPr>
        <w:t>=</w:t>
      </w:r>
      <w:r>
        <w:rPr>
          <w:spacing w:val="-11"/>
          <w:sz w:val="18"/>
        </w:rPr>
        <w:t> </w:t>
      </w:r>
      <w:r>
        <w:rPr>
          <w:sz w:val="18"/>
        </w:rPr>
        <w:t>Not</w:t>
      </w:r>
      <w:r>
        <w:rPr>
          <w:spacing w:val="-11"/>
          <w:sz w:val="18"/>
        </w:rPr>
        <w:t> </w:t>
      </w:r>
      <w:r>
        <w:rPr>
          <w:sz w:val="18"/>
        </w:rPr>
        <w:t>Significant</w:t>
      </w:r>
    </w:p>
    <w:tbl>
      <w:tblPr>
        <w:tblW w:w="0" w:type="auto"/>
        <w:jc w:val="left"/>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0"/>
        <w:gridCol w:w="661"/>
        <w:gridCol w:w="3455"/>
      </w:tblGrid>
      <w:tr>
        <w:trPr>
          <w:trHeight w:val="219" w:hRule="atLeast"/>
        </w:trPr>
        <w:tc>
          <w:tcPr>
            <w:tcW w:w="520" w:type="dxa"/>
          </w:tcPr>
          <w:p>
            <w:pPr>
              <w:pStyle w:val="TableParagraph"/>
              <w:spacing w:line="199" w:lineRule="exact"/>
              <w:ind w:left="50"/>
              <w:jc w:val="left"/>
              <w:rPr>
                <w:sz w:val="18"/>
              </w:rPr>
            </w:pPr>
            <w:r>
              <w:rPr>
                <w:spacing w:val="-5"/>
                <w:sz w:val="18"/>
              </w:rPr>
              <w:t>G1</w:t>
            </w:r>
          </w:p>
        </w:tc>
        <w:tc>
          <w:tcPr>
            <w:tcW w:w="661" w:type="dxa"/>
          </w:tcPr>
          <w:p>
            <w:pPr>
              <w:pStyle w:val="TableParagraph"/>
              <w:spacing w:line="199" w:lineRule="exact"/>
              <w:ind w:right="57"/>
              <w:rPr>
                <w:sz w:val="18"/>
              </w:rPr>
            </w:pPr>
            <w:r>
              <w:rPr>
                <w:spacing w:val="-10"/>
                <w:sz w:val="18"/>
              </w:rPr>
              <w:t>=</w:t>
            </w:r>
          </w:p>
        </w:tc>
        <w:tc>
          <w:tcPr>
            <w:tcW w:w="3455" w:type="dxa"/>
          </w:tcPr>
          <w:p>
            <w:pPr>
              <w:pStyle w:val="TableParagraph"/>
              <w:spacing w:line="199" w:lineRule="exact"/>
              <w:ind w:left="308"/>
              <w:jc w:val="left"/>
              <w:rPr>
                <w:sz w:val="18"/>
              </w:rPr>
            </w:pPr>
            <w:r>
              <w:rPr>
                <w:sz w:val="18"/>
              </w:rPr>
              <w:t>Malaria</w:t>
            </w:r>
            <w:r>
              <w:rPr>
                <w:spacing w:val="-3"/>
                <w:sz w:val="18"/>
              </w:rPr>
              <w:t> </w:t>
            </w:r>
            <w:r>
              <w:rPr>
                <w:sz w:val="18"/>
              </w:rPr>
              <w:t>Infected</w:t>
            </w:r>
            <w:r>
              <w:rPr>
                <w:spacing w:val="-1"/>
                <w:sz w:val="18"/>
              </w:rPr>
              <w:t> </w:t>
            </w:r>
            <w:r>
              <w:rPr>
                <w:sz w:val="18"/>
              </w:rPr>
              <w:t>Pregnant</w:t>
            </w:r>
            <w:r>
              <w:rPr>
                <w:spacing w:val="-3"/>
                <w:sz w:val="18"/>
              </w:rPr>
              <w:t> </w:t>
            </w:r>
            <w:r>
              <w:rPr>
                <w:spacing w:val="-2"/>
                <w:sz w:val="18"/>
              </w:rPr>
              <w:t>Subjects</w:t>
            </w:r>
          </w:p>
        </w:tc>
      </w:tr>
      <w:tr>
        <w:trPr>
          <w:trHeight w:val="238" w:hRule="atLeast"/>
        </w:trPr>
        <w:tc>
          <w:tcPr>
            <w:tcW w:w="520" w:type="dxa"/>
          </w:tcPr>
          <w:p>
            <w:pPr>
              <w:pStyle w:val="TableParagraph"/>
              <w:spacing w:line="206" w:lineRule="exact" w:before="12"/>
              <w:ind w:left="50"/>
              <w:jc w:val="left"/>
              <w:rPr>
                <w:sz w:val="18"/>
              </w:rPr>
            </w:pPr>
            <w:r>
              <w:rPr>
                <w:spacing w:val="-5"/>
                <w:sz w:val="18"/>
              </w:rPr>
              <w:t>G2</w:t>
            </w:r>
          </w:p>
        </w:tc>
        <w:tc>
          <w:tcPr>
            <w:tcW w:w="661" w:type="dxa"/>
          </w:tcPr>
          <w:p>
            <w:pPr>
              <w:pStyle w:val="TableParagraph"/>
              <w:spacing w:line="206" w:lineRule="exact" w:before="12"/>
              <w:ind w:right="57"/>
              <w:rPr>
                <w:sz w:val="18"/>
              </w:rPr>
            </w:pPr>
            <w:r>
              <w:rPr>
                <w:spacing w:val="-10"/>
                <w:sz w:val="18"/>
              </w:rPr>
              <w:t>=</w:t>
            </w:r>
          </w:p>
        </w:tc>
        <w:tc>
          <w:tcPr>
            <w:tcW w:w="3455" w:type="dxa"/>
          </w:tcPr>
          <w:p>
            <w:pPr>
              <w:pStyle w:val="TableParagraph"/>
              <w:spacing w:line="206" w:lineRule="exact" w:before="12"/>
              <w:ind w:left="308"/>
              <w:jc w:val="left"/>
              <w:rPr>
                <w:sz w:val="18"/>
              </w:rPr>
            </w:pPr>
            <w:r>
              <w:rPr>
                <w:sz w:val="18"/>
              </w:rPr>
              <w:t>Malaria</w:t>
            </w:r>
            <w:r>
              <w:rPr>
                <w:spacing w:val="-3"/>
                <w:sz w:val="18"/>
              </w:rPr>
              <w:t> </w:t>
            </w:r>
            <w:r>
              <w:rPr>
                <w:sz w:val="18"/>
              </w:rPr>
              <w:t>Uninfected</w:t>
            </w:r>
            <w:r>
              <w:rPr>
                <w:spacing w:val="-1"/>
                <w:sz w:val="18"/>
              </w:rPr>
              <w:t> </w:t>
            </w:r>
            <w:r>
              <w:rPr>
                <w:sz w:val="18"/>
              </w:rPr>
              <w:t>Pregnant</w:t>
            </w:r>
            <w:r>
              <w:rPr>
                <w:spacing w:val="-3"/>
                <w:sz w:val="18"/>
              </w:rPr>
              <w:t> </w:t>
            </w:r>
            <w:r>
              <w:rPr>
                <w:spacing w:val="-2"/>
                <w:sz w:val="18"/>
              </w:rPr>
              <w:t>Subjects</w:t>
            </w:r>
          </w:p>
        </w:tc>
      </w:tr>
      <w:tr>
        <w:trPr>
          <w:trHeight w:val="237" w:hRule="atLeast"/>
        </w:trPr>
        <w:tc>
          <w:tcPr>
            <w:tcW w:w="520" w:type="dxa"/>
          </w:tcPr>
          <w:p>
            <w:pPr>
              <w:pStyle w:val="TableParagraph"/>
              <w:spacing w:line="206" w:lineRule="exact" w:before="11"/>
              <w:ind w:left="50"/>
              <w:jc w:val="left"/>
              <w:rPr>
                <w:sz w:val="18"/>
              </w:rPr>
            </w:pPr>
            <w:r>
              <w:rPr>
                <w:spacing w:val="-5"/>
                <w:sz w:val="18"/>
              </w:rPr>
              <w:t>G5</w:t>
            </w:r>
          </w:p>
        </w:tc>
        <w:tc>
          <w:tcPr>
            <w:tcW w:w="661" w:type="dxa"/>
          </w:tcPr>
          <w:p>
            <w:pPr>
              <w:pStyle w:val="TableParagraph"/>
              <w:spacing w:line="206" w:lineRule="exact" w:before="11"/>
              <w:ind w:right="57"/>
              <w:rPr>
                <w:sz w:val="18"/>
              </w:rPr>
            </w:pPr>
            <w:r>
              <w:rPr>
                <w:spacing w:val="-10"/>
                <w:sz w:val="18"/>
              </w:rPr>
              <w:t>=</w:t>
            </w:r>
          </w:p>
        </w:tc>
        <w:tc>
          <w:tcPr>
            <w:tcW w:w="3455" w:type="dxa"/>
          </w:tcPr>
          <w:p>
            <w:pPr>
              <w:pStyle w:val="TableParagraph"/>
              <w:spacing w:line="206" w:lineRule="exact" w:before="11"/>
              <w:ind w:left="308"/>
              <w:jc w:val="left"/>
              <w:rPr>
                <w:sz w:val="18"/>
              </w:rPr>
            </w:pPr>
            <w:r>
              <w:rPr>
                <w:sz w:val="18"/>
              </w:rPr>
              <w:t>Malaria</w:t>
            </w:r>
            <w:r>
              <w:rPr>
                <w:spacing w:val="-2"/>
                <w:sz w:val="18"/>
              </w:rPr>
              <w:t> </w:t>
            </w:r>
            <w:r>
              <w:rPr>
                <w:sz w:val="18"/>
              </w:rPr>
              <w:t>Infected Non</w:t>
            </w:r>
            <w:r>
              <w:rPr>
                <w:spacing w:val="-2"/>
                <w:sz w:val="18"/>
              </w:rPr>
              <w:t> </w:t>
            </w:r>
            <w:r>
              <w:rPr>
                <w:sz w:val="18"/>
              </w:rPr>
              <w:t>Pregnant</w:t>
            </w:r>
            <w:r>
              <w:rPr>
                <w:spacing w:val="-3"/>
                <w:sz w:val="18"/>
              </w:rPr>
              <w:t> </w:t>
            </w:r>
            <w:r>
              <w:rPr>
                <w:spacing w:val="-2"/>
                <w:sz w:val="18"/>
              </w:rPr>
              <w:t>Subjects</w:t>
            </w:r>
          </w:p>
        </w:tc>
      </w:tr>
      <w:tr>
        <w:trPr>
          <w:trHeight w:val="218" w:hRule="atLeast"/>
        </w:trPr>
        <w:tc>
          <w:tcPr>
            <w:tcW w:w="520" w:type="dxa"/>
          </w:tcPr>
          <w:p>
            <w:pPr>
              <w:pStyle w:val="TableParagraph"/>
              <w:spacing w:line="187" w:lineRule="exact" w:before="11"/>
              <w:ind w:left="50"/>
              <w:jc w:val="left"/>
              <w:rPr>
                <w:sz w:val="18"/>
              </w:rPr>
            </w:pPr>
            <w:r>
              <w:rPr>
                <w:spacing w:val="-5"/>
                <w:sz w:val="18"/>
              </w:rPr>
              <w:t>G6</w:t>
            </w:r>
          </w:p>
        </w:tc>
        <w:tc>
          <w:tcPr>
            <w:tcW w:w="661" w:type="dxa"/>
          </w:tcPr>
          <w:p>
            <w:pPr>
              <w:pStyle w:val="TableParagraph"/>
              <w:spacing w:line="187" w:lineRule="exact" w:before="11"/>
              <w:ind w:right="57"/>
              <w:rPr>
                <w:sz w:val="18"/>
              </w:rPr>
            </w:pPr>
            <w:r>
              <w:rPr>
                <w:spacing w:val="-10"/>
                <w:sz w:val="18"/>
              </w:rPr>
              <w:t>=</w:t>
            </w:r>
          </w:p>
        </w:tc>
        <w:tc>
          <w:tcPr>
            <w:tcW w:w="3455" w:type="dxa"/>
          </w:tcPr>
          <w:p>
            <w:pPr>
              <w:pStyle w:val="TableParagraph"/>
              <w:spacing w:line="187" w:lineRule="exact" w:before="11"/>
              <w:ind w:left="308"/>
              <w:jc w:val="left"/>
              <w:rPr>
                <w:sz w:val="18"/>
              </w:rPr>
            </w:pPr>
            <w:r>
              <w:rPr>
                <w:sz w:val="18"/>
              </w:rPr>
              <w:t>Malaria</w:t>
            </w:r>
            <w:r>
              <w:rPr>
                <w:spacing w:val="-3"/>
                <w:sz w:val="18"/>
              </w:rPr>
              <w:t> </w:t>
            </w:r>
            <w:r>
              <w:rPr>
                <w:sz w:val="18"/>
              </w:rPr>
              <w:t>Uninfected</w:t>
            </w:r>
            <w:r>
              <w:rPr>
                <w:spacing w:val="-2"/>
                <w:sz w:val="18"/>
              </w:rPr>
              <w:t> </w:t>
            </w:r>
            <w:r>
              <w:rPr>
                <w:sz w:val="18"/>
              </w:rPr>
              <w:t>Non</w:t>
            </w:r>
            <w:r>
              <w:rPr>
                <w:spacing w:val="-3"/>
                <w:sz w:val="18"/>
              </w:rPr>
              <w:t> </w:t>
            </w:r>
            <w:r>
              <w:rPr>
                <w:sz w:val="18"/>
              </w:rPr>
              <w:t>Pregnant</w:t>
            </w:r>
            <w:r>
              <w:rPr>
                <w:spacing w:val="-3"/>
                <w:sz w:val="18"/>
              </w:rPr>
              <w:t> </w:t>
            </w:r>
            <w:r>
              <w:rPr>
                <w:spacing w:val="-2"/>
                <w:sz w:val="18"/>
              </w:rPr>
              <w:t>Subjects</w:t>
            </w:r>
          </w:p>
        </w:tc>
      </w:tr>
    </w:tbl>
    <w:p>
      <w:pPr>
        <w:spacing w:after="0" w:line="187" w:lineRule="exact"/>
        <w:jc w:val="left"/>
        <w:rPr>
          <w:sz w:val="18"/>
        </w:rPr>
        <w:sectPr>
          <w:pgSz w:w="11910" w:h="16840"/>
          <w:pgMar w:header="0" w:footer="1067" w:top="1060" w:bottom="1260" w:left="880" w:right="640"/>
        </w:sectPr>
      </w:pPr>
    </w:p>
    <w:p>
      <w:pPr>
        <w:pStyle w:val="BodyText"/>
        <w:spacing w:line="477" w:lineRule="auto" w:before="72"/>
        <w:ind w:left="560" w:right="795"/>
        <w:jc w:val="both"/>
      </w:pPr>
      <w:r>
        <w:rPr/>
        <w:t>Figure</w:t>
      </w:r>
      <w:r>
        <w:rPr>
          <w:spacing w:val="-6"/>
        </w:rPr>
        <w:t> </w:t>
      </w:r>
      <w:r>
        <w:rPr/>
        <w:t>4.1</w:t>
      </w:r>
      <w:r>
        <w:rPr>
          <w:spacing w:val="-4"/>
        </w:rPr>
        <w:t> </w:t>
      </w:r>
      <w:r>
        <w:rPr/>
        <w:t>are</w:t>
      </w:r>
      <w:r>
        <w:rPr>
          <w:spacing w:val="-4"/>
        </w:rPr>
        <w:t> </w:t>
      </w:r>
      <w:r>
        <w:rPr/>
        <w:t>correlation</w:t>
      </w:r>
      <w:r>
        <w:rPr>
          <w:spacing w:val="-2"/>
        </w:rPr>
        <w:t> </w:t>
      </w:r>
      <w:r>
        <w:rPr/>
        <w:t>scattergramsbetween</w:t>
      </w:r>
      <w:r>
        <w:rPr>
          <w:spacing w:val="-4"/>
        </w:rPr>
        <w:t> </w:t>
      </w:r>
      <w:r>
        <w:rPr/>
        <w:t>cytokines</w:t>
      </w:r>
      <w:r>
        <w:rPr>
          <w:spacing w:val="-4"/>
        </w:rPr>
        <w:t> </w:t>
      </w:r>
      <w:r>
        <w:rPr/>
        <w:t>(IFN</w:t>
      </w:r>
      <w:r>
        <w:rPr>
          <w:rFonts w:ascii="Symbol" w:hAnsi="Symbol"/>
        </w:rPr>
        <w:t></w:t>
      </w:r>
      <w:r>
        <w:rPr/>
        <w:t>,</w:t>
      </w:r>
      <w:r>
        <w:rPr>
          <w:spacing w:val="-4"/>
        </w:rPr>
        <w:t> </w:t>
      </w:r>
      <w:r>
        <w:rPr/>
        <w:t>TNF</w:t>
      </w:r>
      <w:r>
        <w:rPr>
          <w:rFonts w:ascii="Symbol" w:hAnsi="Symbol"/>
        </w:rPr>
        <w:t></w:t>
      </w:r>
      <w:r>
        <w:rPr/>
        <w:t>,</w:t>
      </w:r>
      <w:r>
        <w:rPr>
          <w:spacing w:val="-2"/>
        </w:rPr>
        <w:t> </w:t>
      </w:r>
      <w:r>
        <w:rPr/>
        <w:t>IL-4,</w:t>
      </w:r>
      <w:r>
        <w:rPr>
          <w:spacing w:val="-2"/>
        </w:rPr>
        <w:t> </w:t>
      </w:r>
      <w:r>
        <w:rPr/>
        <w:t>IL-6</w:t>
      </w:r>
      <w:r>
        <w:rPr>
          <w:spacing w:val="-4"/>
        </w:rPr>
        <w:t> </w:t>
      </w:r>
      <w:r>
        <w:rPr/>
        <w:t>and IL-10) and iron (Hb, MCV, sTfR, and SF) parameters for malaria infected pregnant subjects.</w:t>
      </w:r>
    </w:p>
    <w:p>
      <w:pPr>
        <w:pStyle w:val="BodyText"/>
        <w:spacing w:line="480" w:lineRule="auto" w:before="6"/>
        <w:ind w:left="560" w:right="795"/>
        <w:jc w:val="both"/>
      </w:pPr>
      <w:r>
        <w:rPr/>
        <w:t>Among the 144 subjects, there was significant strong negative correlation between IFN</w:t>
      </w:r>
      <w:r>
        <w:rPr>
          <w:rFonts w:ascii="Symbol" w:hAnsi="Symbol"/>
        </w:rPr>
        <w:t></w:t>
      </w:r>
      <w:r>
        <w:rPr/>
        <w:t> and Hb</w:t>
      </w:r>
      <w:r>
        <w:rPr>
          <w:spacing w:val="1"/>
        </w:rPr>
        <w:t> </w:t>
      </w:r>
      <w:r>
        <w:rPr/>
        <w:t>(r</w:t>
      </w:r>
      <w:r>
        <w:rPr>
          <w:spacing w:val="3"/>
        </w:rPr>
        <w:t> </w:t>
      </w:r>
      <w:r>
        <w:rPr/>
        <w:t>=</w:t>
      </w:r>
      <w:r>
        <w:rPr>
          <w:spacing w:val="5"/>
        </w:rPr>
        <w:t> </w:t>
      </w:r>
      <w:r>
        <w:rPr/>
        <w:t>-0.82,</w:t>
      </w:r>
      <w:r>
        <w:rPr>
          <w:spacing w:val="4"/>
        </w:rPr>
        <w:t> </w:t>
      </w:r>
      <w:r>
        <w:rPr/>
        <w:t>P</w:t>
      </w:r>
      <w:r>
        <w:rPr>
          <w:spacing w:val="4"/>
        </w:rPr>
        <w:t> </w:t>
      </w:r>
      <w:r>
        <w:rPr/>
        <w:t>=</w:t>
      </w:r>
      <w:r>
        <w:rPr>
          <w:spacing w:val="3"/>
        </w:rPr>
        <w:t> </w:t>
      </w:r>
      <w:r>
        <w:rPr/>
        <w:t>0.030)</w:t>
      </w:r>
      <w:r>
        <w:rPr>
          <w:spacing w:val="6"/>
        </w:rPr>
        <w:t> </w:t>
      </w:r>
      <w:r>
        <w:rPr/>
        <w:t>[figure</w:t>
      </w:r>
      <w:r>
        <w:rPr>
          <w:spacing w:val="2"/>
        </w:rPr>
        <w:t> </w:t>
      </w:r>
      <w:r>
        <w:rPr/>
        <w:t>4.1a(i)].</w:t>
      </w:r>
      <w:r>
        <w:rPr>
          <w:spacing w:val="7"/>
        </w:rPr>
        <w:t> </w:t>
      </w:r>
      <w:r>
        <w:rPr/>
        <w:t>IFN</w:t>
      </w:r>
      <w:r>
        <w:rPr>
          <w:rFonts w:ascii="Symbol" w:hAnsi="Symbol"/>
        </w:rPr>
        <w:t></w:t>
      </w:r>
      <w:r>
        <w:rPr/>
        <w:t>showed</w:t>
      </w:r>
      <w:r>
        <w:rPr>
          <w:spacing w:val="4"/>
        </w:rPr>
        <w:t> </w:t>
      </w:r>
      <w:r>
        <w:rPr/>
        <w:t>no</w:t>
      </w:r>
      <w:r>
        <w:rPr>
          <w:spacing w:val="4"/>
        </w:rPr>
        <w:t> </w:t>
      </w:r>
      <w:r>
        <w:rPr/>
        <w:t>correlation</w:t>
      </w:r>
      <w:r>
        <w:rPr>
          <w:spacing w:val="5"/>
        </w:rPr>
        <w:t> </w:t>
      </w:r>
      <w:r>
        <w:rPr/>
        <w:t>with</w:t>
      </w:r>
      <w:r>
        <w:rPr>
          <w:spacing w:val="6"/>
        </w:rPr>
        <w:t> </w:t>
      </w:r>
      <w:r>
        <w:rPr/>
        <w:t>MCV</w:t>
      </w:r>
      <w:r>
        <w:rPr>
          <w:spacing w:val="4"/>
        </w:rPr>
        <w:t> </w:t>
      </w:r>
      <w:r>
        <w:rPr/>
        <w:t>(r</w:t>
      </w:r>
      <w:r>
        <w:rPr>
          <w:spacing w:val="2"/>
        </w:rPr>
        <w:t> </w:t>
      </w:r>
      <w:r>
        <w:rPr/>
        <w:t>=</w:t>
      </w:r>
      <w:r>
        <w:rPr>
          <w:spacing w:val="5"/>
        </w:rPr>
        <w:t> </w:t>
      </w:r>
      <w:r>
        <w:rPr/>
        <w:t>-0.13,</w:t>
      </w:r>
      <w:r>
        <w:rPr>
          <w:spacing w:val="6"/>
        </w:rPr>
        <w:t> </w:t>
      </w:r>
      <w:r>
        <w:rPr>
          <w:spacing w:val="-10"/>
        </w:rPr>
        <w:t>P</w:t>
      </w:r>
    </w:p>
    <w:p>
      <w:pPr>
        <w:pStyle w:val="BodyText"/>
        <w:spacing w:line="480" w:lineRule="auto"/>
        <w:ind w:left="560" w:right="793"/>
        <w:jc w:val="both"/>
      </w:pPr>
      <w:r>
        <w:rPr/>
        <w:t>= 0.126) [figure 4.1a(ii)]. There was no relationship between IFN</w:t>
      </w:r>
      <w:r>
        <w:rPr>
          <w:rFonts w:ascii="Symbol" w:hAnsi="Symbol"/>
        </w:rPr>
        <w:t></w:t>
      </w:r>
      <w:r>
        <w:rPr/>
        <w:t>, and sTfR (r = -0.012, P = 0.886) [figure 4.1a(iii)]. Again, there was no correlation between IFN</w:t>
      </w:r>
      <w:r>
        <w:rPr>
          <w:rFonts w:ascii="Symbol" w:hAnsi="Symbol"/>
        </w:rPr>
        <w:t></w:t>
      </w:r>
      <w:r>
        <w:rPr/>
        <w:t> and SF (r = -0.23, P = 0.362) [figure 4.1a(iv)].</w:t>
      </w:r>
    </w:p>
    <w:p>
      <w:pPr>
        <w:pStyle w:val="BodyText"/>
      </w:pPr>
    </w:p>
    <w:p>
      <w:pPr>
        <w:pStyle w:val="BodyText"/>
      </w:pPr>
    </w:p>
    <w:p>
      <w:pPr>
        <w:pStyle w:val="BodyText"/>
        <w:spacing w:line="480" w:lineRule="auto" w:before="1"/>
        <w:ind w:left="560" w:right="797"/>
        <w:jc w:val="both"/>
      </w:pPr>
      <w:r>
        <w:rPr/>
        <w:t>In all the subjects, there was negative correlation between TNF</w:t>
      </w:r>
      <w:r>
        <w:rPr>
          <w:rFonts w:ascii="Symbol" w:hAnsi="Symbol"/>
        </w:rPr>
        <w:t></w:t>
      </w:r>
      <w:r>
        <w:rPr/>
        <w:t> and Hb which was of statistical significance (r = -0.16, P = 0.044) [figure 4.1b(i)]. No relationship was registered between TNF</w:t>
      </w:r>
      <w:r>
        <w:rPr>
          <w:rFonts w:ascii="Symbol" w:hAnsi="Symbol"/>
        </w:rPr>
        <w:t></w:t>
      </w:r>
      <w:r>
        <w:rPr/>
        <w:t>, and MCV (r = -0.05, P = 0.577) [figure 4.1b(ii)]. No correlation existed between TNF</w:t>
      </w:r>
      <w:r>
        <w:rPr>
          <w:rFonts w:ascii="Symbol" w:hAnsi="Symbol"/>
        </w:rPr>
        <w:t></w:t>
      </w:r>
      <w:r>
        <w:rPr/>
        <w:t> and SF (r = -0.10, P = 0.241) [figure 4.1b(iv)]. Furthermore, no correlation existed between TNF</w:t>
      </w:r>
      <w:r>
        <w:rPr>
          <w:rFonts w:ascii="Symbol" w:hAnsi="Symbol"/>
        </w:rPr>
        <w:t></w:t>
      </w:r>
      <w:r>
        <w:rPr/>
        <w:t> and sTfR (r = 0.09, P = 0.282) [figure 4.1b(iii)].</w:t>
      </w:r>
    </w:p>
    <w:p>
      <w:pPr>
        <w:pStyle w:val="BodyText"/>
        <w:spacing w:before="274"/>
      </w:pPr>
    </w:p>
    <w:p>
      <w:pPr>
        <w:pStyle w:val="BodyText"/>
        <w:ind w:left="560"/>
        <w:jc w:val="both"/>
      </w:pPr>
      <w:r>
        <w:rPr/>
        <w:t>In</w:t>
      </w:r>
      <w:r>
        <w:rPr>
          <w:spacing w:val="23"/>
        </w:rPr>
        <w:t> </w:t>
      </w:r>
      <w:r>
        <w:rPr/>
        <w:t>this</w:t>
      </w:r>
      <w:r>
        <w:rPr>
          <w:spacing w:val="25"/>
        </w:rPr>
        <w:t> </w:t>
      </w:r>
      <w:r>
        <w:rPr/>
        <w:t>study,</w:t>
      </w:r>
      <w:r>
        <w:rPr>
          <w:spacing w:val="26"/>
        </w:rPr>
        <w:t> </w:t>
      </w:r>
      <w:r>
        <w:rPr/>
        <w:t>there</w:t>
      </w:r>
      <w:r>
        <w:rPr>
          <w:spacing w:val="23"/>
        </w:rPr>
        <w:t> </w:t>
      </w:r>
      <w:r>
        <w:rPr/>
        <w:t>was</w:t>
      </w:r>
      <w:r>
        <w:rPr>
          <w:spacing w:val="28"/>
        </w:rPr>
        <w:t> </w:t>
      </w:r>
      <w:r>
        <w:rPr/>
        <w:t>no</w:t>
      </w:r>
      <w:r>
        <w:rPr>
          <w:spacing w:val="26"/>
        </w:rPr>
        <w:t> </w:t>
      </w:r>
      <w:r>
        <w:rPr/>
        <w:t>correlation</w:t>
      </w:r>
      <w:r>
        <w:rPr>
          <w:spacing w:val="25"/>
        </w:rPr>
        <w:t> </w:t>
      </w:r>
      <w:r>
        <w:rPr/>
        <w:t>between</w:t>
      </w:r>
      <w:r>
        <w:rPr>
          <w:spacing w:val="29"/>
        </w:rPr>
        <w:t> </w:t>
      </w:r>
      <w:r>
        <w:rPr/>
        <w:t>IL-4</w:t>
      </w:r>
      <w:r>
        <w:rPr>
          <w:spacing w:val="27"/>
        </w:rPr>
        <w:t> </w:t>
      </w:r>
      <w:r>
        <w:rPr/>
        <w:t>and</w:t>
      </w:r>
      <w:r>
        <w:rPr>
          <w:spacing w:val="25"/>
        </w:rPr>
        <w:t> </w:t>
      </w:r>
      <w:r>
        <w:rPr/>
        <w:t>Hb</w:t>
      </w:r>
      <w:r>
        <w:rPr>
          <w:spacing w:val="24"/>
        </w:rPr>
        <w:t> </w:t>
      </w:r>
      <w:r>
        <w:rPr/>
        <w:t>(r</w:t>
      </w:r>
      <w:r>
        <w:rPr>
          <w:spacing w:val="24"/>
        </w:rPr>
        <w:t> </w:t>
      </w:r>
      <w:r>
        <w:rPr/>
        <w:t>=</w:t>
      </w:r>
      <w:r>
        <w:rPr>
          <w:spacing w:val="24"/>
        </w:rPr>
        <w:t> </w:t>
      </w:r>
      <w:r>
        <w:rPr/>
        <w:t>0.039,</w:t>
      </w:r>
      <w:r>
        <w:rPr>
          <w:spacing w:val="27"/>
        </w:rPr>
        <w:t> </w:t>
      </w:r>
      <w:r>
        <w:rPr/>
        <w:t>P</w:t>
      </w:r>
      <w:r>
        <w:rPr>
          <w:spacing w:val="25"/>
        </w:rPr>
        <w:t> </w:t>
      </w:r>
      <w:r>
        <w:rPr/>
        <w:t>=</w:t>
      </w:r>
      <w:r>
        <w:rPr>
          <w:spacing w:val="24"/>
        </w:rPr>
        <w:t> </w:t>
      </w:r>
      <w:r>
        <w:rPr/>
        <w:t>0.643)</w:t>
      </w:r>
      <w:r>
        <w:rPr>
          <w:spacing w:val="25"/>
        </w:rPr>
        <w:t> </w:t>
      </w:r>
      <w:r>
        <w:rPr>
          <w:spacing w:val="-2"/>
        </w:rPr>
        <w:t>[figure</w:t>
      </w:r>
    </w:p>
    <w:p>
      <w:pPr>
        <w:pStyle w:val="BodyText"/>
      </w:pPr>
    </w:p>
    <w:p>
      <w:pPr>
        <w:pStyle w:val="BodyText"/>
        <w:spacing w:line="480" w:lineRule="auto"/>
        <w:ind w:left="560" w:right="797"/>
        <w:jc w:val="both"/>
      </w:pPr>
      <w:r>
        <w:rPr/>
        <w:t>4.1c (i)]. No significant relationshipexistsbetween IL-4 and sTfR(r = 0.14, P = 0.104) [figure 4.1c(iv)].Also,</w:t>
      </w:r>
      <w:r>
        <w:rPr>
          <w:spacing w:val="16"/>
        </w:rPr>
        <w:t> </w:t>
      </w:r>
      <w:r>
        <w:rPr/>
        <w:t>no</w:t>
      </w:r>
      <w:r>
        <w:rPr>
          <w:spacing w:val="18"/>
        </w:rPr>
        <w:t> </w:t>
      </w:r>
      <w:r>
        <w:rPr/>
        <w:t>correlationexisted</w:t>
      </w:r>
      <w:r>
        <w:rPr>
          <w:spacing w:val="18"/>
        </w:rPr>
        <w:t> </w:t>
      </w:r>
      <w:r>
        <w:rPr/>
        <w:t>between</w:t>
      </w:r>
      <w:r>
        <w:rPr>
          <w:spacing w:val="22"/>
        </w:rPr>
        <w:t> </w:t>
      </w:r>
      <w:r>
        <w:rPr/>
        <w:t>IL-4</w:t>
      </w:r>
      <w:r>
        <w:rPr>
          <w:spacing w:val="17"/>
        </w:rPr>
        <w:t> </w:t>
      </w:r>
      <w:r>
        <w:rPr/>
        <w:t>and</w:t>
      </w:r>
      <w:r>
        <w:rPr>
          <w:spacing w:val="17"/>
        </w:rPr>
        <w:t> </w:t>
      </w:r>
      <w:r>
        <w:rPr/>
        <w:t>MCV</w:t>
      </w:r>
      <w:r>
        <w:rPr>
          <w:spacing w:val="17"/>
        </w:rPr>
        <w:t> </w:t>
      </w:r>
      <w:r>
        <w:rPr/>
        <w:t>(r</w:t>
      </w:r>
      <w:r>
        <w:rPr>
          <w:spacing w:val="16"/>
        </w:rPr>
        <w:t> </w:t>
      </w:r>
      <w:r>
        <w:rPr/>
        <w:t>=</w:t>
      </w:r>
      <w:r>
        <w:rPr>
          <w:spacing w:val="18"/>
        </w:rPr>
        <w:t> </w:t>
      </w:r>
      <w:r>
        <w:rPr/>
        <w:t>-0.033,</w:t>
      </w:r>
      <w:r>
        <w:rPr>
          <w:spacing w:val="20"/>
        </w:rPr>
        <w:t> </w:t>
      </w:r>
      <w:r>
        <w:rPr/>
        <w:t>P</w:t>
      </w:r>
      <w:r>
        <w:rPr>
          <w:spacing w:val="18"/>
        </w:rPr>
        <w:t> </w:t>
      </w:r>
      <w:r>
        <w:rPr/>
        <w:t>=</w:t>
      </w:r>
      <w:r>
        <w:rPr>
          <w:spacing w:val="17"/>
        </w:rPr>
        <w:t> </w:t>
      </w:r>
      <w:r>
        <w:rPr/>
        <w:t>0.696)</w:t>
      </w:r>
      <w:r>
        <w:rPr>
          <w:spacing w:val="18"/>
        </w:rPr>
        <w:t> </w:t>
      </w:r>
      <w:r>
        <w:rPr>
          <w:spacing w:val="-2"/>
        </w:rPr>
        <w:t>[figure</w:t>
      </w:r>
    </w:p>
    <w:p>
      <w:pPr>
        <w:pStyle w:val="ListParagraph"/>
        <w:numPr>
          <w:ilvl w:val="1"/>
          <w:numId w:val="13"/>
        </w:numPr>
        <w:tabs>
          <w:tab w:pos="860" w:val="left" w:leader="none"/>
        </w:tabs>
        <w:spacing w:line="240" w:lineRule="auto" w:before="1" w:after="0"/>
        <w:ind w:left="860" w:right="0" w:hanging="300"/>
        <w:jc w:val="left"/>
        <w:rPr>
          <w:sz w:val="22"/>
        </w:rPr>
      </w:pPr>
      <w:r>
        <w:rPr>
          <w:sz w:val="24"/>
        </w:rPr>
        <w:t>c(ii)].</w:t>
      </w:r>
      <w:r>
        <w:rPr>
          <w:spacing w:val="32"/>
          <w:sz w:val="24"/>
        </w:rPr>
        <w:t> </w:t>
      </w:r>
      <w:r>
        <w:rPr>
          <w:sz w:val="24"/>
        </w:rPr>
        <w:t>Again,</w:t>
      </w:r>
      <w:r>
        <w:rPr>
          <w:spacing w:val="36"/>
          <w:sz w:val="24"/>
        </w:rPr>
        <w:t> </w:t>
      </w:r>
      <w:r>
        <w:rPr>
          <w:sz w:val="24"/>
        </w:rPr>
        <w:t>no</w:t>
      </w:r>
      <w:r>
        <w:rPr>
          <w:spacing w:val="37"/>
          <w:sz w:val="24"/>
        </w:rPr>
        <w:t> </w:t>
      </w:r>
      <w:r>
        <w:rPr>
          <w:sz w:val="24"/>
        </w:rPr>
        <w:t>correlationexists</w:t>
      </w:r>
      <w:r>
        <w:rPr>
          <w:spacing w:val="37"/>
          <w:sz w:val="24"/>
        </w:rPr>
        <w:t> </w:t>
      </w:r>
      <w:r>
        <w:rPr>
          <w:sz w:val="24"/>
        </w:rPr>
        <w:t>between</w:t>
      </w:r>
      <w:r>
        <w:rPr>
          <w:spacing w:val="38"/>
          <w:sz w:val="24"/>
        </w:rPr>
        <w:t> </w:t>
      </w:r>
      <w:r>
        <w:rPr>
          <w:sz w:val="24"/>
        </w:rPr>
        <w:t>IL-4</w:t>
      </w:r>
      <w:r>
        <w:rPr>
          <w:spacing w:val="34"/>
          <w:sz w:val="24"/>
        </w:rPr>
        <w:t> </w:t>
      </w:r>
      <w:r>
        <w:rPr>
          <w:sz w:val="24"/>
        </w:rPr>
        <w:t>and</w:t>
      </w:r>
      <w:r>
        <w:rPr>
          <w:spacing w:val="37"/>
          <w:sz w:val="24"/>
        </w:rPr>
        <w:t> </w:t>
      </w:r>
      <w:r>
        <w:rPr>
          <w:sz w:val="24"/>
        </w:rPr>
        <w:t>SF</w:t>
      </w:r>
      <w:r>
        <w:rPr>
          <w:spacing w:val="35"/>
          <w:sz w:val="24"/>
        </w:rPr>
        <w:t> </w:t>
      </w:r>
      <w:r>
        <w:rPr>
          <w:sz w:val="24"/>
        </w:rPr>
        <w:t>(r</w:t>
      </w:r>
      <w:r>
        <w:rPr>
          <w:spacing w:val="35"/>
          <w:sz w:val="24"/>
        </w:rPr>
        <w:t> </w:t>
      </w:r>
      <w:r>
        <w:rPr>
          <w:sz w:val="24"/>
        </w:rPr>
        <w:t>=</w:t>
      </w:r>
      <w:r>
        <w:rPr>
          <w:spacing w:val="39"/>
          <w:sz w:val="24"/>
        </w:rPr>
        <w:t> </w:t>
      </w:r>
      <w:r>
        <w:rPr>
          <w:sz w:val="24"/>
        </w:rPr>
        <w:t>-0.036,</w:t>
      </w:r>
      <w:r>
        <w:rPr>
          <w:spacing w:val="37"/>
          <w:sz w:val="24"/>
        </w:rPr>
        <w:t> </w:t>
      </w:r>
      <w:r>
        <w:rPr>
          <w:sz w:val="24"/>
        </w:rPr>
        <w:t>P</w:t>
      </w:r>
      <w:r>
        <w:rPr>
          <w:spacing w:val="36"/>
          <w:sz w:val="24"/>
        </w:rPr>
        <w:t> </w:t>
      </w:r>
      <w:r>
        <w:rPr>
          <w:sz w:val="24"/>
        </w:rPr>
        <w:t>=</w:t>
      </w:r>
      <w:r>
        <w:rPr>
          <w:spacing w:val="33"/>
          <w:sz w:val="24"/>
        </w:rPr>
        <w:t> </w:t>
      </w:r>
      <w:r>
        <w:rPr>
          <w:sz w:val="24"/>
        </w:rPr>
        <w:t>0.671)</w:t>
      </w:r>
      <w:r>
        <w:rPr>
          <w:spacing w:val="37"/>
          <w:sz w:val="24"/>
        </w:rPr>
        <w:t> </w:t>
      </w:r>
      <w:r>
        <w:rPr>
          <w:spacing w:val="-2"/>
          <w:sz w:val="24"/>
        </w:rPr>
        <w:t>[figure</w:t>
      </w:r>
    </w:p>
    <w:p>
      <w:pPr>
        <w:pStyle w:val="BodyText"/>
      </w:pPr>
    </w:p>
    <w:p>
      <w:pPr>
        <w:pStyle w:val="ListParagraph"/>
        <w:numPr>
          <w:ilvl w:val="1"/>
          <w:numId w:val="14"/>
        </w:numPr>
        <w:tabs>
          <w:tab w:pos="860" w:val="left" w:leader="none"/>
        </w:tabs>
        <w:spacing w:line="240" w:lineRule="auto" w:before="0" w:after="0"/>
        <w:ind w:left="860" w:right="0" w:hanging="300"/>
        <w:jc w:val="left"/>
        <w:rPr>
          <w:sz w:val="24"/>
        </w:rPr>
      </w:pPr>
      <w:r>
        <w:rPr>
          <w:spacing w:val="-2"/>
          <w:sz w:val="24"/>
        </w:rPr>
        <w:t>c(iii)].</w:t>
      </w:r>
    </w:p>
    <w:p>
      <w:pPr>
        <w:pStyle w:val="BodyText"/>
      </w:pPr>
    </w:p>
    <w:p>
      <w:pPr>
        <w:pStyle w:val="BodyText"/>
        <w:spacing w:line="480" w:lineRule="auto"/>
        <w:ind w:left="560" w:right="793"/>
        <w:jc w:val="both"/>
      </w:pPr>
      <w:r>
        <w:rPr/>
        <w:t>In this study, no significant relationshipexistsbetween IL-6 and Hb (r = 0.07, P = 0.402) [figure 4.1d(i)], between IL-6 and MCV (r = 0.13, p = 0.147) (fig. 4.1dii) and between IL-6 and SF (r = 0.05, P = 0.607) [figure 4.1d(iv)].In addition, there was no relationship between IL-6 and sTfR (r = -0.11, P = 0.190) [figure 4.1d(iii)].</w:t>
      </w:r>
    </w:p>
    <w:p>
      <w:pPr>
        <w:spacing w:after="0" w:line="480" w:lineRule="auto"/>
        <w:jc w:val="both"/>
        <w:sectPr>
          <w:pgSz w:w="11910" w:h="16840"/>
          <w:pgMar w:header="0" w:footer="1067" w:top="1060" w:bottom="1260" w:left="880" w:right="640"/>
        </w:sectPr>
      </w:pPr>
    </w:p>
    <w:p>
      <w:pPr>
        <w:pStyle w:val="BodyText"/>
        <w:spacing w:before="70"/>
        <w:ind w:left="560"/>
        <w:jc w:val="both"/>
      </w:pPr>
      <w:r>
        <w:rPr/>
        <w:t>As</w:t>
      </w:r>
      <w:r>
        <w:rPr>
          <w:spacing w:val="2"/>
        </w:rPr>
        <w:t> </w:t>
      </w:r>
      <w:r>
        <w:rPr/>
        <w:t>regards</w:t>
      </w:r>
      <w:r>
        <w:rPr>
          <w:spacing w:val="5"/>
        </w:rPr>
        <w:t> </w:t>
      </w:r>
      <w:r>
        <w:rPr/>
        <w:t>correlation</w:t>
      </w:r>
      <w:r>
        <w:rPr>
          <w:spacing w:val="3"/>
        </w:rPr>
        <w:t> </w:t>
      </w:r>
      <w:r>
        <w:rPr/>
        <w:t>between</w:t>
      </w:r>
      <w:r>
        <w:rPr>
          <w:spacing w:val="5"/>
        </w:rPr>
        <w:t> </w:t>
      </w:r>
      <w:r>
        <w:rPr/>
        <w:t>IL-10</w:t>
      </w:r>
      <w:r>
        <w:rPr>
          <w:spacing w:val="4"/>
        </w:rPr>
        <w:t> </w:t>
      </w:r>
      <w:r>
        <w:rPr/>
        <w:t>and</w:t>
      </w:r>
      <w:r>
        <w:rPr>
          <w:spacing w:val="3"/>
        </w:rPr>
        <w:t> </w:t>
      </w:r>
      <w:r>
        <w:rPr/>
        <w:t>Hb,</w:t>
      </w:r>
      <w:r>
        <w:rPr>
          <w:spacing w:val="2"/>
        </w:rPr>
        <w:t> </w:t>
      </w:r>
      <w:r>
        <w:rPr/>
        <w:t>no</w:t>
      </w:r>
      <w:r>
        <w:rPr>
          <w:spacing w:val="5"/>
        </w:rPr>
        <w:t> </w:t>
      </w:r>
      <w:r>
        <w:rPr/>
        <w:t>relationship</w:t>
      </w:r>
      <w:r>
        <w:rPr>
          <w:spacing w:val="3"/>
        </w:rPr>
        <w:t> </w:t>
      </w:r>
      <w:r>
        <w:rPr/>
        <w:t>exists</w:t>
      </w:r>
      <w:r>
        <w:rPr>
          <w:spacing w:val="3"/>
        </w:rPr>
        <w:t> </w:t>
      </w:r>
      <w:r>
        <w:rPr/>
        <w:t>between</w:t>
      </w:r>
      <w:r>
        <w:rPr>
          <w:spacing w:val="7"/>
        </w:rPr>
        <w:t> </w:t>
      </w:r>
      <w:r>
        <w:rPr/>
        <w:t>IL-10</w:t>
      </w:r>
      <w:r>
        <w:rPr>
          <w:spacing w:val="3"/>
        </w:rPr>
        <w:t> </w:t>
      </w:r>
      <w:r>
        <w:rPr/>
        <w:t>and</w:t>
      </w:r>
      <w:r>
        <w:rPr>
          <w:spacing w:val="4"/>
        </w:rPr>
        <w:t> </w:t>
      </w:r>
      <w:r>
        <w:rPr/>
        <w:t>Hb</w:t>
      </w:r>
      <w:r>
        <w:rPr>
          <w:spacing w:val="3"/>
        </w:rPr>
        <w:t> </w:t>
      </w:r>
      <w:r>
        <w:rPr>
          <w:spacing w:val="-5"/>
        </w:rPr>
        <w:t>(r</w:t>
      </w:r>
    </w:p>
    <w:p>
      <w:pPr>
        <w:pStyle w:val="BodyText"/>
      </w:pPr>
    </w:p>
    <w:p>
      <w:pPr>
        <w:pStyle w:val="BodyText"/>
        <w:spacing w:line="480" w:lineRule="auto"/>
        <w:ind w:left="560" w:right="796"/>
        <w:jc w:val="both"/>
      </w:pPr>
      <w:r>
        <w:rPr/>
        <w:t>=</w:t>
      </w:r>
      <w:r>
        <w:rPr>
          <w:spacing w:val="-2"/>
        </w:rPr>
        <w:t> </w:t>
      </w:r>
      <w:r>
        <w:rPr/>
        <w:t>-0.23,</w:t>
      </w:r>
      <w:r>
        <w:rPr>
          <w:spacing w:val="-1"/>
        </w:rPr>
        <w:t> </w:t>
      </w:r>
      <w:r>
        <w:rPr/>
        <w:t>P</w:t>
      </w:r>
      <w:r>
        <w:rPr>
          <w:spacing w:val="-1"/>
        </w:rPr>
        <w:t> </w:t>
      </w:r>
      <w:r>
        <w:rPr/>
        <w:t>=</w:t>
      </w:r>
      <w:r>
        <w:rPr>
          <w:spacing w:val="-2"/>
        </w:rPr>
        <w:t> </w:t>
      </w:r>
      <w:r>
        <w:rPr/>
        <w:t>0.098)</w:t>
      </w:r>
      <w:r>
        <w:rPr>
          <w:spacing w:val="-2"/>
        </w:rPr>
        <w:t> </w:t>
      </w:r>
      <w:r>
        <w:rPr/>
        <w:t>[figure</w:t>
      </w:r>
      <w:r>
        <w:rPr>
          <w:spacing w:val="-2"/>
        </w:rPr>
        <w:t> </w:t>
      </w:r>
      <w:r>
        <w:rPr/>
        <w:t>4.1e(i)].</w:t>
      </w:r>
      <w:r>
        <w:rPr>
          <w:spacing w:val="-1"/>
        </w:rPr>
        <w:t> </w:t>
      </w:r>
      <w:r>
        <w:rPr/>
        <w:t>Againno</w:t>
      </w:r>
      <w:r>
        <w:rPr>
          <w:spacing w:val="-1"/>
        </w:rPr>
        <w:t> </w:t>
      </w:r>
      <w:r>
        <w:rPr/>
        <w:t>correlation was</w:t>
      </w:r>
      <w:r>
        <w:rPr>
          <w:spacing w:val="-1"/>
        </w:rPr>
        <w:t> </w:t>
      </w:r>
      <w:r>
        <w:rPr/>
        <w:t>registered between IL-10</w:t>
      </w:r>
      <w:r>
        <w:rPr>
          <w:spacing w:val="-1"/>
        </w:rPr>
        <w:t> </w:t>
      </w:r>
      <w:r>
        <w:rPr/>
        <w:t>and</w:t>
      </w:r>
      <w:r>
        <w:rPr>
          <w:spacing w:val="-1"/>
        </w:rPr>
        <w:t> </w:t>
      </w:r>
      <w:r>
        <w:rPr/>
        <w:t>SF (r = -0.005, P = 0.949) [figure 4.1e(iv). No correlation was registered between IL-10 and</w:t>
      </w:r>
      <w:r>
        <w:rPr>
          <w:spacing w:val="40"/>
        </w:rPr>
        <w:t> </w:t>
      </w:r>
      <w:r>
        <w:rPr/>
        <w:t>sTfR (r = -0.07, P = 0.411) [figure 4.1e(iii)]. Also,nocorrelation existed between IL-10 and MCV (r = 0.09, P = 0.291) [figure 4.1e(ii)].</w:t>
      </w:r>
    </w:p>
    <w:p>
      <w:pPr>
        <w:pStyle w:val="BodyText"/>
      </w:pPr>
    </w:p>
    <w:p>
      <w:pPr>
        <w:pStyle w:val="BodyText"/>
        <w:spacing w:before="1"/>
      </w:pPr>
    </w:p>
    <w:p>
      <w:pPr>
        <w:pStyle w:val="BodyText"/>
        <w:spacing w:line="480" w:lineRule="auto"/>
        <w:ind w:left="560" w:right="798"/>
        <w:jc w:val="both"/>
      </w:pPr>
      <w:r>
        <w:rPr/>
        <w:t>Figure</w:t>
      </w:r>
      <w:r>
        <w:rPr>
          <w:spacing w:val="-3"/>
        </w:rPr>
        <w:t> </w:t>
      </w:r>
      <w:r>
        <w:rPr/>
        <w:t>4.2a</w:t>
      </w:r>
      <w:r>
        <w:rPr>
          <w:spacing w:val="-2"/>
        </w:rPr>
        <w:t> </w:t>
      </w:r>
      <w:r>
        <w:rPr/>
        <w:t>shows correlation</w:t>
      </w:r>
      <w:r>
        <w:rPr>
          <w:spacing w:val="-1"/>
        </w:rPr>
        <w:t> </w:t>
      </w:r>
      <w:r>
        <w:rPr/>
        <w:t>scatterplot</w:t>
      </w:r>
      <w:r>
        <w:rPr>
          <w:spacing w:val="-1"/>
        </w:rPr>
        <w:t> </w:t>
      </w:r>
      <w:r>
        <w:rPr/>
        <w:t>between cytokines (IL-6 and IL-10)</w:t>
      </w:r>
      <w:r>
        <w:rPr>
          <w:spacing w:val="-2"/>
        </w:rPr>
        <w:t> </w:t>
      </w:r>
      <w:r>
        <w:rPr/>
        <w:t>and acute phase protein (C-reactive protein).</w:t>
      </w:r>
    </w:p>
    <w:p>
      <w:pPr>
        <w:pStyle w:val="BodyText"/>
        <w:spacing w:line="480" w:lineRule="auto"/>
        <w:ind w:left="560" w:right="795"/>
        <w:jc w:val="both"/>
      </w:pPr>
      <w:r>
        <w:rPr/>
        <w:t>In the</w:t>
      </w:r>
      <w:r>
        <w:rPr>
          <w:spacing w:val="-1"/>
        </w:rPr>
        <w:t> </w:t>
      </w:r>
      <w:r>
        <w:rPr/>
        <w:t>study, there were</w:t>
      </w:r>
      <w:r>
        <w:rPr>
          <w:spacing w:val="-1"/>
        </w:rPr>
        <w:t> </w:t>
      </w:r>
      <w:r>
        <w:rPr/>
        <w:t>significantly</w:t>
      </w:r>
      <w:r>
        <w:rPr>
          <w:spacing w:val="-2"/>
        </w:rPr>
        <w:t> </w:t>
      </w:r>
      <w:r>
        <w:rPr/>
        <w:t>positive correlation between IL-6 and C-reactive</w:t>
      </w:r>
      <w:r>
        <w:rPr>
          <w:spacing w:val="-1"/>
        </w:rPr>
        <w:t> </w:t>
      </w:r>
      <w:r>
        <w:rPr/>
        <w:t>protein (r = 0.56, P = 0.001) [figure 4.2ai] and between IL-10 and C-reactive protein (r = 0.79, P = 0.010) [figure 4.2aii].</w:t>
      </w:r>
    </w:p>
    <w:p>
      <w:pPr>
        <w:pStyle w:val="BodyText"/>
      </w:pPr>
    </w:p>
    <w:p>
      <w:pPr>
        <w:pStyle w:val="BodyText"/>
        <w:spacing w:before="1"/>
      </w:pPr>
    </w:p>
    <w:p>
      <w:pPr>
        <w:pStyle w:val="BodyText"/>
        <w:spacing w:line="480" w:lineRule="auto"/>
        <w:ind w:left="560" w:right="798"/>
        <w:jc w:val="both"/>
      </w:pPr>
      <w:r>
        <w:rPr/>
        <w:t>Figure</w:t>
      </w:r>
      <w:r>
        <w:rPr>
          <w:spacing w:val="-3"/>
        </w:rPr>
        <w:t> </w:t>
      </w:r>
      <w:r>
        <w:rPr/>
        <w:t>4.3</w:t>
      </w:r>
      <w:r>
        <w:rPr>
          <w:spacing w:val="-1"/>
        </w:rPr>
        <w:t> </w:t>
      </w:r>
      <w:r>
        <w:rPr/>
        <w:t>showscorrelation</w:t>
      </w:r>
      <w:r>
        <w:rPr>
          <w:spacing w:val="-1"/>
        </w:rPr>
        <w:t> </w:t>
      </w:r>
      <w:r>
        <w:rPr/>
        <w:t>scatterplot between</w:t>
      </w:r>
      <w:r>
        <w:rPr>
          <w:spacing w:val="-1"/>
        </w:rPr>
        <w:t> </w:t>
      </w:r>
      <w:r>
        <w:rPr/>
        <w:t>iron</w:t>
      </w:r>
      <w:r>
        <w:rPr>
          <w:spacing w:val="-1"/>
        </w:rPr>
        <w:t> </w:t>
      </w:r>
      <w:r>
        <w:rPr/>
        <w:t>(SF)</w:t>
      </w:r>
      <w:r>
        <w:rPr>
          <w:spacing w:val="-2"/>
        </w:rPr>
        <w:t> </w:t>
      </w:r>
      <w:r>
        <w:rPr/>
        <w:t>and</w:t>
      </w:r>
      <w:r>
        <w:rPr>
          <w:spacing w:val="-1"/>
        </w:rPr>
        <w:t> </w:t>
      </w:r>
      <w:r>
        <w:rPr/>
        <w:t>acute</w:t>
      </w:r>
      <w:r>
        <w:rPr>
          <w:spacing w:val="-2"/>
        </w:rPr>
        <w:t> </w:t>
      </w:r>
      <w:r>
        <w:rPr/>
        <w:t>phase protein</w:t>
      </w:r>
      <w:r>
        <w:rPr>
          <w:spacing w:val="-1"/>
        </w:rPr>
        <w:t> </w:t>
      </w:r>
      <w:r>
        <w:rPr/>
        <w:t>(C-reactive </w:t>
      </w:r>
      <w:r>
        <w:rPr>
          <w:spacing w:val="-2"/>
        </w:rPr>
        <w:t>protein).</w:t>
      </w:r>
    </w:p>
    <w:p>
      <w:pPr>
        <w:pStyle w:val="BodyText"/>
        <w:spacing w:line="480" w:lineRule="auto"/>
        <w:ind w:left="560" w:right="798"/>
        <w:jc w:val="both"/>
      </w:pPr>
      <w:r>
        <w:rPr/>
        <w:t>The level of C-RP showed a positive correlation with levels of serum ferritin in infected pregnant women (r = 0.64, P = 0.000) [figure 4.3]</w:t>
      </w:r>
    </w:p>
    <w:p>
      <w:pPr>
        <w:pStyle w:val="BodyText"/>
      </w:pPr>
    </w:p>
    <w:p>
      <w:pPr>
        <w:pStyle w:val="BodyText"/>
      </w:pPr>
    </w:p>
    <w:p>
      <w:pPr>
        <w:pStyle w:val="BodyText"/>
        <w:spacing w:line="480" w:lineRule="auto"/>
        <w:ind w:left="560" w:right="794"/>
        <w:jc w:val="both"/>
      </w:pPr>
      <w:r>
        <w:rPr/>
        <w:t>Figure</w:t>
      </w:r>
      <w:r>
        <w:rPr>
          <w:spacing w:val="-5"/>
        </w:rPr>
        <w:t> </w:t>
      </w:r>
      <w:r>
        <w:rPr/>
        <w:t>4.4</w:t>
      </w:r>
      <w:r>
        <w:rPr>
          <w:spacing w:val="-3"/>
        </w:rPr>
        <w:t> </w:t>
      </w:r>
      <w:r>
        <w:rPr/>
        <w:t>shows</w:t>
      </w:r>
      <w:r>
        <w:rPr>
          <w:spacing w:val="-1"/>
        </w:rPr>
        <w:t> </w:t>
      </w:r>
      <w:r>
        <w:rPr/>
        <w:t>correlation</w:t>
      </w:r>
      <w:r>
        <w:rPr>
          <w:spacing w:val="-3"/>
        </w:rPr>
        <w:t> </w:t>
      </w:r>
      <w:r>
        <w:rPr/>
        <w:t>scatter Diagram</w:t>
      </w:r>
      <w:r>
        <w:rPr>
          <w:spacing w:val="-3"/>
        </w:rPr>
        <w:t> </w:t>
      </w:r>
      <w:r>
        <w:rPr/>
        <w:t>between</w:t>
      </w:r>
      <w:r>
        <w:rPr>
          <w:spacing w:val="-1"/>
        </w:rPr>
        <w:t> </w:t>
      </w:r>
      <w:r>
        <w:rPr/>
        <w:t>cytokines</w:t>
      </w:r>
      <w:r>
        <w:rPr>
          <w:spacing w:val="-3"/>
        </w:rPr>
        <w:t> </w:t>
      </w:r>
      <w:r>
        <w:rPr/>
        <w:t>(IL-6</w:t>
      </w:r>
      <w:r>
        <w:rPr>
          <w:spacing w:val="-1"/>
        </w:rPr>
        <w:t> </w:t>
      </w:r>
      <w:r>
        <w:rPr/>
        <w:t>and</w:t>
      </w:r>
      <w:r>
        <w:rPr>
          <w:spacing w:val="-1"/>
        </w:rPr>
        <w:t> </w:t>
      </w:r>
      <w:r>
        <w:rPr/>
        <w:t>IL-10)</w:t>
      </w:r>
      <w:r>
        <w:rPr>
          <w:spacing w:val="-2"/>
        </w:rPr>
        <w:t> </w:t>
      </w:r>
      <w:r>
        <w:rPr/>
        <w:t>and</w:t>
      </w:r>
      <w:r>
        <w:rPr>
          <w:spacing w:val="-3"/>
        </w:rPr>
        <w:t> </w:t>
      </w:r>
      <w:r>
        <w:rPr/>
        <w:t>malaria parasite count. A strong positive correlation existed between IL-6 and Malaria Parasite density (r = 0.66, p = 0.001) and between IL-10 and Malaria Parasite density (r = 0.71, p = </w:t>
      </w:r>
      <w:r>
        <w:rPr>
          <w:spacing w:val="-2"/>
        </w:rPr>
        <w:t>0.001).</w:t>
      </w:r>
    </w:p>
    <w:p>
      <w:pPr>
        <w:spacing w:after="0" w:line="480" w:lineRule="auto"/>
        <w:jc w:val="both"/>
        <w:sectPr>
          <w:pgSz w:w="11910" w:h="16840"/>
          <w:pgMar w:header="0" w:footer="1067" w:top="1060" w:bottom="1260" w:left="880" w:right="640"/>
        </w:sectPr>
      </w:pPr>
    </w:p>
    <w:p>
      <w:pPr>
        <w:pStyle w:val="BodyText"/>
        <w:ind w:left="921"/>
        <w:rPr>
          <w:sz w:val="20"/>
        </w:rPr>
      </w:pPr>
      <w:r>
        <w:rPr>
          <w:sz w:val="20"/>
        </w:rPr>
        <mc:AlternateContent>
          <mc:Choice Requires="wps">
            <w:drawing>
              <wp:inline distT="0" distB="0" distL="0" distR="0">
                <wp:extent cx="4476750" cy="4358640"/>
                <wp:effectExtent l="0" t="0" r="0" b="3810"/>
                <wp:docPr id="44" name="Group 44"/>
                <wp:cNvGraphicFramePr>
                  <a:graphicFrameLocks/>
                </wp:cNvGraphicFramePr>
                <a:graphic>
                  <a:graphicData uri="http://schemas.microsoft.com/office/word/2010/wordprocessingGroup">
                    <wpg:wgp>
                      <wpg:cNvPr id="44" name="Group 44"/>
                      <wpg:cNvGrpSpPr/>
                      <wpg:grpSpPr>
                        <a:xfrm>
                          <a:off x="0" y="0"/>
                          <a:ext cx="4476750" cy="4358640"/>
                          <a:chExt cx="4476750" cy="4358640"/>
                        </a:xfrm>
                      </wpg:grpSpPr>
                      <pic:pic>
                        <pic:nvPicPr>
                          <pic:cNvPr id="45" name="Image 45"/>
                          <pic:cNvPicPr/>
                        </pic:nvPicPr>
                        <pic:blipFill>
                          <a:blip r:embed="rId13" cstate="print"/>
                          <a:stretch>
                            <a:fillRect/>
                          </a:stretch>
                        </pic:blipFill>
                        <pic:spPr>
                          <a:xfrm>
                            <a:off x="0" y="0"/>
                            <a:ext cx="4476577" cy="4358045"/>
                          </a:xfrm>
                          <a:prstGeom prst="rect">
                            <a:avLst/>
                          </a:prstGeom>
                        </pic:spPr>
                      </pic:pic>
                      <wps:wsp>
                        <wps:cNvPr id="46" name="Graphic 46"/>
                        <wps:cNvSpPr/>
                        <wps:spPr>
                          <a:xfrm>
                            <a:off x="2692566" y="146230"/>
                            <a:ext cx="1506220" cy="179070"/>
                          </a:xfrm>
                          <a:custGeom>
                            <a:avLst/>
                            <a:gdLst/>
                            <a:ahLst/>
                            <a:cxnLst/>
                            <a:rect l="l" t="t" r="r" b="b"/>
                            <a:pathLst>
                              <a:path w="1506220" h="179070">
                                <a:moveTo>
                                  <a:pt x="1506220" y="0"/>
                                </a:moveTo>
                                <a:lnTo>
                                  <a:pt x="0" y="0"/>
                                </a:lnTo>
                                <a:lnTo>
                                  <a:pt x="0" y="179070"/>
                                </a:lnTo>
                                <a:lnTo>
                                  <a:pt x="1506220" y="179070"/>
                                </a:lnTo>
                                <a:lnTo>
                                  <a:pt x="150622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52.5pt;height:343.2pt;mso-position-horizontal-relative:char;mso-position-vertical-relative:line" id="docshapegroup34" coordorigin="0,0" coordsize="7050,6864">
                <v:shape style="position:absolute;left:0;top:0;width:7050;height:6864" type="#_x0000_t75" id="docshape35" stroked="false">
                  <v:imagedata r:id="rId13" o:title=""/>
                </v:shape>
                <v:rect style="position:absolute;left:4240;top:230;width:2372;height:282" id="docshape36" filled="true" fillcolor="#ffffff" stroked="false">
                  <v:fill type="solid"/>
                </v:rect>
              </v:group>
            </w:pict>
          </mc:Fallback>
        </mc:AlternateContent>
      </w:r>
      <w:r>
        <w:rPr>
          <w:sz w:val="20"/>
        </w:rPr>
      </w:r>
    </w:p>
    <w:p>
      <w:pPr>
        <w:spacing w:after="0"/>
        <w:rPr>
          <w:sz w:val="20"/>
        </w:rPr>
        <w:sectPr>
          <w:pgSz w:w="11910" w:h="16840"/>
          <w:pgMar w:header="0" w:footer="1067" w:top="1560" w:bottom="1260" w:left="880" w:right="640"/>
        </w:sectPr>
      </w:pPr>
    </w:p>
    <w:p>
      <w:pPr>
        <w:pStyle w:val="BodyText"/>
        <w:ind w:left="1808"/>
        <w:rPr>
          <w:sz w:val="20"/>
        </w:rPr>
      </w:pPr>
      <w:r>
        <w:rPr>
          <w:sz w:val="20"/>
        </w:rPr>
        <mc:AlternateContent>
          <mc:Choice Requires="wps">
            <w:drawing>
              <wp:inline distT="0" distB="0" distL="0" distR="0">
                <wp:extent cx="4290695" cy="4222115"/>
                <wp:effectExtent l="0" t="0" r="0" b="6985"/>
                <wp:docPr id="47" name="Group 47"/>
                <wp:cNvGraphicFramePr>
                  <a:graphicFrameLocks/>
                </wp:cNvGraphicFramePr>
                <a:graphic>
                  <a:graphicData uri="http://schemas.microsoft.com/office/word/2010/wordprocessingGroup">
                    <wpg:wgp>
                      <wpg:cNvPr id="47" name="Group 47"/>
                      <wpg:cNvGrpSpPr/>
                      <wpg:grpSpPr>
                        <a:xfrm>
                          <a:off x="0" y="0"/>
                          <a:ext cx="4290695" cy="4222115"/>
                          <a:chExt cx="4290695" cy="4222115"/>
                        </a:xfrm>
                      </wpg:grpSpPr>
                      <pic:pic>
                        <pic:nvPicPr>
                          <pic:cNvPr id="48" name="Image 48"/>
                          <pic:cNvPicPr/>
                        </pic:nvPicPr>
                        <pic:blipFill>
                          <a:blip r:embed="rId14" cstate="print"/>
                          <a:stretch>
                            <a:fillRect/>
                          </a:stretch>
                        </pic:blipFill>
                        <pic:spPr>
                          <a:xfrm>
                            <a:off x="0" y="0"/>
                            <a:ext cx="4290208" cy="4221566"/>
                          </a:xfrm>
                          <a:prstGeom prst="rect">
                            <a:avLst/>
                          </a:prstGeom>
                        </pic:spPr>
                      </pic:pic>
                      <wps:wsp>
                        <wps:cNvPr id="49" name="Graphic 49"/>
                        <wps:cNvSpPr/>
                        <wps:spPr>
                          <a:xfrm>
                            <a:off x="2426804" y="98184"/>
                            <a:ext cx="1191260" cy="153670"/>
                          </a:xfrm>
                          <a:custGeom>
                            <a:avLst/>
                            <a:gdLst/>
                            <a:ahLst/>
                            <a:cxnLst/>
                            <a:rect l="l" t="t" r="r" b="b"/>
                            <a:pathLst>
                              <a:path w="1191260" h="153670">
                                <a:moveTo>
                                  <a:pt x="1191260" y="0"/>
                                </a:moveTo>
                                <a:lnTo>
                                  <a:pt x="0" y="0"/>
                                </a:lnTo>
                                <a:lnTo>
                                  <a:pt x="0" y="153670"/>
                                </a:lnTo>
                                <a:lnTo>
                                  <a:pt x="1191260" y="153670"/>
                                </a:lnTo>
                                <a:lnTo>
                                  <a:pt x="119126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37.85pt;height:332.45pt;mso-position-horizontal-relative:char;mso-position-vertical-relative:line" id="docshapegroup37" coordorigin="0,0" coordsize="6757,6649">
                <v:shape style="position:absolute;left:0;top:0;width:6757;height:6649" type="#_x0000_t75" id="docshape38" stroked="false">
                  <v:imagedata r:id="rId14" o:title=""/>
                </v:shape>
                <v:rect style="position:absolute;left:3821;top:154;width:1876;height:242" id="docshape39" filled="true" fillcolor="#ffffff" stroked="false">
                  <v:fill type="solid"/>
                </v:rect>
              </v:group>
            </w:pict>
          </mc:Fallback>
        </mc:AlternateContent>
      </w:r>
      <w:r>
        <w:rPr>
          <w:sz w:val="20"/>
        </w:rPr>
      </w:r>
    </w:p>
    <w:p>
      <w:pPr>
        <w:spacing w:after="0"/>
        <w:rPr>
          <w:sz w:val="20"/>
        </w:rPr>
        <w:sectPr>
          <w:pgSz w:w="11910" w:h="16840"/>
          <w:pgMar w:header="0" w:footer="1067" w:top="1680" w:bottom="1260" w:left="880" w:right="640"/>
        </w:sectPr>
      </w:pPr>
    </w:p>
    <w:p>
      <w:pPr>
        <w:pStyle w:val="BodyText"/>
        <w:ind w:left="948"/>
        <w:rPr>
          <w:sz w:val="20"/>
        </w:rPr>
      </w:pPr>
      <w:r>
        <w:rPr>
          <w:sz w:val="20"/>
        </w:rPr>
        <w:drawing>
          <wp:inline distT="0" distB="0" distL="0" distR="0">
            <wp:extent cx="4529840" cy="4223766"/>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5" cstate="print"/>
                    <a:stretch>
                      <a:fillRect/>
                    </a:stretch>
                  </pic:blipFill>
                  <pic:spPr>
                    <a:xfrm>
                      <a:off x="0" y="0"/>
                      <a:ext cx="4529840" cy="4223766"/>
                    </a:xfrm>
                    <a:prstGeom prst="rect">
                      <a:avLst/>
                    </a:prstGeom>
                  </pic:spPr>
                </pic:pic>
              </a:graphicData>
            </a:graphic>
          </wp:inline>
        </w:drawing>
      </w:r>
      <w:r>
        <w:rPr>
          <w:sz w:val="20"/>
        </w:rPr>
      </w:r>
    </w:p>
    <w:p>
      <w:pPr>
        <w:pStyle w:val="ListParagraph"/>
        <w:numPr>
          <w:ilvl w:val="1"/>
          <w:numId w:val="14"/>
        </w:numPr>
        <w:tabs>
          <w:tab w:pos="2854" w:val="left" w:leader="none"/>
          <w:tab w:pos="4098" w:val="left" w:leader="none"/>
        </w:tabs>
        <w:spacing w:line="240" w:lineRule="auto" w:before="240" w:after="0"/>
        <w:ind w:left="4098" w:right="2793" w:hanging="1544"/>
        <w:jc w:val="left"/>
        <w:rPr>
          <w:sz w:val="24"/>
        </w:rPr>
      </w:pPr>
      <w:r>
        <w:rPr>
          <w:sz w:val="24"/>
        </w:rPr>
        <w:t>ai:</w:t>
      </w:r>
      <w:r>
        <w:rPr>
          <w:spacing w:val="-6"/>
          <w:sz w:val="24"/>
        </w:rPr>
        <w:t> </w:t>
      </w:r>
      <w:r>
        <w:rPr>
          <w:sz w:val="24"/>
        </w:rPr>
        <w:t>A</w:t>
      </w:r>
      <w:r>
        <w:rPr>
          <w:spacing w:val="-6"/>
          <w:sz w:val="24"/>
        </w:rPr>
        <w:t> </w:t>
      </w:r>
      <w:r>
        <w:rPr>
          <w:sz w:val="24"/>
        </w:rPr>
        <w:t>positive</w:t>
      </w:r>
      <w:r>
        <w:rPr>
          <w:spacing w:val="-7"/>
          <w:sz w:val="24"/>
        </w:rPr>
        <w:t> </w:t>
      </w:r>
      <w:r>
        <w:rPr>
          <w:sz w:val="24"/>
        </w:rPr>
        <w:t>correlation</w:t>
      </w:r>
      <w:r>
        <w:rPr>
          <w:spacing w:val="-6"/>
          <w:sz w:val="24"/>
        </w:rPr>
        <w:t> </w:t>
      </w:r>
      <w:r>
        <w:rPr>
          <w:sz w:val="24"/>
        </w:rPr>
        <w:t>between</w:t>
      </w:r>
      <w:r>
        <w:rPr>
          <w:spacing w:val="-6"/>
          <w:sz w:val="24"/>
        </w:rPr>
        <w:t> </w:t>
      </w:r>
      <w:r>
        <w:rPr>
          <w:sz w:val="24"/>
        </w:rPr>
        <w:t>C-RP</w:t>
      </w:r>
      <w:r>
        <w:rPr>
          <w:spacing w:val="-6"/>
          <w:sz w:val="24"/>
        </w:rPr>
        <w:t> </w:t>
      </w:r>
      <w:r>
        <w:rPr>
          <w:sz w:val="24"/>
        </w:rPr>
        <w:t>and</w:t>
      </w:r>
      <w:r>
        <w:rPr>
          <w:spacing w:val="-4"/>
          <w:sz w:val="24"/>
        </w:rPr>
        <w:t> </w:t>
      </w:r>
      <w:r>
        <w:rPr>
          <w:sz w:val="24"/>
        </w:rPr>
        <w:t>IL-6 (r = 0.56, p = 0.001)</w:t>
      </w:r>
    </w:p>
    <w:p>
      <w:pPr>
        <w:spacing w:after="0" w:line="240" w:lineRule="auto"/>
        <w:jc w:val="left"/>
        <w:rPr>
          <w:sz w:val="24"/>
        </w:rPr>
        <w:sectPr>
          <w:pgSz w:w="11910" w:h="16840"/>
          <w:pgMar w:header="0" w:footer="1067" w:top="1180" w:bottom="1260" w:left="880" w:right="640"/>
        </w:sectPr>
      </w:pPr>
    </w:p>
    <w:p>
      <w:pPr>
        <w:pStyle w:val="BodyText"/>
        <w:ind w:left="1049"/>
        <w:rPr>
          <w:sz w:val="20"/>
        </w:rPr>
      </w:pPr>
      <w:r>
        <w:rPr>
          <w:sz w:val="20"/>
        </w:rPr>
        <w:drawing>
          <wp:inline distT="0" distB="0" distL="0" distR="0">
            <wp:extent cx="4422010" cy="4177855"/>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6" cstate="print"/>
                    <a:stretch>
                      <a:fillRect/>
                    </a:stretch>
                  </pic:blipFill>
                  <pic:spPr>
                    <a:xfrm>
                      <a:off x="0" y="0"/>
                      <a:ext cx="4422010" cy="4177855"/>
                    </a:xfrm>
                    <a:prstGeom prst="rect">
                      <a:avLst/>
                    </a:prstGeom>
                  </pic:spPr>
                </pic:pic>
              </a:graphicData>
            </a:graphic>
          </wp:inline>
        </w:drawing>
      </w:r>
      <w:r>
        <w:rPr>
          <w:sz w:val="20"/>
        </w:rPr>
      </w:r>
    </w:p>
    <w:p>
      <w:pPr>
        <w:pStyle w:val="BodyText"/>
        <w:spacing w:before="242"/>
      </w:pPr>
    </w:p>
    <w:p>
      <w:pPr>
        <w:pStyle w:val="ListParagraph"/>
        <w:numPr>
          <w:ilvl w:val="1"/>
          <w:numId w:val="13"/>
        </w:numPr>
        <w:tabs>
          <w:tab w:pos="2760" w:val="left" w:leader="none"/>
          <w:tab w:pos="4098" w:val="left" w:leader="none"/>
        </w:tabs>
        <w:spacing w:line="240" w:lineRule="auto" w:before="1" w:after="0"/>
        <w:ind w:left="4098" w:right="2699" w:hanging="1638"/>
        <w:jc w:val="left"/>
        <w:rPr>
          <w:sz w:val="22"/>
        </w:rPr>
      </w:pPr>
      <w:r>
        <w:rPr>
          <w:sz w:val="24"/>
        </w:rPr>
        <w:t>aii:</w:t>
      </w:r>
      <w:r>
        <w:rPr>
          <w:spacing w:val="-6"/>
          <w:sz w:val="24"/>
        </w:rPr>
        <w:t> </w:t>
      </w:r>
      <w:r>
        <w:rPr>
          <w:sz w:val="24"/>
        </w:rPr>
        <w:t>A</w:t>
      </w:r>
      <w:r>
        <w:rPr>
          <w:spacing w:val="-6"/>
          <w:sz w:val="24"/>
        </w:rPr>
        <w:t> </w:t>
      </w:r>
      <w:r>
        <w:rPr>
          <w:sz w:val="24"/>
        </w:rPr>
        <w:t>positive</w:t>
      </w:r>
      <w:r>
        <w:rPr>
          <w:spacing w:val="-6"/>
          <w:sz w:val="24"/>
        </w:rPr>
        <w:t> </w:t>
      </w:r>
      <w:r>
        <w:rPr>
          <w:sz w:val="24"/>
        </w:rPr>
        <w:t>correlation</w:t>
      </w:r>
      <w:r>
        <w:rPr>
          <w:spacing w:val="-6"/>
          <w:sz w:val="24"/>
        </w:rPr>
        <w:t> </w:t>
      </w:r>
      <w:r>
        <w:rPr>
          <w:sz w:val="24"/>
        </w:rPr>
        <w:t>between</w:t>
      </w:r>
      <w:r>
        <w:rPr>
          <w:spacing w:val="-6"/>
          <w:sz w:val="24"/>
        </w:rPr>
        <w:t> </w:t>
      </w:r>
      <w:r>
        <w:rPr>
          <w:sz w:val="24"/>
        </w:rPr>
        <w:t>C-RP</w:t>
      </w:r>
      <w:r>
        <w:rPr>
          <w:spacing w:val="-6"/>
          <w:sz w:val="24"/>
        </w:rPr>
        <w:t> </w:t>
      </w:r>
      <w:r>
        <w:rPr>
          <w:sz w:val="24"/>
        </w:rPr>
        <w:t>and</w:t>
      </w:r>
      <w:r>
        <w:rPr>
          <w:spacing w:val="-4"/>
          <w:sz w:val="24"/>
        </w:rPr>
        <w:t> </w:t>
      </w:r>
      <w:r>
        <w:rPr>
          <w:sz w:val="24"/>
        </w:rPr>
        <w:t>IL-10 (r = 0.79, p = 0.010)</w:t>
      </w:r>
    </w:p>
    <w:p>
      <w:pPr>
        <w:pStyle w:val="BodyText"/>
      </w:pPr>
    </w:p>
    <w:p>
      <w:pPr>
        <w:pStyle w:val="BodyText"/>
      </w:pPr>
    </w:p>
    <w:p>
      <w:pPr>
        <w:pStyle w:val="BodyText"/>
      </w:pPr>
    </w:p>
    <w:p>
      <w:pPr>
        <w:pStyle w:val="BodyText"/>
      </w:pPr>
    </w:p>
    <w:p>
      <w:pPr>
        <w:pStyle w:val="BodyText"/>
      </w:pPr>
    </w:p>
    <w:p>
      <w:pPr>
        <w:pStyle w:val="BodyText"/>
      </w:pPr>
    </w:p>
    <w:p>
      <w:pPr>
        <w:pStyle w:val="BodyText"/>
        <w:spacing w:before="96"/>
      </w:pPr>
    </w:p>
    <w:p>
      <w:pPr>
        <w:pStyle w:val="Heading3"/>
        <w:ind w:left="483"/>
      </w:pPr>
      <w:r>
        <w:rPr/>
        <w:t>Figure</w:t>
      </w:r>
      <w:r>
        <w:rPr>
          <w:spacing w:val="-4"/>
        </w:rPr>
        <w:t> </w:t>
      </w:r>
      <w:r>
        <w:rPr/>
        <w:t>4.2:</w:t>
      </w:r>
      <w:r>
        <w:rPr>
          <w:spacing w:val="-2"/>
        </w:rPr>
        <w:t> </w:t>
      </w:r>
      <w:r>
        <w:rPr/>
        <w:t>Correlation</w:t>
      </w:r>
      <w:r>
        <w:rPr>
          <w:spacing w:val="-1"/>
        </w:rPr>
        <w:t> </w:t>
      </w:r>
      <w:r>
        <w:rPr/>
        <w:t>Scattergram</w:t>
      </w:r>
      <w:r>
        <w:rPr>
          <w:spacing w:val="-5"/>
        </w:rPr>
        <w:t> </w:t>
      </w:r>
      <w:r>
        <w:rPr/>
        <w:t>between</w:t>
      </w:r>
      <w:r>
        <w:rPr>
          <w:spacing w:val="-1"/>
        </w:rPr>
        <w:t> </w:t>
      </w:r>
      <w:r>
        <w:rPr/>
        <w:t>C-RP</w:t>
      </w:r>
      <w:r>
        <w:rPr>
          <w:spacing w:val="-1"/>
        </w:rPr>
        <w:t> </w:t>
      </w:r>
      <w:r>
        <w:rPr/>
        <w:t>and </w:t>
      </w:r>
      <w:r>
        <w:rPr>
          <w:spacing w:val="-2"/>
        </w:rPr>
        <w:t>Cytokines</w:t>
      </w:r>
    </w:p>
    <w:p>
      <w:pPr>
        <w:spacing w:after="0"/>
        <w:sectPr>
          <w:pgSz w:w="11910" w:h="16840"/>
          <w:pgMar w:header="0" w:footer="1067" w:top="1180" w:bottom="1260" w:left="880" w:right="640"/>
        </w:sectPr>
      </w:pPr>
    </w:p>
    <w:p>
      <w:pPr>
        <w:pStyle w:val="BodyText"/>
        <w:ind w:left="1191"/>
        <w:rPr>
          <w:sz w:val="20"/>
        </w:rPr>
      </w:pPr>
      <w:r>
        <w:rPr>
          <w:sz w:val="20"/>
        </w:rPr>
        <w:drawing>
          <wp:inline distT="0" distB="0" distL="0" distR="0">
            <wp:extent cx="4320507" cy="4499229"/>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7" cstate="print"/>
                    <a:stretch>
                      <a:fillRect/>
                    </a:stretch>
                  </pic:blipFill>
                  <pic:spPr>
                    <a:xfrm>
                      <a:off x="0" y="0"/>
                      <a:ext cx="4320507" cy="4499229"/>
                    </a:xfrm>
                    <a:prstGeom prst="rect">
                      <a:avLst/>
                    </a:prstGeom>
                  </pic:spPr>
                </pic:pic>
              </a:graphicData>
            </a:graphic>
          </wp:inline>
        </w:drawing>
      </w:r>
      <w:r>
        <w:rPr>
          <w:sz w:val="20"/>
        </w:rPr>
      </w:r>
    </w:p>
    <w:p>
      <w:pPr>
        <w:pStyle w:val="BodyText"/>
        <w:rPr>
          <w:b/>
        </w:rPr>
      </w:pPr>
    </w:p>
    <w:p>
      <w:pPr>
        <w:pStyle w:val="BodyText"/>
        <w:spacing w:before="106"/>
        <w:rPr>
          <w:b/>
        </w:rPr>
      </w:pPr>
    </w:p>
    <w:p>
      <w:pPr>
        <w:pStyle w:val="ListParagraph"/>
        <w:numPr>
          <w:ilvl w:val="1"/>
          <w:numId w:val="13"/>
        </w:numPr>
        <w:tabs>
          <w:tab w:pos="3051" w:val="left" w:leader="none"/>
          <w:tab w:pos="4098" w:val="left" w:leader="none"/>
        </w:tabs>
        <w:spacing w:line="348" w:lineRule="auto" w:before="0" w:after="0"/>
        <w:ind w:left="4098" w:right="2989" w:hanging="1347"/>
        <w:jc w:val="left"/>
        <w:rPr>
          <w:sz w:val="22"/>
        </w:rPr>
      </w:pPr>
      <w:r>
        <w:rPr>
          <w:sz w:val="24"/>
        </w:rPr>
        <w:t>:</w:t>
      </w:r>
      <w:r>
        <w:rPr>
          <w:spacing w:val="-6"/>
          <w:sz w:val="24"/>
        </w:rPr>
        <w:t> </w:t>
      </w:r>
      <w:r>
        <w:rPr>
          <w:sz w:val="24"/>
        </w:rPr>
        <w:t>Apositive</w:t>
      </w:r>
      <w:r>
        <w:rPr>
          <w:spacing w:val="-7"/>
          <w:sz w:val="24"/>
        </w:rPr>
        <w:t> </w:t>
      </w:r>
      <w:r>
        <w:rPr>
          <w:sz w:val="24"/>
        </w:rPr>
        <w:t>correlation</w:t>
      </w:r>
      <w:r>
        <w:rPr>
          <w:spacing w:val="-6"/>
          <w:sz w:val="24"/>
        </w:rPr>
        <w:t> </w:t>
      </w:r>
      <w:r>
        <w:rPr>
          <w:sz w:val="24"/>
        </w:rPr>
        <w:t>between</w:t>
      </w:r>
      <w:r>
        <w:rPr>
          <w:spacing w:val="-6"/>
          <w:sz w:val="24"/>
        </w:rPr>
        <w:t> </w:t>
      </w:r>
      <w:r>
        <w:rPr>
          <w:sz w:val="24"/>
        </w:rPr>
        <w:t>C-RP</w:t>
      </w:r>
      <w:r>
        <w:rPr>
          <w:spacing w:val="-6"/>
          <w:sz w:val="24"/>
        </w:rPr>
        <w:t> </w:t>
      </w:r>
      <w:r>
        <w:rPr>
          <w:sz w:val="24"/>
        </w:rPr>
        <w:t>and</w:t>
      </w:r>
      <w:r>
        <w:rPr>
          <w:spacing w:val="-6"/>
          <w:sz w:val="24"/>
        </w:rPr>
        <w:t> </w:t>
      </w:r>
      <w:r>
        <w:rPr>
          <w:sz w:val="24"/>
        </w:rPr>
        <w:t>SF (r = 0.64, p = 0.001)</w:t>
      </w:r>
    </w:p>
    <w:p>
      <w:pPr>
        <w:pStyle w:val="BodyText"/>
      </w:pPr>
    </w:p>
    <w:p>
      <w:pPr>
        <w:pStyle w:val="BodyText"/>
      </w:pPr>
    </w:p>
    <w:p>
      <w:pPr>
        <w:pStyle w:val="BodyText"/>
      </w:pPr>
    </w:p>
    <w:p>
      <w:pPr>
        <w:pStyle w:val="BodyText"/>
        <w:spacing w:before="91"/>
      </w:pPr>
    </w:p>
    <w:p>
      <w:pPr>
        <w:spacing w:before="0"/>
        <w:ind w:left="193" w:right="0" w:firstLine="0"/>
        <w:jc w:val="center"/>
        <w:rPr>
          <w:b/>
          <w:sz w:val="24"/>
        </w:rPr>
      </w:pPr>
      <w:r>
        <w:rPr>
          <w:b/>
          <w:sz w:val="24"/>
        </w:rPr>
        <w:t>Figure</w:t>
      </w:r>
      <w:r>
        <w:rPr>
          <w:b/>
          <w:spacing w:val="-4"/>
          <w:sz w:val="24"/>
        </w:rPr>
        <w:t> </w:t>
      </w:r>
      <w:r>
        <w:rPr>
          <w:b/>
          <w:sz w:val="24"/>
        </w:rPr>
        <w:t>4.3:</w:t>
      </w:r>
      <w:r>
        <w:rPr>
          <w:b/>
          <w:spacing w:val="-2"/>
          <w:sz w:val="24"/>
        </w:rPr>
        <w:t> </w:t>
      </w:r>
      <w:r>
        <w:rPr>
          <w:b/>
          <w:sz w:val="24"/>
        </w:rPr>
        <w:t>Correlation</w:t>
      </w:r>
      <w:r>
        <w:rPr>
          <w:b/>
          <w:spacing w:val="-1"/>
          <w:sz w:val="24"/>
        </w:rPr>
        <w:t> </w:t>
      </w:r>
      <w:r>
        <w:rPr>
          <w:b/>
          <w:sz w:val="24"/>
        </w:rPr>
        <w:t>Scattergram</w:t>
      </w:r>
      <w:r>
        <w:rPr>
          <w:b/>
          <w:spacing w:val="-5"/>
          <w:sz w:val="24"/>
        </w:rPr>
        <w:t> </w:t>
      </w:r>
      <w:r>
        <w:rPr>
          <w:b/>
          <w:sz w:val="24"/>
        </w:rPr>
        <w:t>between</w:t>
      </w:r>
      <w:r>
        <w:rPr>
          <w:b/>
          <w:spacing w:val="-1"/>
          <w:sz w:val="24"/>
        </w:rPr>
        <w:t> </w:t>
      </w:r>
      <w:r>
        <w:rPr>
          <w:b/>
          <w:sz w:val="24"/>
        </w:rPr>
        <w:t>C-RP</w:t>
      </w:r>
      <w:r>
        <w:rPr>
          <w:b/>
          <w:spacing w:val="-1"/>
          <w:sz w:val="24"/>
        </w:rPr>
        <w:t> </w:t>
      </w:r>
      <w:r>
        <w:rPr>
          <w:b/>
          <w:sz w:val="24"/>
        </w:rPr>
        <w:t>and </w:t>
      </w:r>
      <w:r>
        <w:rPr>
          <w:b/>
          <w:spacing w:val="-4"/>
          <w:sz w:val="24"/>
        </w:rPr>
        <w:t>Iron</w:t>
      </w:r>
    </w:p>
    <w:p>
      <w:pPr>
        <w:spacing w:after="0"/>
        <w:jc w:val="center"/>
        <w:rPr>
          <w:sz w:val="24"/>
        </w:rPr>
        <w:sectPr>
          <w:pgSz w:w="11910" w:h="16840"/>
          <w:pgMar w:header="0" w:footer="1067" w:top="1180" w:bottom="1260" w:left="880" w:right="640"/>
        </w:sectPr>
      </w:pPr>
    </w:p>
    <w:p>
      <w:pPr>
        <w:pStyle w:val="BodyText"/>
        <w:ind w:left="862"/>
        <w:rPr>
          <w:sz w:val="20"/>
        </w:rPr>
      </w:pPr>
      <w:r>
        <w:rPr>
          <w:sz w:val="20"/>
        </w:rPr>
        <w:drawing>
          <wp:inline distT="0" distB="0" distL="0" distR="0">
            <wp:extent cx="4670312" cy="4453318"/>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8" cstate="print"/>
                    <a:stretch>
                      <a:fillRect/>
                    </a:stretch>
                  </pic:blipFill>
                  <pic:spPr>
                    <a:xfrm>
                      <a:off x="0" y="0"/>
                      <a:ext cx="4670312" cy="4453318"/>
                    </a:xfrm>
                    <a:prstGeom prst="rect">
                      <a:avLst/>
                    </a:prstGeom>
                  </pic:spPr>
                </pic:pic>
              </a:graphicData>
            </a:graphic>
          </wp:inline>
        </w:drawing>
      </w:r>
      <w:r>
        <w:rPr>
          <w:sz w:val="20"/>
        </w:rPr>
      </w:r>
    </w:p>
    <w:p>
      <w:pPr>
        <w:pStyle w:val="BodyText"/>
        <w:rPr>
          <w:b/>
        </w:rPr>
      </w:pPr>
    </w:p>
    <w:p>
      <w:pPr>
        <w:pStyle w:val="BodyText"/>
        <w:rPr>
          <w:b/>
        </w:rPr>
      </w:pPr>
    </w:p>
    <w:p>
      <w:pPr>
        <w:pStyle w:val="BodyText"/>
        <w:spacing w:before="200"/>
        <w:rPr>
          <w:b/>
        </w:rPr>
      </w:pPr>
    </w:p>
    <w:p>
      <w:pPr>
        <w:pStyle w:val="ListParagraph"/>
        <w:numPr>
          <w:ilvl w:val="1"/>
          <w:numId w:val="13"/>
        </w:numPr>
        <w:tabs>
          <w:tab w:pos="2825" w:val="left" w:leader="none"/>
          <w:tab w:pos="4062" w:val="left" w:leader="none"/>
        </w:tabs>
        <w:spacing w:line="240" w:lineRule="auto" w:before="0" w:after="0"/>
        <w:ind w:left="4062" w:right="2793" w:hanging="1537"/>
        <w:jc w:val="left"/>
        <w:rPr>
          <w:b/>
          <w:sz w:val="22"/>
        </w:rPr>
      </w:pPr>
      <w:r>
        <w:rPr>
          <w:b/>
          <w:sz w:val="24"/>
        </w:rPr>
        <w:t>a:</w:t>
      </w:r>
      <w:r>
        <w:rPr>
          <w:b/>
          <w:spacing w:val="-5"/>
          <w:sz w:val="24"/>
        </w:rPr>
        <w:t> </w:t>
      </w:r>
      <w:r>
        <w:rPr>
          <w:b/>
          <w:sz w:val="24"/>
        </w:rPr>
        <w:t>A</w:t>
      </w:r>
      <w:r>
        <w:rPr>
          <w:b/>
          <w:spacing w:val="-6"/>
          <w:sz w:val="24"/>
        </w:rPr>
        <w:t> </w:t>
      </w:r>
      <w:r>
        <w:rPr>
          <w:b/>
          <w:sz w:val="24"/>
        </w:rPr>
        <w:t>positive</w:t>
      </w:r>
      <w:r>
        <w:rPr>
          <w:b/>
          <w:spacing w:val="-5"/>
          <w:sz w:val="24"/>
        </w:rPr>
        <w:t> </w:t>
      </w:r>
      <w:r>
        <w:rPr>
          <w:b/>
          <w:sz w:val="24"/>
        </w:rPr>
        <w:t>correlation</w:t>
      </w:r>
      <w:r>
        <w:rPr>
          <w:b/>
          <w:spacing w:val="-4"/>
          <w:sz w:val="24"/>
        </w:rPr>
        <w:t> </w:t>
      </w:r>
      <w:r>
        <w:rPr>
          <w:b/>
          <w:sz w:val="24"/>
        </w:rPr>
        <w:t>between</w:t>
      </w:r>
      <w:r>
        <w:rPr>
          <w:b/>
          <w:spacing w:val="-5"/>
          <w:sz w:val="24"/>
        </w:rPr>
        <w:t> </w:t>
      </w:r>
      <w:r>
        <w:rPr>
          <w:b/>
          <w:sz w:val="24"/>
        </w:rPr>
        <w:t>IL-6</w:t>
      </w:r>
      <w:r>
        <w:rPr>
          <w:b/>
          <w:spacing w:val="-5"/>
          <w:sz w:val="24"/>
        </w:rPr>
        <w:t> </w:t>
      </w:r>
      <w:r>
        <w:rPr>
          <w:b/>
          <w:sz w:val="24"/>
        </w:rPr>
        <w:t>and</w:t>
      </w:r>
      <w:r>
        <w:rPr>
          <w:b/>
          <w:spacing w:val="-7"/>
          <w:sz w:val="24"/>
        </w:rPr>
        <w:t> </w:t>
      </w:r>
      <w:r>
        <w:rPr>
          <w:b/>
          <w:sz w:val="24"/>
        </w:rPr>
        <w:t>MP (r = 0.66, p = 0.001)</w:t>
      </w:r>
    </w:p>
    <w:p>
      <w:pPr>
        <w:spacing w:after="0" w:line="240" w:lineRule="auto"/>
        <w:jc w:val="left"/>
        <w:rPr>
          <w:sz w:val="22"/>
        </w:rPr>
        <w:sectPr>
          <w:pgSz w:w="11910" w:h="16840"/>
          <w:pgMar w:header="0" w:footer="1067" w:top="1180" w:bottom="1260" w:left="880" w:right="640"/>
        </w:sectPr>
      </w:pPr>
    </w:p>
    <w:p>
      <w:pPr>
        <w:pStyle w:val="BodyText"/>
        <w:ind w:left="891"/>
        <w:rPr>
          <w:sz w:val="20"/>
        </w:rPr>
      </w:pPr>
      <w:r>
        <w:rPr>
          <w:sz w:val="20"/>
        </w:rPr>
        <w:drawing>
          <wp:inline distT="0" distB="0" distL="0" distR="0">
            <wp:extent cx="4612173" cy="4361497"/>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19" cstate="print"/>
                    <a:stretch>
                      <a:fillRect/>
                    </a:stretch>
                  </pic:blipFill>
                  <pic:spPr>
                    <a:xfrm>
                      <a:off x="0" y="0"/>
                      <a:ext cx="4612173" cy="4361497"/>
                    </a:xfrm>
                    <a:prstGeom prst="rect">
                      <a:avLst/>
                    </a:prstGeom>
                  </pic:spPr>
                </pic:pic>
              </a:graphicData>
            </a:graphic>
          </wp:inline>
        </w:drawing>
      </w:r>
      <w:r>
        <w:rPr>
          <w:sz w:val="20"/>
        </w:rPr>
      </w:r>
    </w:p>
    <w:p>
      <w:pPr>
        <w:pStyle w:val="BodyText"/>
        <w:rPr>
          <w:b/>
        </w:rPr>
      </w:pPr>
    </w:p>
    <w:p>
      <w:pPr>
        <w:pStyle w:val="BodyText"/>
        <w:spacing w:before="226"/>
        <w:rPr>
          <w:b/>
        </w:rPr>
      </w:pPr>
    </w:p>
    <w:p>
      <w:pPr>
        <w:spacing w:before="0"/>
        <w:ind w:left="4077" w:right="2238" w:hanging="1950"/>
        <w:jc w:val="left"/>
        <w:rPr>
          <w:b/>
          <w:sz w:val="24"/>
        </w:rPr>
      </w:pPr>
      <w:r>
        <w:rPr>
          <w:b/>
          <w:sz w:val="24"/>
        </w:rPr>
        <w:t>4.4b:</w:t>
      </w:r>
      <w:r>
        <w:rPr>
          <w:b/>
          <w:spacing w:val="-6"/>
          <w:sz w:val="24"/>
        </w:rPr>
        <w:t> </w:t>
      </w:r>
      <w:r>
        <w:rPr>
          <w:b/>
          <w:sz w:val="24"/>
        </w:rPr>
        <w:t>AStrong</w:t>
      </w:r>
      <w:r>
        <w:rPr>
          <w:b/>
          <w:spacing w:val="-4"/>
          <w:sz w:val="24"/>
        </w:rPr>
        <w:t> </w:t>
      </w:r>
      <w:r>
        <w:rPr>
          <w:b/>
          <w:sz w:val="24"/>
        </w:rPr>
        <w:t>positive</w:t>
      </w:r>
      <w:r>
        <w:rPr>
          <w:b/>
          <w:spacing w:val="-6"/>
          <w:sz w:val="24"/>
        </w:rPr>
        <w:t> </w:t>
      </w:r>
      <w:r>
        <w:rPr>
          <w:b/>
          <w:sz w:val="24"/>
        </w:rPr>
        <w:t>correlation</w:t>
      </w:r>
      <w:r>
        <w:rPr>
          <w:b/>
          <w:spacing w:val="-4"/>
          <w:sz w:val="24"/>
        </w:rPr>
        <w:t> </w:t>
      </w:r>
      <w:r>
        <w:rPr>
          <w:b/>
          <w:sz w:val="24"/>
        </w:rPr>
        <w:t>between</w:t>
      </w:r>
      <w:r>
        <w:rPr>
          <w:b/>
          <w:spacing w:val="-5"/>
          <w:sz w:val="24"/>
        </w:rPr>
        <w:t> </w:t>
      </w:r>
      <w:r>
        <w:rPr>
          <w:b/>
          <w:sz w:val="24"/>
        </w:rPr>
        <w:t>IL-10</w:t>
      </w:r>
      <w:r>
        <w:rPr>
          <w:b/>
          <w:spacing w:val="-5"/>
          <w:sz w:val="24"/>
        </w:rPr>
        <w:t> </w:t>
      </w:r>
      <w:r>
        <w:rPr>
          <w:b/>
          <w:sz w:val="24"/>
        </w:rPr>
        <w:t>and</w:t>
      </w:r>
      <w:r>
        <w:rPr>
          <w:b/>
          <w:spacing w:val="-5"/>
          <w:sz w:val="24"/>
        </w:rPr>
        <w:t> </w:t>
      </w:r>
      <w:r>
        <w:rPr>
          <w:b/>
          <w:sz w:val="24"/>
        </w:rPr>
        <w:t>MP (r = 0.71, p = 0.001)</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0"/>
        <w:rPr>
          <w:b/>
        </w:rPr>
      </w:pPr>
    </w:p>
    <w:p>
      <w:pPr>
        <w:spacing w:before="0"/>
        <w:ind w:left="1945" w:right="0" w:firstLine="0"/>
        <w:jc w:val="left"/>
        <w:rPr>
          <w:b/>
          <w:sz w:val="24"/>
        </w:rPr>
      </w:pPr>
      <w:r>
        <w:rPr>
          <w:b/>
          <w:sz w:val="24"/>
        </w:rPr>
        <w:t>Figure</w:t>
      </w:r>
      <w:r>
        <w:rPr>
          <w:b/>
          <w:spacing w:val="-5"/>
          <w:sz w:val="24"/>
        </w:rPr>
        <w:t> </w:t>
      </w:r>
      <w:r>
        <w:rPr>
          <w:b/>
          <w:sz w:val="24"/>
        </w:rPr>
        <w:t>4.4:</w:t>
      </w:r>
      <w:r>
        <w:rPr>
          <w:b/>
          <w:spacing w:val="-2"/>
          <w:sz w:val="24"/>
        </w:rPr>
        <w:t> </w:t>
      </w:r>
      <w:r>
        <w:rPr>
          <w:b/>
          <w:sz w:val="24"/>
        </w:rPr>
        <w:t>Correlation</w:t>
      </w:r>
      <w:r>
        <w:rPr>
          <w:b/>
          <w:spacing w:val="-1"/>
          <w:sz w:val="24"/>
        </w:rPr>
        <w:t> </w:t>
      </w:r>
      <w:r>
        <w:rPr>
          <w:b/>
          <w:sz w:val="24"/>
        </w:rPr>
        <w:t>Scattergram</w:t>
      </w:r>
      <w:r>
        <w:rPr>
          <w:b/>
          <w:spacing w:val="-5"/>
          <w:sz w:val="24"/>
        </w:rPr>
        <w:t> </w:t>
      </w:r>
      <w:r>
        <w:rPr>
          <w:b/>
          <w:sz w:val="24"/>
        </w:rPr>
        <w:t>between</w:t>
      </w:r>
      <w:r>
        <w:rPr>
          <w:b/>
          <w:spacing w:val="-1"/>
          <w:sz w:val="24"/>
        </w:rPr>
        <w:t> </w:t>
      </w:r>
      <w:r>
        <w:rPr>
          <w:b/>
          <w:sz w:val="24"/>
        </w:rPr>
        <w:t>Cytokines</w:t>
      </w:r>
      <w:r>
        <w:rPr>
          <w:b/>
          <w:spacing w:val="-1"/>
          <w:sz w:val="24"/>
        </w:rPr>
        <w:t> </w:t>
      </w:r>
      <w:r>
        <w:rPr>
          <w:b/>
          <w:sz w:val="24"/>
        </w:rPr>
        <w:t>and</w:t>
      </w:r>
      <w:r>
        <w:rPr>
          <w:b/>
          <w:spacing w:val="-1"/>
          <w:sz w:val="24"/>
        </w:rPr>
        <w:t> </w:t>
      </w:r>
      <w:r>
        <w:rPr>
          <w:b/>
          <w:sz w:val="24"/>
        </w:rPr>
        <w:t>MP</w:t>
      </w:r>
      <w:r>
        <w:rPr>
          <w:b/>
          <w:spacing w:val="-1"/>
          <w:sz w:val="24"/>
        </w:rPr>
        <w:t> </w:t>
      </w:r>
      <w:r>
        <w:rPr>
          <w:b/>
          <w:spacing w:val="-2"/>
          <w:sz w:val="24"/>
        </w:rPr>
        <w:t>Count</w:t>
      </w:r>
    </w:p>
    <w:p>
      <w:pPr>
        <w:spacing w:after="0"/>
        <w:jc w:val="left"/>
        <w:rPr>
          <w:sz w:val="24"/>
        </w:rPr>
        <w:sectPr>
          <w:pgSz w:w="11910" w:h="16840"/>
          <w:pgMar w:header="0" w:footer="1067" w:top="1180" w:bottom="1260" w:left="880" w:right="640"/>
        </w:sectPr>
      </w:pPr>
    </w:p>
    <w:p>
      <w:pPr>
        <w:spacing w:before="78"/>
        <w:ind w:left="0" w:right="238" w:firstLine="0"/>
        <w:jc w:val="center"/>
        <w:rPr>
          <w:b/>
          <w:sz w:val="26"/>
        </w:rPr>
      </w:pPr>
      <w:r>
        <w:rPr>
          <w:b/>
          <w:sz w:val="26"/>
        </w:rPr>
        <w:t>CHAPTER</w:t>
      </w:r>
      <w:r>
        <w:rPr>
          <w:b/>
          <w:spacing w:val="-12"/>
          <w:sz w:val="26"/>
        </w:rPr>
        <w:t> </w:t>
      </w:r>
      <w:r>
        <w:rPr>
          <w:b/>
          <w:spacing w:val="-4"/>
          <w:sz w:val="26"/>
        </w:rPr>
        <w:t>FIVE</w:t>
      </w:r>
    </w:p>
    <w:p>
      <w:pPr>
        <w:pStyle w:val="BodyText"/>
        <w:rPr>
          <w:b/>
        </w:rPr>
      </w:pPr>
    </w:p>
    <w:p>
      <w:pPr>
        <w:pStyle w:val="BodyText"/>
        <w:rPr>
          <w:b/>
        </w:rPr>
      </w:pPr>
    </w:p>
    <w:p>
      <w:pPr>
        <w:pStyle w:val="BodyText"/>
        <w:spacing w:before="20"/>
        <w:rPr>
          <w:b/>
        </w:rPr>
      </w:pPr>
    </w:p>
    <w:p>
      <w:pPr>
        <w:pStyle w:val="Heading2"/>
        <w:numPr>
          <w:ilvl w:val="1"/>
          <w:numId w:val="15"/>
        </w:numPr>
        <w:tabs>
          <w:tab w:pos="1280" w:val="left" w:leader="none"/>
        </w:tabs>
        <w:spacing w:line="240" w:lineRule="auto" w:before="0" w:after="0"/>
        <w:ind w:left="1280" w:right="0" w:hanging="720"/>
        <w:jc w:val="left"/>
      </w:pPr>
      <w:r>
        <w:rPr>
          <w:spacing w:val="-2"/>
        </w:rPr>
        <w:t>DISCUSSIONS</w:t>
      </w:r>
    </w:p>
    <w:p>
      <w:pPr>
        <w:pStyle w:val="BodyText"/>
        <w:spacing w:line="480" w:lineRule="auto" w:before="271"/>
        <w:ind w:left="560" w:right="793"/>
        <w:jc w:val="both"/>
      </w:pPr>
      <w:r>
        <w:rPr/>
        <w:t>Malaria is a plasmodial infection that has the propensity to induce immune activation with subsequent release of cytokines and other inflammatory mediators (Inigo and Manuel, 2002; Clark </w:t>
      </w:r>
      <w:r>
        <w:rPr>
          <w:i/>
        </w:rPr>
        <w:t>et al.,</w:t>
      </w:r>
      <w:r>
        <w:rPr/>
        <w:t>2006). Similarly, non-infectious conditions such as iron replete state can illicit immune stimulation resulting in the expression of cytokines (Van Miert, 1995; Pigeon </w:t>
      </w:r>
      <w:r>
        <w:rPr>
          <w:i/>
        </w:rPr>
        <w:t>et al.,</w:t>
      </w:r>
      <w:r>
        <w:rPr/>
        <w:t>2001; Ganz, 2003). In such responses,cytokine, iron, nitric oxide and glucocorticoids interact to modulate the systemic acute phase reactions (Gruys </w:t>
      </w:r>
      <w:r>
        <w:rPr>
          <w:i/>
        </w:rPr>
        <w:t>et al.,</w:t>
      </w:r>
      <w:r>
        <w:rPr/>
        <w:t>1994; Van Miert, 1995). This study apparently focused onmalaria parasitaemia and cytokines as agonists that may contribute to the redistribution of iron in pregnancy and post partum. The resultsgenerated from the study were presented under the following modules: assessment of immune stimulation, iron profiles, metabolic parameters and levels of association.</w:t>
      </w:r>
    </w:p>
    <w:p>
      <w:pPr>
        <w:pStyle w:val="BodyText"/>
        <w:spacing w:before="1"/>
      </w:pPr>
    </w:p>
    <w:p>
      <w:pPr>
        <w:pStyle w:val="BodyText"/>
        <w:spacing w:line="480" w:lineRule="auto" w:before="1"/>
        <w:ind w:left="560" w:right="794"/>
        <w:jc w:val="both"/>
      </w:pPr>
      <w:r>
        <w:rPr/>
        <w:t>On immune stimulation, the resultof this study showed that proinflammatory (IFNγ, TNFα, IL-6) and anti-inflammatory(IL-4 and IL-10) cytokines were elevated in malaria infected pregnant women than their uninfected pregnant counterparts. This is consistent with reports; ofNmorsi </w:t>
      </w:r>
      <w:r>
        <w:rPr>
          <w:i/>
        </w:rPr>
        <w:t>et al.,</w:t>
      </w:r>
      <w:r>
        <w:rPr/>
        <w:t>(2010)who reported that IFNγ and IL-6 were</w:t>
      </w:r>
      <w:r>
        <w:rPr>
          <w:spacing w:val="-1"/>
        </w:rPr>
        <w:t> </w:t>
      </w:r>
      <w:r>
        <w:rPr/>
        <w:t>significantly</w:t>
      </w:r>
      <w:r>
        <w:rPr>
          <w:spacing w:val="-1"/>
        </w:rPr>
        <w:t> </w:t>
      </w:r>
      <w:r>
        <w:rPr/>
        <w:t>elevated in malaria infected pregnant than the uninfected pregnant women andTorre </w:t>
      </w:r>
      <w:r>
        <w:rPr>
          <w:i/>
        </w:rPr>
        <w:t>et al.,</w:t>
      </w:r>
      <w:r>
        <w:rPr/>
        <w:t>(2002) whoreported significantly increased levels ofIFNγ, TNFα and IL-10 in malaria infected pregnant women than their control.</w:t>
      </w:r>
      <w:r>
        <w:rPr>
          <w:spacing w:val="40"/>
        </w:rPr>
        <w:t> </w:t>
      </w:r>
      <w:r>
        <w:rPr/>
        <w:t>Also, Bayoumi </w:t>
      </w:r>
      <w:r>
        <w:rPr>
          <w:i/>
        </w:rPr>
        <w:t>et al.,</w:t>
      </w:r>
      <w:r>
        <w:rPr/>
        <w:t>(2009) and Boston </w:t>
      </w:r>
      <w:r>
        <w:rPr>
          <w:i/>
        </w:rPr>
        <w:t>et al.,</w:t>
      </w:r>
      <w:r>
        <w:rPr/>
        <w:t>(2012) respectivelyposited significantly increased IL-10 in malaria infected pregnant women than the uninfected pregnant women. In the same direction,Wilson</w:t>
      </w:r>
      <w:r>
        <w:rPr>
          <w:i/>
        </w:rPr>
        <w:t>et al.,</w:t>
      </w:r>
      <w:r>
        <w:rPr/>
        <w:t>(2010) reported increased levels of IFNγ and TNFα although the expression appeared negligible. This finding shows that malaria contributes by</w:t>
      </w:r>
      <w:r>
        <w:rPr>
          <w:spacing w:val="-3"/>
        </w:rPr>
        <w:t> </w:t>
      </w:r>
      <w:r>
        <w:rPr/>
        <w:t>inducing immune cells to secrete cytokines during pregnancy.IFNγ is a critical mediator</w:t>
      </w:r>
      <w:r>
        <w:rPr>
          <w:spacing w:val="44"/>
        </w:rPr>
        <w:t> </w:t>
      </w:r>
      <w:r>
        <w:rPr/>
        <w:t>of</w:t>
      </w:r>
      <w:r>
        <w:rPr>
          <w:spacing w:val="47"/>
        </w:rPr>
        <w:t> </w:t>
      </w:r>
      <w:r>
        <w:rPr/>
        <w:t>immunity</w:t>
      </w:r>
      <w:r>
        <w:rPr>
          <w:spacing w:val="39"/>
        </w:rPr>
        <w:t> </w:t>
      </w:r>
      <w:r>
        <w:rPr/>
        <w:t>to</w:t>
      </w:r>
      <w:r>
        <w:rPr>
          <w:spacing w:val="48"/>
        </w:rPr>
        <w:t> </w:t>
      </w:r>
      <w:r>
        <w:rPr/>
        <w:t>malaria</w:t>
      </w:r>
      <w:r>
        <w:rPr>
          <w:spacing w:val="45"/>
        </w:rPr>
        <w:t> </w:t>
      </w:r>
      <w:r>
        <w:rPr/>
        <w:t>and</w:t>
      </w:r>
      <w:r>
        <w:rPr>
          <w:spacing w:val="51"/>
        </w:rPr>
        <w:t> </w:t>
      </w:r>
      <w:r>
        <w:rPr/>
        <w:t>is</w:t>
      </w:r>
      <w:r>
        <w:rPr>
          <w:spacing w:val="47"/>
        </w:rPr>
        <w:t> </w:t>
      </w:r>
      <w:r>
        <w:rPr/>
        <w:t>generally</w:t>
      </w:r>
      <w:r>
        <w:rPr>
          <w:spacing w:val="42"/>
        </w:rPr>
        <w:t> </w:t>
      </w:r>
      <w:r>
        <w:rPr/>
        <w:t>associated</w:t>
      </w:r>
      <w:r>
        <w:rPr>
          <w:spacing w:val="46"/>
        </w:rPr>
        <w:t> </w:t>
      </w:r>
      <w:r>
        <w:rPr/>
        <w:t>with</w:t>
      </w:r>
      <w:r>
        <w:rPr>
          <w:spacing w:val="48"/>
        </w:rPr>
        <w:t> </w:t>
      </w:r>
      <w:r>
        <w:rPr/>
        <w:t>protective</w:t>
      </w:r>
      <w:r>
        <w:rPr>
          <w:spacing w:val="46"/>
        </w:rPr>
        <w:t> </w:t>
      </w:r>
      <w:r>
        <w:rPr>
          <w:spacing w:val="-2"/>
        </w:rPr>
        <w:t>mechanisms</w:t>
      </w:r>
    </w:p>
    <w:p>
      <w:pPr>
        <w:spacing w:after="0" w:line="480" w:lineRule="auto"/>
        <w:jc w:val="both"/>
        <w:sectPr>
          <w:pgSz w:w="11910" w:h="16840"/>
          <w:pgMar w:header="0" w:footer="1067" w:top="1060" w:bottom="1260" w:left="880" w:right="640"/>
        </w:sectPr>
      </w:pPr>
    </w:p>
    <w:p>
      <w:pPr>
        <w:pStyle w:val="BodyText"/>
        <w:spacing w:line="480" w:lineRule="auto" w:before="70"/>
        <w:ind w:left="560" w:right="796"/>
        <w:jc w:val="both"/>
      </w:pPr>
      <w:r>
        <w:rPr/>
        <w:t>(Ferreira </w:t>
      </w:r>
      <w:r>
        <w:rPr>
          <w:i/>
        </w:rPr>
        <w:t>et al.,</w:t>
      </w:r>
      <w:r>
        <w:rPr/>
        <w:t>1986; Herrera </w:t>
      </w:r>
      <w:r>
        <w:rPr>
          <w:i/>
        </w:rPr>
        <w:t>et al.,</w:t>
      </w:r>
      <w:r>
        <w:rPr/>
        <w:t>1992) especially in uncomplicated acute malaria (Torre </w:t>
      </w:r>
      <w:r>
        <w:rPr>
          <w:i/>
        </w:rPr>
        <w:t>et al.,</w:t>
      </w:r>
      <w:r>
        <w:rPr/>
        <w:t>2002) while IL-10 while IL-10 is a bioactive anti-inflammatory cytokine that inhibits the activity of T</w:t>
      </w:r>
      <w:r>
        <w:rPr>
          <w:vertAlign w:val="subscript"/>
        </w:rPr>
        <w:t>H</w:t>
      </w:r>
      <w:r>
        <w:rPr>
          <w:vertAlign w:val="baseline"/>
        </w:rPr>
        <w:t>1 cells, NK cells and macrophages, all of which are required for pathogen clearance (Venugopal, 2007).</w:t>
      </w:r>
    </w:p>
    <w:p>
      <w:pPr>
        <w:pStyle w:val="BodyText"/>
      </w:pPr>
    </w:p>
    <w:p>
      <w:pPr>
        <w:pStyle w:val="BodyText"/>
        <w:spacing w:line="480" w:lineRule="auto" w:before="1"/>
        <w:ind w:left="560" w:right="795"/>
        <w:jc w:val="both"/>
      </w:pPr>
      <w:r>
        <w:rPr/>
        <w:t>On</w:t>
      </w:r>
      <w:r>
        <w:rPr>
          <w:spacing w:val="-1"/>
        </w:rPr>
        <w:t> </w:t>
      </w:r>
      <w:r>
        <w:rPr/>
        <w:t>the other</w:t>
      </w:r>
      <w:r>
        <w:rPr>
          <w:spacing w:val="-2"/>
        </w:rPr>
        <w:t> </w:t>
      </w:r>
      <w:r>
        <w:rPr/>
        <w:t>hand, the result was at variance</w:t>
      </w:r>
      <w:r>
        <w:rPr>
          <w:spacing w:val="-1"/>
        </w:rPr>
        <w:t> </w:t>
      </w:r>
      <w:r>
        <w:rPr/>
        <w:t>withthat of Boston </w:t>
      </w:r>
      <w:r>
        <w:rPr>
          <w:i/>
        </w:rPr>
        <w:t>et al.,</w:t>
      </w:r>
      <w:r>
        <w:rPr/>
        <w:t>(2012)</w:t>
      </w:r>
      <w:r>
        <w:rPr>
          <w:spacing w:val="-1"/>
        </w:rPr>
        <w:t> </w:t>
      </w:r>
      <w:r>
        <w:rPr/>
        <w:t>who</w:t>
      </w:r>
      <w:r>
        <w:rPr>
          <w:spacing w:val="-1"/>
        </w:rPr>
        <w:t> </w:t>
      </w:r>
      <w:r>
        <w:rPr/>
        <w:t>reported no statistical differences in the levels of IFNγ and TNFα between malaria infected and</w:t>
      </w:r>
      <w:r>
        <w:rPr>
          <w:spacing w:val="40"/>
        </w:rPr>
        <w:t> </w:t>
      </w:r>
      <w:r>
        <w:rPr/>
        <w:t>uninfected pregnant women. Also, it was not in concert with Bayoumi </w:t>
      </w:r>
      <w:r>
        <w:rPr>
          <w:i/>
        </w:rPr>
        <w:t>et al.,</w:t>
      </w:r>
      <w:r>
        <w:rPr/>
        <w:t>(2008) who reported that IFNγ, IL-4 and IL-10 were elevated in the uninfected than the malaria infectedperipheral blood. The discordance in the results of this study, with that of Boston </w:t>
      </w:r>
      <w:r>
        <w:rPr>
          <w:i/>
        </w:rPr>
        <w:t>et al.,</w:t>
      </w:r>
      <w:r>
        <w:rPr/>
        <w:t>(2012), could be due to the differences in sample size. The sample size of 144 malaria infected pregnant women in this study was completely higher than the latter where 42</w:t>
      </w:r>
      <w:r>
        <w:rPr>
          <w:spacing w:val="40"/>
        </w:rPr>
        <w:t> </w:t>
      </w:r>
      <w:r>
        <w:rPr/>
        <w:t>infected pregnant and 79control uninfected women were recruited.The over-expression of IFNγ and IL-10 which occurred in infected non-pregnant is in agreement with (Torre </w:t>
      </w:r>
      <w:r>
        <w:rPr>
          <w:i/>
        </w:rPr>
        <w:t>et al.,</w:t>
      </w:r>
      <w:r>
        <w:rPr/>
        <w:t>2002) who reported such expression to be associated with uncomplicated acute malaria.</w:t>
      </w:r>
    </w:p>
    <w:p>
      <w:pPr>
        <w:pStyle w:val="BodyText"/>
        <w:spacing w:before="1"/>
      </w:pPr>
    </w:p>
    <w:p>
      <w:pPr>
        <w:pStyle w:val="BodyText"/>
        <w:spacing w:line="480" w:lineRule="auto"/>
        <w:ind w:left="560" w:right="796"/>
        <w:jc w:val="both"/>
      </w:pPr>
      <w:r>
        <w:rPr/>
        <w:t>The finding presented herein agrees with earlier studies that malaria induces immune stimulation. It is believed that constant exposure to malaria parasite induces varying levels of immunity such that asymptomatic or apparently healthy pregnant women may have malaria</w:t>
      </w:r>
      <w:r>
        <w:rPr>
          <w:spacing w:val="40"/>
        </w:rPr>
        <w:t> </w:t>
      </w:r>
      <w:r>
        <w:rPr/>
        <w:t>in their blood stream. The phagocytosis of malaria parasite, haemozoin or toxin by the phagocytic system results in the secretion of cytokines either in the innate or the acquired immune responses. Moreover, the white blood cells, essentially important in combacting malaria parasites, when activated, releases more cytokines probably induced by radicals. Radicals such as Hydrogen peroxide (H</w:t>
      </w:r>
      <w:r>
        <w:rPr>
          <w:vertAlign w:val="subscript"/>
        </w:rPr>
        <w:t>2</w:t>
      </w:r>
      <w:r>
        <w:rPr>
          <w:vertAlign w:val="baseline"/>
        </w:rPr>
        <w:t>O</w:t>
      </w:r>
      <w:r>
        <w:rPr>
          <w:vertAlign w:val="subscript"/>
        </w:rPr>
        <w:t>2</w:t>
      </w:r>
      <w:r>
        <w:rPr>
          <w:vertAlign w:val="baseline"/>
        </w:rPr>
        <w:t>), Hydroxyl (OH</w:t>
      </w:r>
      <w:r>
        <w:rPr>
          <w:vertAlign w:val="superscript"/>
        </w:rPr>
        <w:t>-</w:t>
      </w:r>
      <w:r>
        <w:rPr>
          <w:vertAlign w:val="baseline"/>
        </w:rPr>
        <w:t>)and Super oxide (O</w:t>
      </w:r>
      <w:r>
        <w:rPr>
          <w:vertAlign w:val="subscript"/>
        </w:rPr>
        <w:t>2</w:t>
      </w:r>
      <w:r>
        <w:rPr>
          <w:vertAlign w:val="superscript"/>
        </w:rPr>
        <w:t>-</w:t>
      </w:r>
      <w:r>
        <w:rPr>
          <w:vertAlign w:val="baseline"/>
        </w:rPr>
        <w:t>) could be generated via malaria induced oxidative stress. This inturn stimulates the immune cells consequent to the release of more cytokines. Also in this study TNFα, IL-4, IL-6 and IL-10 were</w:t>
      </w:r>
      <w:r>
        <w:rPr>
          <w:spacing w:val="73"/>
          <w:w w:val="150"/>
          <w:vertAlign w:val="baseline"/>
        </w:rPr>
        <w:t> </w:t>
      </w:r>
      <w:r>
        <w:rPr>
          <w:vertAlign w:val="baseline"/>
        </w:rPr>
        <w:t>elevated</w:t>
      </w:r>
      <w:r>
        <w:rPr>
          <w:spacing w:val="75"/>
          <w:w w:val="150"/>
          <w:vertAlign w:val="baseline"/>
        </w:rPr>
        <w:t> </w:t>
      </w:r>
      <w:r>
        <w:rPr>
          <w:vertAlign w:val="baseline"/>
        </w:rPr>
        <w:t>in</w:t>
      </w:r>
      <w:r>
        <w:rPr>
          <w:spacing w:val="74"/>
          <w:w w:val="150"/>
          <w:vertAlign w:val="baseline"/>
        </w:rPr>
        <w:t> </w:t>
      </w:r>
      <w:r>
        <w:rPr>
          <w:vertAlign w:val="baseline"/>
        </w:rPr>
        <w:t>the</w:t>
      </w:r>
      <w:r>
        <w:rPr>
          <w:spacing w:val="76"/>
          <w:w w:val="150"/>
          <w:vertAlign w:val="baseline"/>
        </w:rPr>
        <w:t> </w:t>
      </w:r>
      <w:r>
        <w:rPr>
          <w:vertAlign w:val="baseline"/>
        </w:rPr>
        <w:t>uninfected</w:t>
      </w:r>
      <w:r>
        <w:rPr>
          <w:spacing w:val="74"/>
          <w:w w:val="150"/>
          <w:vertAlign w:val="baseline"/>
        </w:rPr>
        <w:t> </w:t>
      </w:r>
      <w:r>
        <w:rPr>
          <w:vertAlign w:val="baseline"/>
        </w:rPr>
        <w:t>pregnant</w:t>
      </w:r>
      <w:r>
        <w:rPr>
          <w:spacing w:val="77"/>
          <w:w w:val="150"/>
          <w:vertAlign w:val="baseline"/>
        </w:rPr>
        <w:t> </w:t>
      </w:r>
      <w:r>
        <w:rPr>
          <w:vertAlign w:val="baseline"/>
        </w:rPr>
        <w:t>than</w:t>
      </w:r>
      <w:r>
        <w:rPr>
          <w:spacing w:val="76"/>
          <w:w w:val="150"/>
          <w:vertAlign w:val="baseline"/>
        </w:rPr>
        <w:t> </w:t>
      </w:r>
      <w:r>
        <w:rPr>
          <w:vertAlign w:val="baseline"/>
        </w:rPr>
        <w:t>the</w:t>
      </w:r>
      <w:r>
        <w:rPr>
          <w:spacing w:val="73"/>
          <w:w w:val="150"/>
          <w:vertAlign w:val="baseline"/>
        </w:rPr>
        <w:t> </w:t>
      </w:r>
      <w:r>
        <w:rPr>
          <w:vertAlign w:val="baseline"/>
        </w:rPr>
        <w:t>uninfected</w:t>
      </w:r>
      <w:r>
        <w:rPr>
          <w:spacing w:val="77"/>
          <w:w w:val="150"/>
          <w:vertAlign w:val="baseline"/>
        </w:rPr>
        <w:t> </w:t>
      </w:r>
      <w:r>
        <w:rPr>
          <w:vertAlign w:val="baseline"/>
        </w:rPr>
        <w:t>non-pregnant</w:t>
      </w:r>
      <w:r>
        <w:rPr>
          <w:spacing w:val="78"/>
          <w:w w:val="150"/>
          <w:vertAlign w:val="baseline"/>
        </w:rPr>
        <w:t> </w:t>
      </w:r>
      <w:r>
        <w:rPr>
          <w:spacing w:val="-2"/>
          <w:vertAlign w:val="baseline"/>
        </w:rPr>
        <w:t>women.</w:t>
      </w:r>
    </w:p>
    <w:p>
      <w:pPr>
        <w:spacing w:after="0" w:line="480" w:lineRule="auto"/>
        <w:jc w:val="both"/>
        <w:sectPr>
          <w:pgSz w:w="11910" w:h="16840"/>
          <w:pgMar w:header="0" w:footer="1067" w:top="1060" w:bottom="1260" w:left="880" w:right="640"/>
        </w:sectPr>
      </w:pPr>
    </w:p>
    <w:p>
      <w:pPr>
        <w:pStyle w:val="BodyText"/>
        <w:spacing w:line="480" w:lineRule="auto" w:before="70"/>
        <w:ind w:left="560" w:right="796"/>
        <w:jc w:val="both"/>
      </w:pPr>
      <w:r>
        <w:rPr/>
        <w:t>However,IFN-γ was increased but was negligible. The result was in conformity with the report of Vassiliadis </w:t>
      </w:r>
      <w:r>
        <w:rPr>
          <w:i/>
        </w:rPr>
        <w:t>et al.,</w:t>
      </w:r>
      <w:r>
        <w:rPr/>
        <w:t>(1998) who showedincreased values of IL-10 in uninfected pregnant women than the uninfected non-pregnant.This finding showed that the secretion of more regulatory cytokines such as IL-10 is expected so as to ensure a successful pregnancy. On the other hand, the result was not in agreement with (Sharma </w:t>
      </w:r>
      <w:r>
        <w:rPr>
          <w:i/>
        </w:rPr>
        <w:t>et al.,</w:t>
      </w:r>
      <w:r>
        <w:rPr/>
        <w:t>2000) who did not detect IL4 throughout pregnancy. The difference could be due to the fact that this study evaluated</w:t>
      </w:r>
      <w:r>
        <w:rPr>
          <w:spacing w:val="-1"/>
        </w:rPr>
        <w:t> </w:t>
      </w:r>
      <w:r>
        <w:rPr/>
        <w:t>cytokine</w:t>
      </w:r>
      <w:r>
        <w:rPr>
          <w:spacing w:val="-3"/>
        </w:rPr>
        <w:t> </w:t>
      </w:r>
      <w:r>
        <w:rPr/>
        <w:t>levels</w:t>
      </w:r>
      <w:r>
        <w:rPr>
          <w:spacing w:val="-1"/>
        </w:rPr>
        <w:t> </w:t>
      </w:r>
      <w:r>
        <w:rPr/>
        <w:t>induced</w:t>
      </w:r>
      <w:r>
        <w:rPr>
          <w:spacing w:val="-2"/>
        </w:rPr>
        <w:t> </w:t>
      </w:r>
      <w:r>
        <w:rPr/>
        <w:t>by</w:t>
      </w:r>
      <w:r>
        <w:rPr>
          <w:spacing w:val="-5"/>
        </w:rPr>
        <w:t> </w:t>
      </w:r>
      <w:r>
        <w:rPr/>
        <w:t>malaria</w:t>
      </w:r>
      <w:r>
        <w:rPr>
          <w:spacing w:val="-3"/>
        </w:rPr>
        <w:t> </w:t>
      </w:r>
      <w:r>
        <w:rPr/>
        <w:t>whereas</w:t>
      </w:r>
      <w:r>
        <w:rPr>
          <w:spacing w:val="-2"/>
        </w:rPr>
        <w:t> </w:t>
      </w:r>
      <w:r>
        <w:rPr/>
        <w:t>the</w:t>
      </w:r>
      <w:r>
        <w:rPr>
          <w:spacing w:val="-2"/>
        </w:rPr>
        <w:t> </w:t>
      </w:r>
      <w:r>
        <w:rPr/>
        <w:t>later</w:t>
      </w:r>
      <w:r>
        <w:rPr>
          <w:spacing w:val="-2"/>
        </w:rPr>
        <w:t> </w:t>
      </w:r>
      <w:r>
        <w:rPr/>
        <w:t>was</w:t>
      </w:r>
      <w:r>
        <w:rPr>
          <w:spacing w:val="-1"/>
        </w:rPr>
        <w:t> </w:t>
      </w:r>
      <w:r>
        <w:rPr/>
        <w:t>on</w:t>
      </w:r>
      <w:r>
        <w:rPr>
          <w:spacing w:val="-2"/>
        </w:rPr>
        <w:t> </w:t>
      </w:r>
      <w:r>
        <w:rPr/>
        <w:t>assessment</w:t>
      </w:r>
      <w:r>
        <w:rPr>
          <w:spacing w:val="-2"/>
        </w:rPr>
        <w:t> </w:t>
      </w:r>
      <w:r>
        <w:rPr/>
        <w:t>of</w:t>
      </w:r>
      <w:r>
        <w:rPr>
          <w:spacing w:val="-2"/>
        </w:rPr>
        <w:t> </w:t>
      </w:r>
      <w:r>
        <w:rPr/>
        <w:t>cytokine levels in a gestational age manner and the pregnant women were without malaria </w:t>
      </w:r>
      <w:r>
        <w:rPr>
          <w:spacing w:val="-2"/>
        </w:rPr>
        <w:t>parasitaemia.</w:t>
      </w:r>
    </w:p>
    <w:p>
      <w:pPr>
        <w:pStyle w:val="BodyText"/>
        <w:spacing w:before="1"/>
      </w:pPr>
    </w:p>
    <w:p>
      <w:pPr>
        <w:pStyle w:val="BodyText"/>
        <w:spacing w:line="480" w:lineRule="auto"/>
        <w:ind w:left="560" w:right="794"/>
        <w:jc w:val="both"/>
      </w:pPr>
      <w:r>
        <w:rPr/>
        <w:t>The finding of this study</w:t>
      </w:r>
      <w:r>
        <w:rPr>
          <w:spacing w:val="-1"/>
        </w:rPr>
        <w:t> </w:t>
      </w:r>
      <w:r>
        <w:rPr/>
        <w:t>was that pregnancy</w:t>
      </w:r>
      <w:r>
        <w:rPr>
          <w:spacing w:val="-3"/>
        </w:rPr>
        <w:t> </w:t>
      </w:r>
      <w:r>
        <w:rPr/>
        <w:t>induces the production of cytokinesandalters the immune</w:t>
      </w:r>
      <w:r>
        <w:rPr>
          <w:spacing w:val="-1"/>
        </w:rPr>
        <w:t> </w:t>
      </w:r>
      <w:r>
        <w:rPr/>
        <w:t>system of</w:t>
      </w:r>
      <w:r>
        <w:rPr>
          <w:spacing w:val="-1"/>
        </w:rPr>
        <w:t> </w:t>
      </w:r>
      <w:r>
        <w:rPr/>
        <w:t>the pregnant women. This is in accordance with (Lashley</w:t>
      </w:r>
      <w:r>
        <w:rPr>
          <w:spacing w:val="-2"/>
        </w:rPr>
        <w:t> </w:t>
      </w:r>
      <w:r>
        <w:rPr>
          <w:i/>
        </w:rPr>
        <w:t>et al.,</w:t>
      </w:r>
      <w:r>
        <w:rPr/>
        <w:t>2011). It is reported that normal pregnancy is now considered to be a state of controlled maternal mild inflammation where levels of proinflammatory cytokines, including TNFα, are raised compared to non-pregnant states, in a way similar to what happens during sepsis (Sacks </w:t>
      </w:r>
      <w:r>
        <w:rPr>
          <w:i/>
        </w:rPr>
        <w:t>et al.,</w:t>
      </w:r>
      <w:r>
        <w:rPr/>
        <w:t>1998). There seems to be the sensitization of maternal circulation via the entry of foetal cell and/or atthe maternal-fetal interphase resulting in the secretion of cytokines. The cytokines diffuse into the extracellular fluid compartments and circulate in the peripheral blood to ensure</w:t>
      </w:r>
      <w:r>
        <w:rPr>
          <w:spacing w:val="-1"/>
        </w:rPr>
        <w:t> </w:t>
      </w:r>
      <w:r>
        <w:rPr/>
        <w:t>successful pregnancy</w:t>
      </w:r>
      <w:r>
        <w:rPr>
          <w:spacing w:val="-1"/>
        </w:rPr>
        <w:t> </w:t>
      </w:r>
      <w:r>
        <w:rPr/>
        <w:t>(Lashley</w:t>
      </w:r>
      <w:r>
        <w:rPr>
          <w:spacing w:val="-2"/>
        </w:rPr>
        <w:t> </w:t>
      </w:r>
      <w:r>
        <w:rPr>
          <w:i/>
        </w:rPr>
        <w:t>et al.,</w:t>
      </w:r>
      <w:r>
        <w:rPr/>
        <w:t>2011).</w:t>
      </w:r>
      <w:r>
        <w:rPr>
          <w:spacing w:val="-1"/>
        </w:rPr>
        <w:t> </w:t>
      </w:r>
      <w:r>
        <w:rPr/>
        <w:t>These</w:t>
      </w:r>
      <w:r>
        <w:rPr>
          <w:spacing w:val="-1"/>
        </w:rPr>
        <w:t> </w:t>
      </w:r>
      <w:r>
        <w:rPr/>
        <w:t>proinflammatory</w:t>
      </w:r>
      <w:r>
        <w:rPr>
          <w:spacing w:val="-5"/>
        </w:rPr>
        <w:t> </w:t>
      </w:r>
      <w:r>
        <w:rPr/>
        <w:t>cytokines are produced by monocytes and trophoblasts (Haider and Knofler, 2009).Table 4.2:Shows</w:t>
      </w:r>
      <w:r>
        <w:rPr>
          <w:spacing w:val="40"/>
        </w:rPr>
        <w:t> </w:t>
      </w:r>
      <w:r>
        <w:rPr/>
        <w:t>that IL-4 and IL-10 predominated in non-malaria infected placenta.The</w:t>
      </w:r>
      <w:r>
        <w:rPr>
          <w:spacing w:val="-1"/>
        </w:rPr>
        <w:t> </w:t>
      </w:r>
      <w:r>
        <w:rPr/>
        <w:t>data supports the idea that successful pregnancy in humans is followed with a bias away from pro-inflammatory cytokine to regulatorycytokine dominance(Nathwani </w:t>
      </w:r>
      <w:r>
        <w:rPr>
          <w:i/>
        </w:rPr>
        <w:t>et al.,</w:t>
      </w:r>
      <w:r>
        <w:rPr/>
        <w:t>1992).Infection with malaria, the normal cytokine profile wasreversed andpro-inflammatory cytokines (IFNγ and TNFα) wereincreasedas opposed to that of the uninfected placenta. This finding is in agreement with Fried</w:t>
      </w:r>
      <w:r>
        <w:rPr>
          <w:spacing w:val="-1"/>
        </w:rPr>
        <w:t> </w:t>
      </w:r>
      <w:r>
        <w:rPr>
          <w:i/>
        </w:rPr>
        <w:t>et</w:t>
      </w:r>
      <w:r>
        <w:rPr>
          <w:i/>
          <w:spacing w:val="1"/>
        </w:rPr>
        <w:t> </w:t>
      </w:r>
      <w:r>
        <w:rPr>
          <w:i/>
        </w:rPr>
        <w:t>al.,</w:t>
      </w:r>
      <w:r>
        <w:rPr/>
        <w:t>(1998) andSuguitan</w:t>
      </w:r>
      <w:r>
        <w:rPr>
          <w:spacing w:val="1"/>
        </w:rPr>
        <w:t> </w:t>
      </w:r>
      <w:r>
        <w:rPr>
          <w:i/>
        </w:rPr>
        <w:t>et</w:t>
      </w:r>
      <w:r>
        <w:rPr>
          <w:i/>
          <w:spacing w:val="1"/>
        </w:rPr>
        <w:t> </w:t>
      </w:r>
      <w:r>
        <w:rPr>
          <w:i/>
        </w:rPr>
        <w:t>al.,</w:t>
      </w:r>
      <w:r>
        <w:rPr/>
        <w:t>(2003).</w:t>
      </w:r>
      <w:r>
        <w:rPr>
          <w:spacing w:val="1"/>
        </w:rPr>
        <w:t> </w:t>
      </w:r>
      <w:r>
        <w:rPr/>
        <w:t>The</w:t>
      </w:r>
      <w:r>
        <w:rPr>
          <w:spacing w:val="2"/>
        </w:rPr>
        <w:t> </w:t>
      </w:r>
      <w:r>
        <w:rPr/>
        <w:t>high</w:t>
      </w:r>
      <w:r>
        <w:rPr>
          <w:spacing w:val="1"/>
        </w:rPr>
        <w:t> </w:t>
      </w:r>
      <w:r>
        <w:rPr/>
        <w:t>level</w:t>
      </w:r>
      <w:r>
        <w:rPr>
          <w:spacing w:val="1"/>
        </w:rPr>
        <w:t> </w:t>
      </w:r>
      <w:r>
        <w:rPr/>
        <w:t>of</w:t>
      </w:r>
      <w:r>
        <w:rPr>
          <w:spacing w:val="1"/>
        </w:rPr>
        <w:t> </w:t>
      </w:r>
      <w:r>
        <w:rPr/>
        <w:t>IL-10</w:t>
      </w:r>
      <w:r>
        <w:rPr>
          <w:spacing w:val="1"/>
        </w:rPr>
        <w:t> </w:t>
      </w:r>
      <w:r>
        <w:rPr/>
        <w:t>in</w:t>
      </w:r>
      <w:r>
        <w:rPr>
          <w:spacing w:val="1"/>
        </w:rPr>
        <w:t> </w:t>
      </w:r>
      <w:r>
        <w:rPr/>
        <w:t>the</w:t>
      </w:r>
      <w:r>
        <w:rPr>
          <w:spacing w:val="2"/>
        </w:rPr>
        <w:t> </w:t>
      </w:r>
      <w:r>
        <w:rPr/>
        <w:t>sera</w:t>
      </w:r>
      <w:r>
        <w:rPr>
          <w:spacing w:val="-1"/>
        </w:rPr>
        <w:t> </w:t>
      </w:r>
      <w:r>
        <w:rPr/>
        <w:t>of</w:t>
      </w:r>
      <w:r>
        <w:rPr>
          <w:spacing w:val="1"/>
        </w:rPr>
        <w:t> </w:t>
      </w:r>
      <w:r>
        <w:rPr>
          <w:spacing w:val="-2"/>
        </w:rPr>
        <w:t>uninfected</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placenta suggested that anti-inflammatory cytokine environment is thought to be maintained in part by the high progesterone level in pregnancy which induces T</w:t>
      </w:r>
      <w:r>
        <w:rPr>
          <w:vertAlign w:val="subscript"/>
        </w:rPr>
        <w:t>H</w:t>
      </w:r>
      <w:r>
        <w:rPr>
          <w:vertAlign w:val="baseline"/>
        </w:rPr>
        <w:t>0 to T</w:t>
      </w:r>
      <w:r>
        <w:rPr>
          <w:vertAlign w:val="subscript"/>
        </w:rPr>
        <w:t>H</w:t>
      </w:r>
      <w:r>
        <w:rPr>
          <w:vertAlign w:val="baseline"/>
        </w:rPr>
        <w:t>2 conversion (Szekeres- Bartho and Wegmann, 1996). On the contrary, it did not agree with Bayoumi </w:t>
      </w:r>
      <w:r>
        <w:rPr>
          <w:i/>
          <w:vertAlign w:val="baseline"/>
        </w:rPr>
        <w:t>et al.,</w:t>
      </w:r>
      <w:r>
        <w:rPr>
          <w:vertAlign w:val="baseline"/>
        </w:rPr>
        <w:t>(2008) and Yasnot </w:t>
      </w:r>
      <w:r>
        <w:rPr>
          <w:i/>
          <w:vertAlign w:val="baseline"/>
        </w:rPr>
        <w:t>et al.,</w:t>
      </w:r>
      <w:r>
        <w:rPr>
          <w:vertAlign w:val="baseline"/>
        </w:rPr>
        <w:t>(2013).</w:t>
      </w:r>
      <w:r>
        <w:rPr>
          <w:spacing w:val="40"/>
          <w:vertAlign w:val="baseline"/>
        </w:rPr>
        <w:t> </w:t>
      </w:r>
      <w:r>
        <w:rPr>
          <w:vertAlign w:val="baseline"/>
        </w:rPr>
        <w:t>The disagreement with Bayoumi </w:t>
      </w:r>
      <w:r>
        <w:rPr>
          <w:i/>
          <w:vertAlign w:val="baseline"/>
        </w:rPr>
        <w:t>et al.,</w:t>
      </w:r>
      <w:r>
        <w:rPr>
          <w:vertAlign w:val="baseline"/>
        </w:rPr>
        <w:t>(2008) could be that this study was conducted in an area of stable and endemic malaria parasite transmission while</w:t>
      </w:r>
      <w:r>
        <w:rPr>
          <w:spacing w:val="-1"/>
          <w:vertAlign w:val="baseline"/>
        </w:rPr>
        <w:t> </w:t>
      </w:r>
      <w:r>
        <w:rPr>
          <w:vertAlign w:val="baseline"/>
        </w:rPr>
        <w:t>that of</w:t>
      </w:r>
      <w:r>
        <w:rPr>
          <w:spacing w:val="-1"/>
          <w:vertAlign w:val="baseline"/>
        </w:rPr>
        <w:t> </w:t>
      </w:r>
      <w:r>
        <w:rPr>
          <w:vertAlign w:val="baseline"/>
        </w:rPr>
        <w:t>Yasnot </w:t>
      </w:r>
      <w:r>
        <w:rPr>
          <w:i/>
          <w:vertAlign w:val="baseline"/>
        </w:rPr>
        <w:t>et al.,</w:t>
      </w:r>
      <w:r>
        <w:rPr>
          <w:vertAlign w:val="baseline"/>
        </w:rPr>
        <w:t>(2013)</w:t>
      </w:r>
      <w:r>
        <w:rPr>
          <w:spacing w:val="-1"/>
          <w:vertAlign w:val="baseline"/>
        </w:rPr>
        <w:t> </w:t>
      </w:r>
      <w:r>
        <w:rPr>
          <w:vertAlign w:val="baseline"/>
        </w:rPr>
        <w:t>could be</w:t>
      </w:r>
      <w:r>
        <w:rPr>
          <w:spacing w:val="-1"/>
          <w:vertAlign w:val="baseline"/>
        </w:rPr>
        <w:t> </w:t>
      </w:r>
      <w:r>
        <w:rPr>
          <w:vertAlign w:val="baseline"/>
        </w:rPr>
        <w:t>due</w:t>
      </w:r>
      <w:r>
        <w:rPr>
          <w:spacing w:val="-1"/>
          <w:vertAlign w:val="baseline"/>
        </w:rPr>
        <w:t> </w:t>
      </w:r>
      <w:r>
        <w:rPr>
          <w:vertAlign w:val="baseline"/>
        </w:rPr>
        <w:t>to the method used</w:t>
      </w:r>
      <w:r>
        <w:rPr>
          <w:spacing w:val="-1"/>
          <w:vertAlign w:val="baseline"/>
        </w:rPr>
        <w:t> </w:t>
      </w:r>
      <w:r>
        <w:rPr>
          <w:vertAlign w:val="baseline"/>
        </w:rPr>
        <w:t>in the evaluation; real time </w:t>
      </w:r>
      <w:r>
        <w:rPr>
          <w:spacing w:val="-4"/>
          <w:vertAlign w:val="baseline"/>
        </w:rPr>
        <w:t>PCR.</w:t>
      </w:r>
    </w:p>
    <w:p>
      <w:pPr>
        <w:pStyle w:val="BodyText"/>
        <w:spacing w:before="1"/>
      </w:pPr>
    </w:p>
    <w:p>
      <w:pPr>
        <w:pStyle w:val="BodyText"/>
        <w:spacing w:line="480" w:lineRule="auto"/>
        <w:ind w:left="560" w:right="794"/>
        <w:jc w:val="both"/>
      </w:pPr>
      <w:r>
        <w:rPr/>
        <w:t>One striking point in this study was that the level of IL-10 was increased in malaria infected placenta than with malaria uninfected placenta. This result is in conformity with Suguitan</w:t>
      </w:r>
      <w:r>
        <w:rPr>
          <w:i/>
        </w:rPr>
        <w:t>et al.,</w:t>
      </w:r>
      <w:r>
        <w:rPr/>
        <w:t>(2003). The significant expression of IL-10was due to the fact that the uterine epithelium and</w:t>
      </w:r>
      <w:r>
        <w:rPr>
          <w:spacing w:val="-3"/>
        </w:rPr>
        <w:t> </w:t>
      </w:r>
      <w:r>
        <w:rPr/>
        <w:t>placental</w:t>
      </w:r>
      <w:r>
        <w:rPr>
          <w:spacing w:val="-3"/>
        </w:rPr>
        <w:t> </w:t>
      </w:r>
      <w:r>
        <w:rPr/>
        <w:t>trophoblasts</w:t>
      </w:r>
      <w:r>
        <w:rPr>
          <w:spacing w:val="-3"/>
        </w:rPr>
        <w:t> </w:t>
      </w:r>
      <w:r>
        <w:rPr/>
        <w:t>are</w:t>
      </w:r>
      <w:r>
        <w:rPr>
          <w:spacing w:val="-4"/>
        </w:rPr>
        <w:t> </w:t>
      </w:r>
      <w:r>
        <w:rPr/>
        <w:t>known</w:t>
      </w:r>
      <w:r>
        <w:rPr>
          <w:spacing w:val="-3"/>
        </w:rPr>
        <w:t> </w:t>
      </w:r>
      <w:r>
        <w:rPr/>
        <w:t>to</w:t>
      </w:r>
      <w:r>
        <w:rPr>
          <w:spacing w:val="-3"/>
        </w:rPr>
        <w:t> </w:t>
      </w:r>
      <w:r>
        <w:rPr/>
        <w:t>be</w:t>
      </w:r>
      <w:r>
        <w:rPr>
          <w:spacing w:val="-4"/>
        </w:rPr>
        <w:t> </w:t>
      </w:r>
      <w:r>
        <w:rPr/>
        <w:t>sources</w:t>
      </w:r>
      <w:r>
        <w:rPr>
          <w:spacing w:val="-3"/>
        </w:rPr>
        <w:t> </w:t>
      </w:r>
      <w:r>
        <w:rPr/>
        <w:t>of</w:t>
      </w:r>
      <w:r>
        <w:rPr>
          <w:spacing w:val="-2"/>
        </w:rPr>
        <w:t> </w:t>
      </w:r>
      <w:r>
        <w:rPr/>
        <w:t>IL-10</w:t>
      </w:r>
      <w:r>
        <w:rPr>
          <w:spacing w:val="-3"/>
        </w:rPr>
        <w:t> </w:t>
      </w:r>
      <w:r>
        <w:rPr/>
        <w:t>production</w:t>
      </w:r>
      <w:r>
        <w:rPr>
          <w:spacing w:val="-3"/>
        </w:rPr>
        <w:t> </w:t>
      </w:r>
      <w:r>
        <w:rPr/>
        <w:t>during</w:t>
      </w:r>
      <w:r>
        <w:rPr>
          <w:spacing w:val="-3"/>
        </w:rPr>
        <w:t> </w:t>
      </w:r>
      <w:r>
        <w:rPr/>
        <w:t>pregnancy. IL- 10 characterizes normal human pregnancy and is thought to prevent inflammatory responses that might damage the intergrity of the maternal-foetal placental barrier (Wegmann </w:t>
      </w:r>
      <w:r>
        <w:rPr>
          <w:i/>
        </w:rPr>
        <w:t>et al.,</w:t>
      </w:r>
      <w:r>
        <w:rPr/>
        <w:t>1993; Fried </w:t>
      </w:r>
      <w:r>
        <w:rPr>
          <w:i/>
        </w:rPr>
        <w:t>et al.,</w:t>
      </w:r>
      <w:r>
        <w:rPr/>
        <w:t>1998). With placental malaria and despite the placental shift towards T</w:t>
      </w:r>
      <w:r>
        <w:rPr>
          <w:vertAlign w:val="subscript"/>
        </w:rPr>
        <w:t>H</w:t>
      </w:r>
      <w:r>
        <w:rPr>
          <w:vertAlign w:val="baseline"/>
        </w:rPr>
        <w:t>1-type cytokines, IL-10 concentrations are elevated compared with uninfected healthy placentas (Suguitan </w:t>
      </w:r>
      <w:r>
        <w:rPr>
          <w:i/>
          <w:vertAlign w:val="baseline"/>
        </w:rPr>
        <w:t>et al.,</w:t>
      </w:r>
      <w:r>
        <w:rPr>
          <w:vertAlign w:val="baseline"/>
        </w:rPr>
        <w:t>2003). This condition is expected as IL-10 has a major role in controlling inflammatory responses and preventing damage of maternal-foetal placental barrier (Fried </w:t>
      </w:r>
      <w:r>
        <w:rPr>
          <w:i/>
          <w:vertAlign w:val="baseline"/>
        </w:rPr>
        <w:t>et al., </w:t>
      </w:r>
      <w:r>
        <w:rPr>
          <w:vertAlign w:val="baseline"/>
        </w:rPr>
        <w:t>1998 and Suguitan </w:t>
      </w:r>
      <w:r>
        <w:rPr>
          <w:i/>
          <w:vertAlign w:val="baseline"/>
        </w:rPr>
        <w:t>et al.,</w:t>
      </w:r>
      <w:r>
        <w:rPr>
          <w:vertAlign w:val="baseline"/>
        </w:rPr>
        <w:t>2003).</w:t>
      </w:r>
    </w:p>
    <w:p>
      <w:pPr>
        <w:pStyle w:val="BodyText"/>
        <w:spacing w:before="2"/>
      </w:pPr>
    </w:p>
    <w:p>
      <w:pPr>
        <w:pStyle w:val="BodyText"/>
        <w:spacing w:line="480" w:lineRule="auto"/>
        <w:ind w:left="560" w:right="792"/>
        <w:jc w:val="both"/>
      </w:pPr>
      <w:r>
        <w:rPr/>
        <w:t>In a closely related issue, TNFα was notably expressed than IFNγ in malaria uninfected placenta. This suggests that TNFα is assumed to play a role in parturition (Chen </w:t>
      </w:r>
      <w:r>
        <w:rPr>
          <w:i/>
        </w:rPr>
        <w:t>et al.,</w:t>
      </w:r>
      <w:r>
        <w:rPr/>
        <w:t>1991) which may account to its detection inplacentas uninfected by malaria.</w:t>
      </w:r>
    </w:p>
    <w:p>
      <w:pPr>
        <w:pStyle w:val="BodyText"/>
      </w:pPr>
    </w:p>
    <w:p>
      <w:pPr>
        <w:pStyle w:val="BodyText"/>
        <w:spacing w:line="480" w:lineRule="auto"/>
        <w:ind w:left="560" w:right="797"/>
        <w:jc w:val="both"/>
      </w:pPr>
      <w:r>
        <w:rPr/>
        <w:t>On comparing the concentration of cytokines in the systemic blood and the local maternal- foetal interphase, the proinflammatory cytokines (IFNγ and TNFα) were reduced in the placenta</w:t>
      </w:r>
      <w:r>
        <w:rPr>
          <w:spacing w:val="65"/>
        </w:rPr>
        <w:t> </w:t>
      </w:r>
      <w:r>
        <w:rPr/>
        <w:t>than</w:t>
      </w:r>
      <w:r>
        <w:rPr>
          <w:spacing w:val="69"/>
        </w:rPr>
        <w:t> </w:t>
      </w:r>
      <w:r>
        <w:rPr/>
        <w:t>the</w:t>
      </w:r>
      <w:r>
        <w:rPr>
          <w:spacing w:val="68"/>
        </w:rPr>
        <w:t> </w:t>
      </w:r>
      <w:r>
        <w:rPr/>
        <w:t>peripheral.</w:t>
      </w:r>
      <w:r>
        <w:rPr>
          <w:spacing w:val="70"/>
        </w:rPr>
        <w:t> </w:t>
      </w:r>
      <w:r>
        <w:rPr/>
        <w:t>IL-6</w:t>
      </w:r>
      <w:r>
        <w:rPr>
          <w:spacing w:val="69"/>
        </w:rPr>
        <w:t> </w:t>
      </w:r>
      <w:r>
        <w:rPr/>
        <w:t>was</w:t>
      </w:r>
      <w:r>
        <w:rPr>
          <w:spacing w:val="69"/>
        </w:rPr>
        <w:t> </w:t>
      </w:r>
      <w:r>
        <w:rPr/>
        <w:t>higher</w:t>
      </w:r>
      <w:r>
        <w:rPr>
          <w:spacing w:val="69"/>
        </w:rPr>
        <w:t> </w:t>
      </w:r>
      <w:r>
        <w:rPr/>
        <w:t>in</w:t>
      </w:r>
      <w:r>
        <w:rPr>
          <w:spacing w:val="69"/>
        </w:rPr>
        <w:t> </w:t>
      </w:r>
      <w:r>
        <w:rPr/>
        <w:t>the</w:t>
      </w:r>
      <w:r>
        <w:rPr>
          <w:spacing w:val="68"/>
        </w:rPr>
        <w:t> </w:t>
      </w:r>
      <w:r>
        <w:rPr/>
        <w:t>placenta</w:t>
      </w:r>
      <w:r>
        <w:rPr>
          <w:spacing w:val="67"/>
        </w:rPr>
        <w:t> </w:t>
      </w:r>
      <w:r>
        <w:rPr/>
        <w:t>but</w:t>
      </w:r>
      <w:r>
        <w:rPr>
          <w:spacing w:val="73"/>
        </w:rPr>
        <w:t> </w:t>
      </w:r>
      <w:r>
        <w:rPr/>
        <w:t>could</w:t>
      </w:r>
      <w:r>
        <w:rPr>
          <w:spacing w:val="69"/>
        </w:rPr>
        <w:t> </w:t>
      </w:r>
      <w:r>
        <w:rPr/>
        <w:t>be</w:t>
      </w:r>
      <w:r>
        <w:rPr>
          <w:spacing w:val="68"/>
        </w:rPr>
        <w:t> </w:t>
      </w:r>
      <w:r>
        <w:rPr>
          <w:spacing w:val="-2"/>
        </w:rPr>
        <w:t>considered</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negligible when compared with the systemic. Theanti-inflammatory (IL-4 and IL- 10)cytokines wereincreased in the placenta than the peripheral blood.Moderate to marked concentrationsof cytokines expressed in the study</w:t>
      </w:r>
      <w:r>
        <w:rPr>
          <w:spacing w:val="-1"/>
        </w:rPr>
        <w:t> </w:t>
      </w:r>
      <w:r>
        <w:rPr/>
        <w:t>suggests that the placenta can influence the systemic cytokine profile and this depends on the cytokine of interest (Fried </w:t>
      </w:r>
      <w:r>
        <w:rPr>
          <w:i/>
        </w:rPr>
        <w:t>et al.,</w:t>
      </w:r>
      <w:r>
        <w:rPr/>
        <w:t>1998).</w:t>
      </w:r>
    </w:p>
    <w:p>
      <w:pPr>
        <w:pStyle w:val="BodyText"/>
        <w:spacing w:line="480" w:lineRule="auto" w:before="241"/>
        <w:ind w:left="560" w:right="794"/>
        <w:jc w:val="both"/>
      </w:pPr>
      <w:r>
        <w:rPr/>
        <w:t>The malaria parasite densityrecorded in the peripheral blood was higher than that reported by Onyenekwe </w:t>
      </w:r>
      <w:r>
        <w:rPr>
          <w:i/>
        </w:rPr>
        <w:t>et al.,</w:t>
      </w:r>
      <w:r>
        <w:rPr/>
        <w:t>(2004; Achidi </w:t>
      </w:r>
      <w:r>
        <w:rPr>
          <w:i/>
        </w:rPr>
        <w:t>et al.</w:t>
      </w:r>
      <w:r>
        <w:rPr/>
        <w:t>, (2007 and Akinboro </w:t>
      </w:r>
      <w:r>
        <w:rPr>
          <w:i/>
        </w:rPr>
        <w:t>et al.,</w:t>
      </w:r>
      <w:r>
        <w:rPr/>
        <w:t>(2010), but was lower than that of Douamba </w:t>
      </w:r>
      <w:r>
        <w:rPr>
          <w:i/>
        </w:rPr>
        <w:t>et al.,</w:t>
      </w:r>
      <w:r>
        <w:rPr/>
        <w:t>(2012</w:t>
      </w:r>
      <w:r>
        <w:rPr>
          <w:i/>
        </w:rPr>
        <w:t>)</w:t>
      </w:r>
      <w:r>
        <w:rPr/>
        <w:t>. The differences in the results suggest the differences in</w:t>
      </w:r>
      <w:r>
        <w:rPr>
          <w:spacing w:val="40"/>
        </w:rPr>
        <w:t> </w:t>
      </w:r>
      <w:r>
        <w:rPr/>
        <w:t>malaria transmission in different geographical areas anddifferent methods of evaluation. The parasite density was higher in the blood from the placenta than that of peripheral blood. This is in conformity</w:t>
      </w:r>
      <w:r>
        <w:rPr>
          <w:spacing w:val="-3"/>
        </w:rPr>
        <w:t> </w:t>
      </w:r>
      <w:r>
        <w:rPr/>
        <w:t>with Yamada </w:t>
      </w:r>
      <w:r>
        <w:rPr>
          <w:i/>
        </w:rPr>
        <w:t>et al.,</w:t>
      </w:r>
      <w:r>
        <w:rPr/>
        <w:t>(2007) who reported that the placenta is prone to malaria infection than the peripheral blood and</w:t>
      </w:r>
      <w:r>
        <w:rPr>
          <w:spacing w:val="40"/>
        </w:rPr>
        <w:t> </w:t>
      </w:r>
      <w:r>
        <w:rPr/>
        <w:t>infected erythrocytes accumulate in the intervillous space sometimes in higher density and binds to chondroitin Sulphate-A in the syncytiotrophoblast. Again, the infected erythrocytes in the placenta express a unique variant surface antigen (VSA) which enhances its adhesion. The VSA is not found elsewhere in the body except in the placenta. Moreover, a good number of the pregnant women do not attend antenatal clinics until delivery and are fond of taking antimalarial drugs without prescription. These</w:t>
      </w:r>
      <w:r>
        <w:rPr>
          <w:spacing w:val="-1"/>
        </w:rPr>
        <w:t> </w:t>
      </w:r>
      <w:r>
        <w:rPr/>
        <w:t>may</w:t>
      </w:r>
      <w:r>
        <w:rPr>
          <w:spacing w:val="-5"/>
        </w:rPr>
        <w:t> </w:t>
      </w:r>
      <w:r>
        <w:rPr/>
        <w:t>reduce</w:t>
      </w:r>
      <w:r>
        <w:rPr>
          <w:spacing w:val="-1"/>
        </w:rPr>
        <w:t> </w:t>
      </w:r>
      <w:r>
        <w:rPr/>
        <w:t>the</w:t>
      </w:r>
      <w:r>
        <w:rPr>
          <w:spacing w:val="-1"/>
        </w:rPr>
        <w:t> </w:t>
      </w:r>
      <w:r>
        <w:rPr/>
        <w:t>parasite</w:t>
      </w:r>
      <w:r>
        <w:rPr>
          <w:spacing w:val="-1"/>
        </w:rPr>
        <w:t> </w:t>
      </w:r>
      <w:r>
        <w:rPr/>
        <w:t>load in the</w:t>
      </w:r>
      <w:r>
        <w:rPr>
          <w:spacing w:val="-1"/>
        </w:rPr>
        <w:t> </w:t>
      </w:r>
      <w:r>
        <w:rPr/>
        <w:t>peripheral blood but not necessarily</w:t>
      </w:r>
      <w:r>
        <w:rPr>
          <w:spacing w:val="-5"/>
        </w:rPr>
        <w:t> </w:t>
      </w:r>
      <w:r>
        <w:rPr/>
        <w:t>in the</w:t>
      </w:r>
      <w:r>
        <w:rPr>
          <w:spacing w:val="-1"/>
        </w:rPr>
        <w:t> </w:t>
      </w:r>
      <w:r>
        <w:rPr/>
        <w:t>placenta.</w:t>
      </w:r>
    </w:p>
    <w:p>
      <w:pPr>
        <w:pStyle w:val="BodyText"/>
        <w:spacing w:line="480" w:lineRule="auto" w:before="242"/>
        <w:ind w:left="560" w:right="793"/>
        <w:jc w:val="both"/>
      </w:pPr>
      <w:r>
        <w:rPr/>
        <w:t>On</w:t>
      </w:r>
      <w:r>
        <w:rPr>
          <w:spacing w:val="-1"/>
        </w:rPr>
        <w:t> </w:t>
      </w:r>
      <w:r>
        <w:rPr/>
        <w:t>the contrary, the elevated</w:t>
      </w:r>
      <w:r>
        <w:rPr>
          <w:spacing w:val="-1"/>
        </w:rPr>
        <w:t> </w:t>
      </w:r>
      <w:r>
        <w:rPr/>
        <w:t>level of</w:t>
      </w:r>
      <w:r>
        <w:rPr>
          <w:spacing w:val="-1"/>
        </w:rPr>
        <w:t> </w:t>
      </w:r>
      <w:r>
        <w:rPr/>
        <w:t>the</w:t>
      </w:r>
      <w:r>
        <w:rPr>
          <w:spacing w:val="-1"/>
        </w:rPr>
        <w:t> </w:t>
      </w:r>
      <w:r>
        <w:rPr/>
        <w:t>malaria parasite in the</w:t>
      </w:r>
      <w:r>
        <w:rPr>
          <w:spacing w:val="-1"/>
        </w:rPr>
        <w:t> </w:t>
      </w:r>
      <w:r>
        <w:rPr/>
        <w:t>placenta could raise</w:t>
      </w:r>
      <w:r>
        <w:rPr>
          <w:spacing w:val="-1"/>
        </w:rPr>
        <w:t> </w:t>
      </w:r>
      <w:r>
        <w:rPr/>
        <w:t>doubt on the</w:t>
      </w:r>
      <w:r>
        <w:rPr>
          <w:spacing w:val="-1"/>
        </w:rPr>
        <w:t> </w:t>
      </w:r>
      <w:r>
        <w:rPr/>
        <w:t>efficacy</w:t>
      </w:r>
      <w:r>
        <w:rPr>
          <w:spacing w:val="-5"/>
        </w:rPr>
        <w:t> </w:t>
      </w:r>
      <w:r>
        <w:rPr/>
        <w:t>of</w:t>
      </w:r>
      <w:r>
        <w:rPr>
          <w:spacing w:val="-1"/>
        </w:rPr>
        <w:t> </w:t>
      </w:r>
      <w:r>
        <w:rPr/>
        <w:t>the</w:t>
      </w:r>
      <w:r>
        <w:rPr>
          <w:spacing w:val="-1"/>
        </w:rPr>
        <w:t> </w:t>
      </w:r>
      <w:r>
        <w:rPr/>
        <w:t>antimalarial interventions and the</w:t>
      </w:r>
      <w:r>
        <w:rPr>
          <w:spacing w:val="-1"/>
        </w:rPr>
        <w:t> </w:t>
      </w:r>
      <w:r>
        <w:rPr/>
        <w:t>holistic</w:t>
      </w:r>
      <w:r>
        <w:rPr>
          <w:spacing w:val="-1"/>
        </w:rPr>
        <w:t> </w:t>
      </w:r>
      <w:r>
        <w:rPr/>
        <w:t>approach of</w:t>
      </w:r>
      <w:r>
        <w:rPr>
          <w:spacing w:val="-1"/>
        </w:rPr>
        <w:t> </w:t>
      </w:r>
      <w:r>
        <w:rPr/>
        <w:t>the</w:t>
      </w:r>
      <w:r>
        <w:rPr>
          <w:spacing w:val="-1"/>
        </w:rPr>
        <w:t> </w:t>
      </w:r>
      <w:r>
        <w:rPr/>
        <w:t>pregnant women to taking antimalarial dugs in the course of attending antinatal cares. Granted that this study was not intended to assess the efficacy of antimalarial drugs, did not provide information on the different antimalaial drugs taken, the compliance and duration however, the issue is that the fact that the reduced effectiveness of different antimalarials with different modes of</w:t>
      </w:r>
      <w:r>
        <w:rPr>
          <w:spacing w:val="80"/>
        </w:rPr>
        <w:t> </w:t>
      </w:r>
      <w:r>
        <w:rPr/>
        <w:t>action and pharmokinetic activities may contribute to the elevated parasite density.In</w:t>
      </w:r>
      <w:r>
        <w:rPr>
          <w:spacing w:val="40"/>
        </w:rPr>
        <w:t> </w:t>
      </w:r>
      <w:r>
        <w:rPr/>
        <w:t>addition,</w:t>
      </w:r>
      <w:r>
        <w:rPr>
          <w:spacing w:val="13"/>
        </w:rPr>
        <w:t> </w:t>
      </w:r>
      <w:r>
        <w:rPr/>
        <w:t>that</w:t>
      </w:r>
      <w:r>
        <w:rPr>
          <w:spacing w:val="13"/>
        </w:rPr>
        <w:t> </w:t>
      </w:r>
      <w:r>
        <w:rPr/>
        <w:t>the</w:t>
      </w:r>
      <w:r>
        <w:rPr>
          <w:spacing w:val="14"/>
        </w:rPr>
        <w:t> </w:t>
      </w:r>
      <w:r>
        <w:rPr/>
        <w:t>total</w:t>
      </w:r>
      <w:r>
        <w:rPr>
          <w:spacing w:val="13"/>
        </w:rPr>
        <w:t> </w:t>
      </w:r>
      <w:r>
        <w:rPr/>
        <w:t>leucotyte</w:t>
      </w:r>
      <w:r>
        <w:rPr>
          <w:spacing w:val="15"/>
        </w:rPr>
        <w:t> </w:t>
      </w:r>
      <w:r>
        <w:rPr/>
        <w:t>count</w:t>
      </w:r>
      <w:r>
        <w:rPr>
          <w:spacing w:val="14"/>
        </w:rPr>
        <w:t> </w:t>
      </w:r>
      <w:r>
        <w:rPr/>
        <w:t>was</w:t>
      </w:r>
      <w:r>
        <w:rPr>
          <w:spacing w:val="15"/>
        </w:rPr>
        <w:t> </w:t>
      </w:r>
      <w:r>
        <w:rPr/>
        <w:t>increased</w:t>
      </w:r>
      <w:r>
        <w:rPr>
          <w:spacing w:val="14"/>
        </w:rPr>
        <w:t> </w:t>
      </w:r>
      <w:r>
        <w:rPr/>
        <w:t>in</w:t>
      </w:r>
      <w:r>
        <w:rPr>
          <w:spacing w:val="13"/>
        </w:rPr>
        <w:t> </w:t>
      </w:r>
      <w:r>
        <w:rPr/>
        <w:t>the</w:t>
      </w:r>
      <w:r>
        <w:rPr>
          <w:spacing w:val="14"/>
        </w:rPr>
        <w:t> </w:t>
      </w:r>
      <w:r>
        <w:rPr/>
        <w:t>blood</w:t>
      </w:r>
      <w:r>
        <w:rPr>
          <w:spacing w:val="13"/>
        </w:rPr>
        <w:t> </w:t>
      </w:r>
      <w:r>
        <w:rPr/>
        <w:t>from</w:t>
      </w:r>
      <w:r>
        <w:rPr>
          <w:spacing w:val="13"/>
        </w:rPr>
        <w:t> </w:t>
      </w:r>
      <w:r>
        <w:rPr/>
        <w:t>the</w:t>
      </w:r>
      <w:r>
        <w:rPr>
          <w:spacing w:val="14"/>
        </w:rPr>
        <w:t> </w:t>
      </w:r>
      <w:r>
        <w:rPr/>
        <w:t>placenta</w:t>
      </w:r>
      <w:r>
        <w:rPr>
          <w:spacing w:val="13"/>
        </w:rPr>
        <w:t> </w:t>
      </w:r>
      <w:r>
        <w:rPr/>
        <w:t>than</w:t>
      </w:r>
      <w:r>
        <w:rPr>
          <w:spacing w:val="13"/>
        </w:rPr>
        <w:t> </w:t>
      </w:r>
      <w:r>
        <w:rPr>
          <w:spacing w:val="-5"/>
        </w:rPr>
        <w:t>the</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peripheralappeared to be a clear indication that the white blood cells would respond adequately and in a large number to the removal of the parasites thus increasing the number</w:t>
      </w:r>
      <w:r>
        <w:rPr>
          <w:spacing w:val="40"/>
        </w:rPr>
        <w:t> </w:t>
      </w:r>
      <w:r>
        <w:rPr/>
        <w:t>of immune cells already found to regulate the normal placental cytokine milieu.</w:t>
      </w:r>
    </w:p>
    <w:p>
      <w:pPr>
        <w:pStyle w:val="BodyText"/>
        <w:spacing w:line="480" w:lineRule="auto" w:before="241"/>
        <w:ind w:left="560" w:right="795"/>
        <w:jc w:val="both"/>
      </w:pPr>
      <w:r>
        <w:rPr/>
        <w:t>Furthermore, the result of this study showed that maternal age, gestational age and gravidity did not influence cytokine expression. The result agrees with Achidi </w:t>
      </w:r>
      <w:r>
        <w:rPr>
          <w:i/>
        </w:rPr>
        <w:t>et al.,</w:t>
      </w:r>
      <w:r>
        <w:rPr/>
        <w:t>(2007). Rather the levels of cytokine could be influenced by malaria endemicity, nutritional status and the tendency</w:t>
      </w:r>
      <w:r>
        <w:rPr>
          <w:spacing w:val="-3"/>
        </w:rPr>
        <w:t> </w:t>
      </w:r>
      <w:r>
        <w:rPr/>
        <w:t>for</w:t>
      </w:r>
      <w:r>
        <w:rPr>
          <w:spacing w:val="-2"/>
        </w:rPr>
        <w:t> </w:t>
      </w:r>
      <w:r>
        <w:rPr/>
        <w:t>normal pregnancy</w:t>
      </w:r>
      <w:r>
        <w:rPr>
          <w:spacing w:val="-4"/>
        </w:rPr>
        <w:t> </w:t>
      </w:r>
      <w:r>
        <w:rPr/>
        <w:t>to mount strong measures to regulate</w:t>
      </w:r>
      <w:r>
        <w:rPr>
          <w:spacing w:val="-1"/>
        </w:rPr>
        <w:t> </w:t>
      </w:r>
      <w:r>
        <w:rPr/>
        <w:t>the expression of</w:t>
      </w:r>
      <w:r>
        <w:rPr>
          <w:spacing w:val="-1"/>
        </w:rPr>
        <w:t> </w:t>
      </w:r>
      <w:r>
        <w:rPr/>
        <w:t>type-1 cytokines for</w:t>
      </w:r>
      <w:r>
        <w:rPr>
          <w:spacing w:val="-2"/>
        </w:rPr>
        <w:t> </w:t>
      </w:r>
      <w:r>
        <w:rPr/>
        <w:t>a</w:t>
      </w:r>
      <w:r>
        <w:rPr>
          <w:spacing w:val="-2"/>
        </w:rPr>
        <w:t> </w:t>
      </w:r>
      <w:r>
        <w:rPr/>
        <w:t>progressive</w:t>
      </w:r>
      <w:r>
        <w:rPr>
          <w:spacing w:val="-2"/>
        </w:rPr>
        <w:t> </w:t>
      </w:r>
      <w:r>
        <w:rPr/>
        <w:t>and</w:t>
      </w:r>
      <w:r>
        <w:rPr>
          <w:spacing w:val="-1"/>
        </w:rPr>
        <w:t> </w:t>
      </w:r>
      <w:r>
        <w:rPr/>
        <w:t>successful</w:t>
      </w:r>
      <w:r>
        <w:rPr>
          <w:spacing w:val="-2"/>
        </w:rPr>
        <w:t> </w:t>
      </w:r>
      <w:r>
        <w:rPr/>
        <w:t>pregnancy.However,</w:t>
      </w:r>
      <w:r>
        <w:rPr>
          <w:spacing w:val="-2"/>
        </w:rPr>
        <w:t> </w:t>
      </w:r>
      <w:r>
        <w:rPr/>
        <w:t>gravidity</w:t>
      </w:r>
      <w:r>
        <w:rPr>
          <w:spacing w:val="-4"/>
        </w:rPr>
        <w:t> </w:t>
      </w:r>
      <w:r>
        <w:rPr/>
        <w:t>based</w:t>
      </w:r>
      <w:r>
        <w:rPr>
          <w:spacing w:val="-1"/>
        </w:rPr>
        <w:t> </w:t>
      </w:r>
      <w:r>
        <w:rPr/>
        <w:t>differences</w:t>
      </w:r>
      <w:r>
        <w:rPr>
          <w:spacing w:val="-1"/>
        </w:rPr>
        <w:t> </w:t>
      </w:r>
      <w:r>
        <w:rPr/>
        <w:t>in antibody</w:t>
      </w:r>
      <w:r>
        <w:rPr>
          <w:spacing w:val="-6"/>
        </w:rPr>
        <w:t> </w:t>
      </w:r>
      <w:r>
        <w:rPr/>
        <w:t>production</w:t>
      </w:r>
      <w:r>
        <w:rPr>
          <w:spacing w:val="-1"/>
        </w:rPr>
        <w:t> </w:t>
      </w:r>
      <w:r>
        <w:rPr/>
        <w:t>have been</w:t>
      </w:r>
      <w:r>
        <w:rPr>
          <w:spacing w:val="-1"/>
        </w:rPr>
        <w:t> </w:t>
      </w:r>
      <w:r>
        <w:rPr/>
        <w:t>proposed</w:t>
      </w:r>
      <w:r>
        <w:rPr>
          <w:spacing w:val="-1"/>
        </w:rPr>
        <w:t> </w:t>
      </w:r>
      <w:r>
        <w:rPr/>
        <w:t>to</w:t>
      </w:r>
      <w:r>
        <w:rPr>
          <w:spacing w:val="-1"/>
        </w:rPr>
        <w:t> </w:t>
      </w:r>
      <w:r>
        <w:rPr/>
        <w:t>explain</w:t>
      </w:r>
      <w:r>
        <w:rPr>
          <w:spacing w:val="-1"/>
        </w:rPr>
        <w:t> </w:t>
      </w:r>
      <w:r>
        <w:rPr/>
        <w:t>the</w:t>
      </w:r>
      <w:r>
        <w:rPr>
          <w:spacing w:val="-2"/>
        </w:rPr>
        <w:t> </w:t>
      </w:r>
      <w:r>
        <w:rPr/>
        <w:t>differences</w:t>
      </w:r>
      <w:r>
        <w:rPr>
          <w:spacing w:val="-1"/>
        </w:rPr>
        <w:t> </w:t>
      </w:r>
      <w:r>
        <w:rPr/>
        <w:t>in susceptibility</w:t>
      </w:r>
      <w:r>
        <w:rPr>
          <w:spacing w:val="-9"/>
        </w:rPr>
        <w:t> </w:t>
      </w:r>
      <w:r>
        <w:rPr/>
        <w:t>to</w:t>
      </w:r>
      <w:r>
        <w:rPr>
          <w:spacing w:val="-1"/>
        </w:rPr>
        <w:t> </w:t>
      </w:r>
      <w:r>
        <w:rPr/>
        <w:t>malaria in respect to the level of cytokines expressed between the primigravidae and multigravidae woman (Ricke</w:t>
      </w:r>
      <w:r>
        <w:rPr>
          <w:i/>
        </w:rPr>
        <w:t>et al.,</w:t>
      </w:r>
      <w:r>
        <w:rPr/>
        <w:t>2000; Iona, 2001).</w:t>
      </w:r>
    </w:p>
    <w:p>
      <w:pPr>
        <w:pStyle w:val="BodyText"/>
        <w:spacing w:before="1"/>
      </w:pPr>
    </w:p>
    <w:p>
      <w:pPr>
        <w:pStyle w:val="BodyText"/>
        <w:spacing w:line="480" w:lineRule="auto"/>
        <w:ind w:left="560" w:right="794"/>
        <w:jc w:val="both"/>
      </w:pPr>
      <w:r>
        <w:rPr/>
        <w:t>As regardsthe degree of parasitaemia, the data in this study revealed that both pro and anti- inflammatory cytokineswere moreexpressed in moderate parasitaemia than mild</w:t>
      </w:r>
      <w:r>
        <w:rPr>
          <w:spacing w:val="80"/>
        </w:rPr>
        <w:t> </w:t>
      </w:r>
      <w:r>
        <w:rPr/>
        <w:t>parasitaemia. The finding was at variance with that of Nmorsi </w:t>
      </w:r>
      <w:r>
        <w:rPr>
          <w:i/>
        </w:rPr>
        <w:t>et al.,</w:t>
      </w:r>
      <w:r>
        <w:rPr/>
        <w:t>(2010</w:t>
      </w:r>
      <w:r>
        <w:rPr>
          <w:i/>
        </w:rPr>
        <w:t>) </w:t>
      </w:r>
      <w:r>
        <w:rPr/>
        <w:t>where IL-4 and IL-10 were significantly elevated in mild infection than moderate infection. This result suggests that the increased parasitaemia may play a role in cytokine expression even in asymptomatic subjects. Also, the corresponding expression of the anti-inflammatory cytokines is thought to reflect early and effective immune response to malaria. In the same perspective, the total leucocyte count was increased in moderate parasitaemia than mild parasitaemia. This showed that increased leucocyte count may be dependent on parasitaemia where increased parasitaemia may result in the release of more WBC by the myeloid cells.</w:t>
      </w:r>
    </w:p>
    <w:p>
      <w:pPr>
        <w:pStyle w:val="BodyText"/>
        <w:spacing w:before="1"/>
      </w:pPr>
    </w:p>
    <w:p>
      <w:pPr>
        <w:pStyle w:val="BodyText"/>
        <w:spacing w:line="480" w:lineRule="auto"/>
        <w:ind w:left="560" w:right="798"/>
        <w:jc w:val="both"/>
      </w:pPr>
      <w:r>
        <w:rPr/>
        <w:t>According to WHO standard, anaemia in pregnancy is present when haemoglobin concentration in the peripheral blood is &lt;110g/L. In this study, anaemia was found to be prevalent</w:t>
      </w:r>
      <w:r>
        <w:rPr>
          <w:spacing w:val="2"/>
        </w:rPr>
        <w:t> </w:t>
      </w:r>
      <w:r>
        <w:rPr/>
        <w:t>in</w:t>
      </w:r>
      <w:r>
        <w:rPr>
          <w:spacing w:val="2"/>
        </w:rPr>
        <w:t> </w:t>
      </w:r>
      <w:r>
        <w:rPr/>
        <w:t>64%</w:t>
      </w:r>
      <w:r>
        <w:rPr>
          <w:spacing w:val="1"/>
        </w:rPr>
        <w:t> </w:t>
      </w:r>
      <w:r>
        <w:rPr/>
        <w:t>of</w:t>
      </w:r>
      <w:r>
        <w:rPr>
          <w:spacing w:val="1"/>
        </w:rPr>
        <w:t> </w:t>
      </w:r>
      <w:r>
        <w:rPr/>
        <w:t>the</w:t>
      </w:r>
      <w:r>
        <w:rPr>
          <w:spacing w:val="6"/>
        </w:rPr>
        <w:t> </w:t>
      </w:r>
      <w:r>
        <w:rPr/>
        <w:t>malaria infected</w:t>
      </w:r>
      <w:r>
        <w:rPr>
          <w:spacing w:val="2"/>
        </w:rPr>
        <w:t> </w:t>
      </w:r>
      <w:r>
        <w:rPr/>
        <w:t>pregnant</w:t>
      </w:r>
      <w:r>
        <w:rPr>
          <w:spacing w:val="2"/>
        </w:rPr>
        <w:t> </w:t>
      </w:r>
      <w:r>
        <w:rPr/>
        <w:t>subjects.</w:t>
      </w:r>
      <w:r>
        <w:rPr>
          <w:spacing w:val="2"/>
        </w:rPr>
        <w:t> </w:t>
      </w:r>
      <w:r>
        <w:rPr/>
        <w:t>The prevalence</w:t>
      </w:r>
      <w:r>
        <w:rPr>
          <w:spacing w:val="1"/>
        </w:rPr>
        <w:t> </w:t>
      </w:r>
      <w:r>
        <w:rPr/>
        <w:t>of</w:t>
      </w:r>
      <w:r>
        <w:rPr>
          <w:spacing w:val="1"/>
        </w:rPr>
        <w:t> </w:t>
      </w:r>
      <w:r>
        <w:rPr/>
        <w:t>anaemia</w:t>
      </w:r>
      <w:r>
        <w:rPr>
          <w:spacing w:val="3"/>
        </w:rPr>
        <w:t> </w:t>
      </w:r>
      <w:r>
        <w:rPr/>
        <w:t>at</w:t>
      </w:r>
      <w:r>
        <w:rPr>
          <w:spacing w:val="3"/>
        </w:rPr>
        <w:t> </w:t>
      </w:r>
      <w:r>
        <w:rPr>
          <w:spacing w:val="-2"/>
        </w:rPr>
        <w:t>first</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antenatal visit in this study</w:t>
      </w:r>
      <w:r>
        <w:rPr>
          <w:spacing w:val="-5"/>
        </w:rPr>
        <w:t> </w:t>
      </w:r>
      <w:r>
        <w:rPr/>
        <w:t>was lower</w:t>
      </w:r>
      <w:r>
        <w:rPr>
          <w:spacing w:val="-1"/>
        </w:rPr>
        <w:t> </w:t>
      </w:r>
      <w:r>
        <w:rPr/>
        <w:t>than</w:t>
      </w:r>
      <w:r>
        <w:rPr>
          <w:spacing w:val="-1"/>
        </w:rPr>
        <w:t> </w:t>
      </w:r>
      <w:r>
        <w:rPr/>
        <w:t>94.07%</w:t>
      </w:r>
      <w:r>
        <w:rPr>
          <w:spacing w:val="-1"/>
        </w:rPr>
        <w:t> </w:t>
      </w:r>
      <w:r>
        <w:rPr/>
        <w:t>reported by</w:t>
      </w:r>
      <w:r>
        <w:rPr>
          <w:spacing w:val="-5"/>
        </w:rPr>
        <w:t> </w:t>
      </w:r>
      <w:r>
        <w:rPr/>
        <w:t>Nduka </w:t>
      </w:r>
      <w:r>
        <w:rPr>
          <w:i/>
        </w:rPr>
        <w:t>et al.,</w:t>
      </w:r>
      <w:r>
        <w:rPr/>
        <w:t>(2006). It did not differ from 60.8% reported by Okafor </w:t>
      </w:r>
      <w:r>
        <w:rPr>
          <w:i/>
        </w:rPr>
        <w:t>et al.,</w:t>
      </w:r>
      <w:r>
        <w:rPr/>
        <w:t>(2012),59.6% repoted by Agan </w:t>
      </w:r>
      <w:r>
        <w:rPr>
          <w:i/>
        </w:rPr>
        <w:t>et al.,</w:t>
      </w:r>
      <w:r>
        <w:rPr/>
        <w:t>(2010), 62.4% reported by Ogbodo </w:t>
      </w:r>
      <w:r>
        <w:rPr>
          <w:i/>
        </w:rPr>
        <w:t>et al.,</w:t>
      </w:r>
      <w:r>
        <w:rPr/>
        <w:t>(2009) and 66% reported by Erhabor </w:t>
      </w:r>
      <w:r>
        <w:rPr>
          <w:i/>
        </w:rPr>
        <w:t>et al.,</w:t>
      </w:r>
      <w:r>
        <w:rPr/>
        <w:t>(2010). Conversely, it was higher than 30% reported by Douamba </w:t>
      </w:r>
      <w:r>
        <w:rPr>
          <w:i/>
        </w:rPr>
        <w:t>et al.,</w:t>
      </w:r>
      <w:r>
        <w:rPr/>
        <w:t>(2012) and 20.3% reported</w:t>
      </w:r>
      <w:r>
        <w:rPr>
          <w:spacing w:val="40"/>
        </w:rPr>
        <w:t> </w:t>
      </w:r>
      <w:r>
        <w:rPr/>
        <w:t>by Buseri </w:t>
      </w:r>
      <w:r>
        <w:rPr>
          <w:i/>
        </w:rPr>
        <w:t>et al.,</w:t>
      </w:r>
      <w:r>
        <w:rPr/>
        <w:t>(2008). The difference in the prevalence rates could be related to various levels of transmission of malaria in different locations and possible interactions of other aetiological factors of anaemia in pregnancy.</w:t>
      </w:r>
    </w:p>
    <w:p>
      <w:pPr>
        <w:pStyle w:val="BodyText"/>
        <w:spacing w:before="1"/>
      </w:pPr>
    </w:p>
    <w:p>
      <w:pPr>
        <w:pStyle w:val="BodyText"/>
        <w:spacing w:line="480" w:lineRule="auto"/>
        <w:ind w:left="560" w:right="794"/>
        <w:jc w:val="both"/>
      </w:pPr>
      <w:r>
        <w:rPr/>
        <w:t>The prevalence rate of anaemia in pregnant women in this study is high and worrisome. The reasons were not far-fetched. It may be related to several factors such as dirty environment, government‟s approach to prevention and treatment of malaria and the attitude of most pregnant women to combating malaria. On the environment, the stagnant water in drainages provides enabling habitat for the breeding of mosquitoes. On the part of the government, the inability to curb the incessant and protracted industrial action (strike) in the health sector which shuts down the medical centers could contribute adversely to the pregnant women not having access to antenatal cares.Also the situation where Insecticide Treated Nets (ITNs)are not adequate and evenly distributed contributes to the persistently increased rate of anaemia.As for the subjects, it is possible for some pregnant women to sleep outside the Insecticide Treated Nets thereby exposing themselves to mosquito bites. Moreover, greater number of pregnant women report to antenatal late mostly in the second and third trimester paving way for late administrations of necessary interventions.Furthermore, some pregnant women resort to intake of antimalarial drugs from drug vendors without considering the efficacy of such drugs. This havecontributed to the high rate ofanaemia due to malaria asthe efficacy of these drugs cannot be guaranteed even in the wave of prevailing fake and counterfeit drugs.Granted that the recruited pregnant women had malaria infection, the tendency</w:t>
      </w:r>
      <w:r>
        <w:rPr>
          <w:spacing w:val="36"/>
        </w:rPr>
        <w:t>  </w:t>
      </w:r>
      <w:r>
        <w:rPr/>
        <w:t>for</w:t>
      </w:r>
      <w:r>
        <w:rPr>
          <w:spacing w:val="41"/>
        </w:rPr>
        <w:t>  </w:t>
      </w:r>
      <w:r>
        <w:rPr/>
        <w:t>susceptibility</w:t>
      </w:r>
      <w:r>
        <w:rPr>
          <w:spacing w:val="38"/>
        </w:rPr>
        <w:t>  </w:t>
      </w:r>
      <w:r>
        <w:rPr/>
        <w:t>to</w:t>
      </w:r>
      <w:r>
        <w:rPr>
          <w:spacing w:val="42"/>
        </w:rPr>
        <w:t>  </w:t>
      </w:r>
      <w:r>
        <w:rPr/>
        <w:t>other</w:t>
      </w:r>
      <w:r>
        <w:rPr>
          <w:spacing w:val="41"/>
        </w:rPr>
        <w:t>  </w:t>
      </w:r>
      <w:r>
        <w:rPr/>
        <w:t>infections</w:t>
      </w:r>
      <w:r>
        <w:rPr>
          <w:spacing w:val="44"/>
        </w:rPr>
        <w:t>  </w:t>
      </w:r>
      <w:r>
        <w:rPr/>
        <w:t>was</w:t>
      </w:r>
      <w:r>
        <w:rPr>
          <w:spacing w:val="42"/>
        </w:rPr>
        <w:t>  </w:t>
      </w:r>
      <w:r>
        <w:rPr/>
        <w:t>possible.</w:t>
      </w:r>
      <w:r>
        <w:rPr>
          <w:spacing w:val="43"/>
        </w:rPr>
        <w:t>  </w:t>
      </w:r>
      <w:r>
        <w:rPr/>
        <w:t>Infections</w:t>
      </w:r>
      <w:r>
        <w:rPr>
          <w:spacing w:val="42"/>
        </w:rPr>
        <w:t>  </w:t>
      </w:r>
      <w:r>
        <w:rPr/>
        <w:t>from</w:t>
      </w:r>
      <w:r>
        <w:rPr>
          <w:spacing w:val="42"/>
        </w:rPr>
        <w:t>  </w:t>
      </w:r>
      <w:r>
        <w:rPr>
          <w:spacing w:val="-5"/>
        </w:rPr>
        <w:t>the</w:t>
      </w:r>
    </w:p>
    <w:p>
      <w:pPr>
        <w:spacing w:after="0" w:line="480" w:lineRule="auto"/>
        <w:jc w:val="both"/>
        <w:sectPr>
          <w:pgSz w:w="11910" w:h="16840"/>
          <w:pgMar w:header="0" w:footer="1067" w:top="1060" w:bottom="1260" w:left="880" w:right="640"/>
        </w:sectPr>
      </w:pPr>
    </w:p>
    <w:p>
      <w:pPr>
        <w:pStyle w:val="BodyText"/>
        <w:spacing w:line="480" w:lineRule="auto" w:before="70"/>
        <w:ind w:left="560" w:right="797"/>
        <w:jc w:val="both"/>
      </w:pPr>
      <w:r>
        <w:rPr/>
        <w:t>gastrointestinal tract such as hookworm are known to contribute to the anaemia Baidoo </w:t>
      </w:r>
      <w:r>
        <w:rPr>
          <w:i/>
        </w:rPr>
        <w:t>et al.,</w:t>
      </w:r>
      <w:r>
        <w:rPr/>
        <w:t>(2010). In view of the result of this study, screening of iron status of pregnant women could be reviewed and expanded to include investigation on gastrointestinal tract and genito- urinary tract infections.</w:t>
      </w:r>
    </w:p>
    <w:p>
      <w:pPr>
        <w:pStyle w:val="BodyText"/>
        <w:spacing w:line="480" w:lineRule="auto" w:before="1"/>
        <w:ind w:left="560" w:right="796"/>
        <w:jc w:val="both"/>
      </w:pPr>
      <w:r>
        <w:rPr/>
        <w:t>Considering the severity of anaemia among the malaria infected pregnant women,56.9% and 7.6% were recorded formild and moderate anaemias respectively. That severe anaemia was not observed coupled with low prevalence of moderate anaemia could be due to the fact that only apparently healthy pregnant women who were on first antenatal bookingwere enrolled while those with clinical malaria were excluded. Also, it could be attributed to wide use of haematinics and prophylactic antimalarials prior to antenatal booking. It is a common</w:t>
      </w:r>
      <w:r>
        <w:rPr>
          <w:spacing w:val="80"/>
        </w:rPr>
        <w:t> </w:t>
      </w:r>
      <w:r>
        <w:rPr/>
        <w:t>practice in Nigeria for women in particular to place themselves on antimalarials and haematinics.This study also revealed 62% prevalence of anaemia among the uninfected pregnant women and by severity, 56.45% mild anaemia, 3.23% moderate while 3.23%had severe anaemia was similar to the result obtained by Erhabor </w:t>
      </w:r>
      <w:r>
        <w:rPr>
          <w:i/>
        </w:rPr>
        <w:t>et al.,</w:t>
      </w:r>
      <w:r>
        <w:rPr/>
        <w:t>(2010) who reported 48% anaemia. The incidence and severity of anaemia may be used as indicators of the several health</w:t>
      </w:r>
      <w:r>
        <w:rPr>
          <w:spacing w:val="-3"/>
        </w:rPr>
        <w:t> </w:t>
      </w:r>
      <w:r>
        <w:rPr/>
        <w:t>conditions</w:t>
      </w:r>
      <w:r>
        <w:rPr>
          <w:spacing w:val="-3"/>
        </w:rPr>
        <w:t> </w:t>
      </w:r>
      <w:r>
        <w:rPr/>
        <w:t>of</w:t>
      </w:r>
      <w:r>
        <w:rPr>
          <w:spacing w:val="-3"/>
        </w:rPr>
        <w:t> </w:t>
      </w:r>
      <w:r>
        <w:rPr/>
        <w:t>the</w:t>
      </w:r>
      <w:r>
        <w:rPr>
          <w:spacing w:val="-5"/>
        </w:rPr>
        <w:t> </w:t>
      </w:r>
      <w:r>
        <w:rPr/>
        <w:t>pregnant</w:t>
      </w:r>
      <w:r>
        <w:rPr>
          <w:spacing w:val="-3"/>
        </w:rPr>
        <w:t> </w:t>
      </w:r>
      <w:r>
        <w:rPr/>
        <w:t>women</w:t>
      </w:r>
      <w:r>
        <w:rPr>
          <w:spacing w:val="-2"/>
        </w:rPr>
        <w:t> </w:t>
      </w:r>
      <w:r>
        <w:rPr/>
        <w:t>or</w:t>
      </w:r>
      <w:r>
        <w:rPr>
          <w:spacing w:val="-3"/>
        </w:rPr>
        <w:t> </w:t>
      </w:r>
      <w:r>
        <w:rPr/>
        <w:t>women</w:t>
      </w:r>
      <w:r>
        <w:rPr>
          <w:spacing w:val="-3"/>
        </w:rPr>
        <w:t> </w:t>
      </w:r>
      <w:r>
        <w:rPr/>
        <w:t>of</w:t>
      </w:r>
      <w:r>
        <w:rPr>
          <w:spacing w:val="-3"/>
        </w:rPr>
        <w:t> </w:t>
      </w:r>
      <w:r>
        <w:rPr/>
        <w:t>the</w:t>
      </w:r>
      <w:r>
        <w:rPr>
          <w:spacing w:val="-5"/>
        </w:rPr>
        <w:t> </w:t>
      </w:r>
      <w:r>
        <w:rPr/>
        <w:t>reproductive</w:t>
      </w:r>
      <w:r>
        <w:rPr>
          <w:spacing w:val="-2"/>
        </w:rPr>
        <w:t> </w:t>
      </w:r>
      <w:r>
        <w:rPr/>
        <w:t>age.</w:t>
      </w:r>
      <w:r>
        <w:rPr>
          <w:spacing w:val="-1"/>
        </w:rPr>
        <w:t> </w:t>
      </w:r>
      <w:r>
        <w:rPr/>
        <w:t>In</w:t>
      </w:r>
      <w:r>
        <w:rPr>
          <w:spacing w:val="-1"/>
        </w:rPr>
        <w:t> </w:t>
      </w:r>
      <w:r>
        <w:rPr/>
        <w:t>addition,</w:t>
      </w:r>
      <w:r>
        <w:rPr>
          <w:spacing w:val="-3"/>
        </w:rPr>
        <w:t> </w:t>
      </w:r>
      <w:r>
        <w:rPr/>
        <w:t>some subjects that might be anaemic were undetected and unattended to. Also, other factors, apart from malaria, may contribute to the anaemia.Suchfactors include deficiencies of iron, folic acid, zinc and copper.</w:t>
      </w:r>
    </w:p>
    <w:p>
      <w:pPr>
        <w:pStyle w:val="BodyText"/>
        <w:spacing w:before="2"/>
      </w:pPr>
    </w:p>
    <w:p>
      <w:pPr>
        <w:pStyle w:val="BodyText"/>
        <w:spacing w:line="480" w:lineRule="auto"/>
        <w:ind w:left="560" w:right="795"/>
        <w:jc w:val="both"/>
      </w:pPr>
      <w:r>
        <w:rPr/>
        <w:t>On the distribution of iron in the store compartment shown by the concentration of serum ferritin(SF) ofmalaria infected pregnant women, 25.6% had decreased iron store while 2.0% had elevated iron store. But with</w:t>
      </w:r>
      <w:r>
        <w:rPr>
          <w:spacing w:val="-1"/>
        </w:rPr>
        <w:t> </w:t>
      </w:r>
      <w:r>
        <w:rPr/>
        <w:t>the malaria uninfected pregnant women, 24% had decreased iron</w:t>
      </w:r>
      <w:r>
        <w:rPr>
          <w:spacing w:val="-1"/>
        </w:rPr>
        <w:t> </w:t>
      </w:r>
      <w:r>
        <w:rPr/>
        <w:t>store</w:t>
      </w:r>
      <w:r>
        <w:rPr>
          <w:spacing w:val="-1"/>
        </w:rPr>
        <w:t> </w:t>
      </w:r>
      <w:r>
        <w:rPr/>
        <w:t>while</w:t>
      </w:r>
      <w:r>
        <w:rPr>
          <w:spacing w:val="-1"/>
        </w:rPr>
        <w:t> </w:t>
      </w:r>
      <w:r>
        <w:rPr/>
        <w:t>there</w:t>
      </w:r>
      <w:r>
        <w:rPr>
          <w:spacing w:val="-1"/>
        </w:rPr>
        <w:t> </w:t>
      </w:r>
      <w:r>
        <w:rPr/>
        <w:t>was no elevated</w:t>
      </w:r>
      <w:r>
        <w:rPr>
          <w:spacing w:val="-1"/>
        </w:rPr>
        <w:t> </w:t>
      </w:r>
      <w:r>
        <w:rPr/>
        <w:t>iron store.The</w:t>
      </w:r>
      <w:r>
        <w:rPr>
          <w:spacing w:val="-1"/>
        </w:rPr>
        <w:t> </w:t>
      </w:r>
      <w:r>
        <w:rPr/>
        <w:t>decrease</w:t>
      </w:r>
      <w:r>
        <w:rPr>
          <w:spacing w:val="-1"/>
        </w:rPr>
        <w:t> </w:t>
      </w:r>
      <w:r>
        <w:rPr/>
        <w:t>in the</w:t>
      </w:r>
      <w:r>
        <w:rPr>
          <w:spacing w:val="-1"/>
        </w:rPr>
        <w:t> </w:t>
      </w:r>
      <w:r>
        <w:rPr/>
        <w:t>store</w:t>
      </w:r>
      <w:r>
        <w:rPr>
          <w:spacing w:val="-1"/>
        </w:rPr>
        <w:t> </w:t>
      </w:r>
      <w:r>
        <w:rPr/>
        <w:t>iron</w:t>
      </w:r>
      <w:r>
        <w:rPr>
          <w:spacing w:val="-1"/>
        </w:rPr>
        <w:t> </w:t>
      </w:r>
      <w:r>
        <w:rPr/>
        <w:t>is because</w:t>
      </w:r>
      <w:r>
        <w:rPr>
          <w:spacing w:val="-1"/>
        </w:rPr>
        <w:t> </w:t>
      </w:r>
      <w:r>
        <w:rPr/>
        <w:t>iron is consistently moved from the store to match with the increased requirement for iron during pregnancy (Bothwell, 2000).</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Pregnancy is a time of considerable maternal adaptation during which iron status is affected. Table 4.13 showed thathaemoglobin concentration wasreduced in the malaria infected than the uninfected pregnant women. The result of this study was in agreement with Buseri </w:t>
      </w:r>
      <w:r>
        <w:rPr>
          <w:i/>
        </w:rPr>
        <w:t>et al.,</w:t>
      </w:r>
      <w:r>
        <w:rPr/>
        <w:t>(2008) and Brabin </w:t>
      </w:r>
      <w:r>
        <w:rPr>
          <w:i/>
        </w:rPr>
        <w:t>et al.,</w:t>
      </w:r>
      <w:r>
        <w:rPr/>
        <w:t>(1991) who did not find any statistically significant difference in the mean haemoglobin concentration of the pregnant women with and those without malaria infection. On the other hand, it was at variance with Erhabor </w:t>
      </w:r>
      <w:r>
        <w:rPr>
          <w:i/>
        </w:rPr>
        <w:t>et al.,</w:t>
      </w:r>
      <w:r>
        <w:rPr/>
        <w:t>(2010) who reported a significantly reduced level of haemoglobin between the infected and uninfected pregnant women. The</w:t>
      </w:r>
      <w:r>
        <w:rPr>
          <w:spacing w:val="-2"/>
        </w:rPr>
        <w:t> </w:t>
      </w:r>
      <w:r>
        <w:rPr/>
        <w:t>disagreement could be</w:t>
      </w:r>
      <w:r>
        <w:rPr>
          <w:spacing w:val="-1"/>
        </w:rPr>
        <w:t> </w:t>
      </w:r>
      <w:r>
        <w:rPr/>
        <w:t>that this study</w:t>
      </w:r>
      <w:r>
        <w:rPr>
          <w:spacing w:val="-2"/>
        </w:rPr>
        <w:t> </w:t>
      </w:r>
      <w:r>
        <w:rPr/>
        <w:t>was on asymptomatic</w:t>
      </w:r>
      <w:r>
        <w:rPr>
          <w:spacing w:val="-1"/>
        </w:rPr>
        <w:t> </w:t>
      </w:r>
      <w:r>
        <w:rPr/>
        <w:t>subjects whereas the subjects in the study</w:t>
      </w:r>
      <w:r>
        <w:rPr>
          <w:spacing w:val="-5"/>
        </w:rPr>
        <w:t> </w:t>
      </w:r>
      <w:r>
        <w:rPr/>
        <w:t>by Erhabor </w:t>
      </w:r>
      <w:r>
        <w:rPr>
          <w:i/>
        </w:rPr>
        <w:t>et al.,</w:t>
      </w:r>
      <w:r>
        <w:rPr/>
        <w:t>(2010) included pregnant women with clinical malaria. Malaria contributes to reducinghaemoglobin levels through direct haemolysis, accelerated splenic removal of red blood cells and reduced erythropoiesis. In some areas of malaria endemicity however, other factors that reduces haemoglobin concentration have been identified and these include nutritional and non-nutritional factors (Buseri </w:t>
      </w:r>
      <w:r>
        <w:rPr>
          <w:i/>
        </w:rPr>
        <w:t>et al.,</w:t>
      </w:r>
      <w:r>
        <w:rPr/>
        <w:t>2008).</w:t>
      </w:r>
    </w:p>
    <w:p>
      <w:pPr>
        <w:pStyle w:val="BodyText"/>
        <w:spacing w:before="2"/>
      </w:pPr>
    </w:p>
    <w:p>
      <w:pPr>
        <w:pStyle w:val="BodyText"/>
        <w:spacing w:line="480" w:lineRule="auto"/>
        <w:ind w:left="560" w:right="793"/>
        <w:jc w:val="both"/>
      </w:pPr>
      <w:r>
        <w:rPr/>
        <w:t>The soluble transferrin receptor (sTfR) was significantly higher in the malaria infected pregnant women than the uninfected. It suggests that asymptomatic malaria may also be associated with increased haemolysis of red blood cells.Elevated sTfR concentration is possible in subjects who had asymptomatic or mild malariaand this occurs because of haemolysis of red blood cells (Mockenhaupt,1999; Menedez </w:t>
      </w:r>
      <w:r>
        <w:rPr>
          <w:i/>
        </w:rPr>
        <w:t>et al.,</w:t>
      </w:r>
      <w:r>
        <w:rPr/>
        <w:t>2000; Northrop-Clewes, 2008). Malariaand other conditionssuch as Glucose-6-phosphate dehydrogenase deficiency, sickle cells anaemia and thalassaemia that are associated with increased haemolysis of red blood cells, maylead to increased erythropoiesis. Increased erythropoiesis inturn, results in increased sTfR. (Singhal </w:t>
      </w:r>
      <w:r>
        <w:rPr>
          <w:i/>
        </w:rPr>
        <w:t>et al.,</w:t>
      </w:r>
      <w:r>
        <w:rPr/>
        <w:t>1993)</w:t>
      </w:r>
    </w:p>
    <w:p>
      <w:pPr>
        <w:pStyle w:val="BodyText"/>
        <w:spacing w:before="1"/>
      </w:pPr>
    </w:p>
    <w:p>
      <w:pPr>
        <w:pStyle w:val="BodyText"/>
        <w:spacing w:line="480" w:lineRule="auto" w:before="1"/>
        <w:ind w:left="560" w:right="795"/>
        <w:jc w:val="both"/>
      </w:pPr>
      <w:r>
        <w:rPr/>
        <w:t>In this study, the concentration of SF was increased in the infected pregnant than the uninfected pregnant women although it did not show any statistical relevance. The presence of</w:t>
      </w:r>
      <w:r>
        <w:rPr>
          <w:spacing w:val="58"/>
        </w:rPr>
        <w:t> </w:t>
      </w:r>
      <w:r>
        <w:rPr/>
        <w:t>the</w:t>
      </w:r>
      <w:r>
        <w:rPr>
          <w:spacing w:val="60"/>
        </w:rPr>
        <w:t> </w:t>
      </w:r>
      <w:r>
        <w:rPr/>
        <w:t>parasite</w:t>
      </w:r>
      <w:r>
        <w:rPr>
          <w:spacing w:val="60"/>
        </w:rPr>
        <w:t> </w:t>
      </w:r>
      <w:r>
        <w:rPr/>
        <w:t>can</w:t>
      </w:r>
      <w:r>
        <w:rPr>
          <w:spacing w:val="61"/>
        </w:rPr>
        <w:t> </w:t>
      </w:r>
      <w:r>
        <w:rPr/>
        <w:t>induce</w:t>
      </w:r>
      <w:r>
        <w:rPr>
          <w:spacing w:val="60"/>
        </w:rPr>
        <w:t> </w:t>
      </w:r>
      <w:r>
        <w:rPr/>
        <w:t>chronic</w:t>
      </w:r>
      <w:r>
        <w:rPr>
          <w:spacing w:val="60"/>
        </w:rPr>
        <w:t> </w:t>
      </w:r>
      <w:r>
        <w:rPr/>
        <w:t>or</w:t>
      </w:r>
      <w:r>
        <w:rPr>
          <w:spacing w:val="60"/>
        </w:rPr>
        <w:t> </w:t>
      </w:r>
      <w:r>
        <w:rPr/>
        <w:t>mild</w:t>
      </w:r>
      <w:r>
        <w:rPr>
          <w:spacing w:val="61"/>
        </w:rPr>
        <w:t> </w:t>
      </w:r>
      <w:r>
        <w:rPr/>
        <w:t>acute</w:t>
      </w:r>
      <w:r>
        <w:rPr>
          <w:spacing w:val="61"/>
        </w:rPr>
        <w:t> </w:t>
      </w:r>
      <w:r>
        <w:rPr/>
        <w:t>phase</w:t>
      </w:r>
      <w:r>
        <w:rPr>
          <w:spacing w:val="60"/>
        </w:rPr>
        <w:t> </w:t>
      </w:r>
      <w:r>
        <w:rPr/>
        <w:t>response</w:t>
      </w:r>
      <w:r>
        <w:rPr>
          <w:spacing w:val="60"/>
        </w:rPr>
        <w:t> </w:t>
      </w:r>
      <w:r>
        <w:rPr/>
        <w:t>even</w:t>
      </w:r>
      <w:r>
        <w:rPr>
          <w:spacing w:val="61"/>
        </w:rPr>
        <w:t> </w:t>
      </w:r>
      <w:r>
        <w:rPr/>
        <w:t>in</w:t>
      </w:r>
      <w:r>
        <w:rPr>
          <w:spacing w:val="62"/>
        </w:rPr>
        <w:t> </w:t>
      </w:r>
      <w:r>
        <w:rPr>
          <w:spacing w:val="-2"/>
        </w:rPr>
        <w:t>asymptomatic</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subjects resulting in elevated SF concentration. Besides, the inclusion of subjects with</w:t>
      </w:r>
      <w:r>
        <w:rPr>
          <w:spacing w:val="40"/>
        </w:rPr>
        <w:t> </w:t>
      </w:r>
      <w:r>
        <w:rPr/>
        <w:t>marked level of SF (&gt; 200 μg)that could be obtained in some disorders apart from malariagave rise to the elevated values of SF beyond that of uninfected non-pregnant women.Ordinarily, one may suggestexclusionof subjects with marked SF (&gt; 200 μg) but that may lead to loss of valuable diagnostic data.SF could be considerably influenced by malaria or inflammatory processes. Therefore SF could not reflect the exact iron content in the store in such conditions. For the actual iron concentration in the store, it might be ideal to adjust</w:t>
      </w:r>
      <w:r>
        <w:rPr>
          <w:spacing w:val="40"/>
        </w:rPr>
        <w:t> </w:t>
      </w:r>
      <w:r>
        <w:rPr/>
        <w:t>the</w:t>
      </w:r>
      <w:r>
        <w:rPr>
          <w:spacing w:val="-1"/>
        </w:rPr>
        <w:t> </w:t>
      </w:r>
      <w:r>
        <w:rPr/>
        <w:t>value</w:t>
      </w:r>
      <w:r>
        <w:rPr>
          <w:spacing w:val="-1"/>
        </w:rPr>
        <w:t> </w:t>
      </w:r>
      <w:r>
        <w:rPr/>
        <w:t>of SF using a</w:t>
      </w:r>
      <w:r>
        <w:rPr>
          <w:spacing w:val="-1"/>
        </w:rPr>
        <w:t> </w:t>
      </w:r>
      <w:r>
        <w:rPr/>
        <w:t>correction factor. This is in line</w:t>
      </w:r>
      <w:r>
        <w:rPr>
          <w:spacing w:val="-1"/>
        </w:rPr>
        <w:t> </w:t>
      </w:r>
      <w:r>
        <w:rPr/>
        <w:t>with the</w:t>
      </w:r>
      <w:r>
        <w:rPr>
          <w:spacing w:val="-1"/>
        </w:rPr>
        <w:t> </w:t>
      </w:r>
      <w:r>
        <w:rPr/>
        <w:t>opinion of (Odunukwe </w:t>
      </w:r>
      <w:r>
        <w:rPr>
          <w:i/>
        </w:rPr>
        <w:t>et al., </w:t>
      </w:r>
      <w:r>
        <w:rPr/>
        <w:t>2000) who suggested a correction formula: Serum Ferritin obtained – (0.08μg x malaria density) = Actual ferritin level μg/l. The usefulness of this formular has not been confirmed (Northrop –Clewes, 2008).</w:t>
      </w:r>
    </w:p>
    <w:p>
      <w:pPr>
        <w:pStyle w:val="BodyText"/>
        <w:spacing w:before="2"/>
      </w:pPr>
    </w:p>
    <w:p>
      <w:pPr>
        <w:pStyle w:val="BodyText"/>
        <w:spacing w:line="480" w:lineRule="auto"/>
        <w:ind w:left="560" w:right="794"/>
        <w:jc w:val="both"/>
      </w:pPr>
      <w:r>
        <w:rPr/>
        <w:t>C-reactive protein (C-RP) was found to be elevated in the malaria infected pregnant than the uninfected</w:t>
      </w:r>
      <w:r>
        <w:rPr>
          <w:spacing w:val="-2"/>
        </w:rPr>
        <w:t> </w:t>
      </w:r>
      <w:r>
        <w:rPr/>
        <w:t>group.</w:t>
      </w:r>
      <w:r>
        <w:rPr>
          <w:spacing w:val="-3"/>
        </w:rPr>
        <w:t> </w:t>
      </w:r>
      <w:r>
        <w:rPr/>
        <w:t>This</w:t>
      </w:r>
      <w:r>
        <w:rPr>
          <w:spacing w:val="-2"/>
        </w:rPr>
        <w:t> </w:t>
      </w:r>
      <w:r>
        <w:rPr/>
        <w:t>is an</w:t>
      </w:r>
      <w:r>
        <w:rPr>
          <w:spacing w:val="-2"/>
        </w:rPr>
        <w:t> </w:t>
      </w:r>
      <w:r>
        <w:rPr/>
        <w:t>indication</w:t>
      </w:r>
      <w:r>
        <w:rPr>
          <w:spacing w:val="-2"/>
        </w:rPr>
        <w:t> </w:t>
      </w:r>
      <w:r>
        <w:rPr/>
        <w:t>that</w:t>
      </w:r>
      <w:r>
        <w:rPr>
          <w:spacing w:val="-2"/>
        </w:rPr>
        <w:t> </w:t>
      </w:r>
      <w:r>
        <w:rPr/>
        <w:t>infection/inflammation</w:t>
      </w:r>
      <w:r>
        <w:rPr>
          <w:spacing w:val="-2"/>
        </w:rPr>
        <w:t> </w:t>
      </w:r>
      <w:r>
        <w:rPr/>
        <w:t>was</w:t>
      </w:r>
      <w:r>
        <w:rPr>
          <w:spacing w:val="-2"/>
        </w:rPr>
        <w:t> </w:t>
      </w:r>
      <w:r>
        <w:rPr/>
        <w:t>present</w:t>
      </w:r>
      <w:r>
        <w:rPr>
          <w:spacing w:val="-2"/>
        </w:rPr>
        <w:t> </w:t>
      </w:r>
      <w:r>
        <w:rPr/>
        <w:t>in</w:t>
      </w:r>
      <w:r>
        <w:rPr>
          <w:spacing w:val="-2"/>
        </w:rPr>
        <w:t> </w:t>
      </w:r>
      <w:r>
        <w:rPr/>
        <w:t>the</w:t>
      </w:r>
      <w:r>
        <w:rPr>
          <w:spacing w:val="-2"/>
        </w:rPr>
        <w:t> </w:t>
      </w:r>
      <w:r>
        <w:rPr/>
        <w:t>infected group and C-RP as an acute</w:t>
      </w:r>
      <w:r>
        <w:rPr>
          <w:spacing w:val="-1"/>
        </w:rPr>
        <w:t> </w:t>
      </w:r>
      <w:r>
        <w:rPr/>
        <w:t>phase</w:t>
      </w:r>
      <w:r>
        <w:rPr>
          <w:spacing w:val="-1"/>
        </w:rPr>
        <w:t> </w:t>
      </w:r>
      <w:r>
        <w:rPr/>
        <w:t>protein may</w:t>
      </w:r>
      <w:r>
        <w:rPr>
          <w:spacing w:val="-5"/>
        </w:rPr>
        <w:t> </w:t>
      </w:r>
      <w:r>
        <w:rPr/>
        <w:t>be elicited in suchimmune</w:t>
      </w:r>
      <w:r>
        <w:rPr>
          <w:spacing w:val="-1"/>
        </w:rPr>
        <w:t> </w:t>
      </w:r>
      <w:r>
        <w:rPr/>
        <w:t>response.</w:t>
      </w:r>
      <w:r>
        <w:rPr>
          <w:spacing w:val="40"/>
        </w:rPr>
        <w:t> </w:t>
      </w:r>
      <w:r>
        <w:rPr/>
        <w:t>Parasitic infection such as malaria, bacterial and viral infections or some other disorders induce immune response through various mechanisms that suppresseserythropoiesisand impairs nutritional status by reducing daily nutrient absorption and utilization.C-reactive protein (C- RP)</w:t>
      </w:r>
      <w:r>
        <w:rPr>
          <w:spacing w:val="8"/>
        </w:rPr>
        <w:t> </w:t>
      </w:r>
      <w:r>
        <w:rPr/>
        <w:t>rises</w:t>
      </w:r>
      <w:r>
        <w:rPr>
          <w:spacing w:val="11"/>
        </w:rPr>
        <w:t> </w:t>
      </w:r>
      <w:r>
        <w:rPr/>
        <w:t>sharply</w:t>
      </w:r>
      <w:r>
        <w:rPr>
          <w:spacing w:val="3"/>
        </w:rPr>
        <w:t> </w:t>
      </w:r>
      <w:r>
        <w:rPr/>
        <w:t>with</w:t>
      </w:r>
      <w:r>
        <w:rPr>
          <w:spacing w:val="11"/>
        </w:rPr>
        <w:t> </w:t>
      </w:r>
      <w:r>
        <w:rPr/>
        <w:t>the</w:t>
      </w:r>
      <w:r>
        <w:rPr>
          <w:spacing w:val="11"/>
        </w:rPr>
        <w:t> </w:t>
      </w:r>
      <w:r>
        <w:rPr/>
        <w:t>onset</w:t>
      </w:r>
      <w:r>
        <w:rPr>
          <w:spacing w:val="10"/>
        </w:rPr>
        <w:t> </w:t>
      </w:r>
      <w:r>
        <w:rPr/>
        <w:t>of</w:t>
      </w:r>
      <w:r>
        <w:rPr>
          <w:spacing w:val="10"/>
        </w:rPr>
        <w:t> </w:t>
      </w:r>
      <w:r>
        <w:rPr/>
        <w:t>immune</w:t>
      </w:r>
      <w:r>
        <w:rPr>
          <w:spacing w:val="10"/>
        </w:rPr>
        <w:t> </w:t>
      </w:r>
      <w:r>
        <w:rPr/>
        <w:t>response</w:t>
      </w:r>
      <w:r>
        <w:rPr>
          <w:spacing w:val="11"/>
        </w:rPr>
        <w:t> </w:t>
      </w:r>
      <w:r>
        <w:rPr/>
        <w:t>reaching</w:t>
      </w:r>
      <w:r>
        <w:rPr>
          <w:spacing w:val="11"/>
        </w:rPr>
        <w:t> </w:t>
      </w:r>
      <w:r>
        <w:rPr/>
        <w:t>peak</w:t>
      </w:r>
      <w:r>
        <w:rPr>
          <w:spacing w:val="10"/>
        </w:rPr>
        <w:t> </w:t>
      </w:r>
      <w:r>
        <w:rPr/>
        <w:t>concentrations</w:t>
      </w:r>
      <w:r>
        <w:rPr>
          <w:spacing w:val="11"/>
        </w:rPr>
        <w:t> </w:t>
      </w:r>
      <w:r>
        <w:rPr/>
        <w:t>within</w:t>
      </w:r>
      <w:r>
        <w:rPr>
          <w:spacing w:val="11"/>
        </w:rPr>
        <w:t> </w:t>
      </w:r>
      <w:r>
        <w:rPr>
          <w:spacing w:val="-5"/>
        </w:rPr>
        <w:t>24</w:t>
      </w:r>
    </w:p>
    <w:p>
      <w:pPr>
        <w:pStyle w:val="BodyText"/>
        <w:spacing w:line="480" w:lineRule="auto" w:before="1"/>
        <w:ind w:left="560" w:right="797"/>
        <w:jc w:val="both"/>
      </w:pPr>
      <w:r>
        <w:rPr/>
        <w:t>– 48 hours. Inflammatory processes following tissue injury, infection, malignancy, autoimmune diseases and cardiovascular diseases can result in elevated levels of cardiovascular reactive protein (Fred and Allan, 2006; Venugopal, 2007).</w:t>
      </w:r>
    </w:p>
    <w:p>
      <w:pPr>
        <w:pStyle w:val="BodyText"/>
      </w:pPr>
    </w:p>
    <w:p>
      <w:pPr>
        <w:pStyle w:val="BodyText"/>
        <w:spacing w:line="480" w:lineRule="auto"/>
        <w:ind w:left="560" w:right="794"/>
        <w:jc w:val="both"/>
      </w:pPr>
      <w:r>
        <w:rPr/>
        <w:t>With regards to age, gestational age and gravidity, (table 4.14) this study failed to find any consistency on the effect of age and gravidity oniron parameters. However, iron status was affected by gestational age. The data generated in this study followed the normal physiological</w:t>
      </w:r>
      <w:r>
        <w:rPr>
          <w:spacing w:val="29"/>
        </w:rPr>
        <w:t> </w:t>
      </w:r>
      <w:r>
        <w:rPr/>
        <w:t>pattern</w:t>
      </w:r>
      <w:r>
        <w:rPr>
          <w:spacing w:val="29"/>
        </w:rPr>
        <w:t> </w:t>
      </w:r>
      <w:r>
        <w:rPr/>
        <w:t>in</w:t>
      </w:r>
      <w:r>
        <w:rPr>
          <w:spacing w:val="33"/>
        </w:rPr>
        <w:t> </w:t>
      </w:r>
      <w:r>
        <w:rPr/>
        <w:t>which</w:t>
      </w:r>
      <w:r>
        <w:rPr>
          <w:spacing w:val="30"/>
        </w:rPr>
        <w:t> </w:t>
      </w:r>
      <w:r>
        <w:rPr/>
        <w:t>iron</w:t>
      </w:r>
      <w:r>
        <w:rPr>
          <w:spacing w:val="28"/>
        </w:rPr>
        <w:t> </w:t>
      </w:r>
      <w:r>
        <w:rPr/>
        <w:t>levels</w:t>
      </w:r>
      <w:r>
        <w:rPr>
          <w:spacing w:val="31"/>
        </w:rPr>
        <w:t> </w:t>
      </w:r>
      <w:r>
        <w:rPr/>
        <w:t>decreaseswith</w:t>
      </w:r>
      <w:r>
        <w:rPr>
          <w:spacing w:val="29"/>
        </w:rPr>
        <w:t> </w:t>
      </w:r>
      <w:r>
        <w:rPr/>
        <w:t>increasing</w:t>
      </w:r>
      <w:r>
        <w:rPr>
          <w:spacing w:val="30"/>
        </w:rPr>
        <w:t> </w:t>
      </w:r>
      <w:r>
        <w:rPr/>
        <w:t>gestational</w:t>
      </w:r>
      <w:r>
        <w:rPr>
          <w:spacing w:val="28"/>
        </w:rPr>
        <w:t> </w:t>
      </w:r>
      <w:r>
        <w:rPr/>
        <w:t>age.</w:t>
      </w:r>
      <w:r>
        <w:rPr>
          <w:spacing w:val="29"/>
        </w:rPr>
        <w:t> </w:t>
      </w:r>
      <w:r>
        <w:rPr/>
        <w:t>This</w:t>
      </w:r>
      <w:r>
        <w:rPr>
          <w:spacing w:val="30"/>
        </w:rPr>
        <w:t> </w:t>
      </w:r>
      <w:r>
        <w:rPr>
          <w:spacing w:val="-5"/>
        </w:rPr>
        <w:t>is</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expected as normal pregnancy progresses. Haemoglobin concentration could be high in the first trimester but reduces as pregnancy progresses to the second but tends to increase in the third trimester above the second trimester. The data clearly shows that the increased haemoglobin level in the first trimester could be as a result of reduced iron requirement since there is usually a temporary ceasation of menstruation in the first trimester. Moreover, the amount of iron transferred to the foetus is still minimal.With the second trimester, there is major expansion in the maternal red cell mass and this continues until the third trimester (Perlas </w:t>
      </w:r>
      <w:r>
        <w:rPr>
          <w:i/>
        </w:rPr>
        <w:t>et al.,</w:t>
      </w:r>
      <w:r>
        <w:rPr/>
        <w:t>1992). During this period, iron is transported through the placenta to the developing foetus therefore maternal functional and store iron are expected to be reduced.</w:t>
      </w:r>
      <w:r>
        <w:rPr>
          <w:spacing w:val="40"/>
        </w:rPr>
        <w:t> </w:t>
      </w:r>
      <w:r>
        <w:rPr/>
        <w:t>The slight increase in haemoglobin concentration in the third</w:t>
      </w:r>
      <w:r>
        <w:rPr>
          <w:spacing w:val="-2"/>
        </w:rPr>
        <w:t> </w:t>
      </w:r>
      <w:r>
        <w:rPr/>
        <w:t>trimester is expected because of less demand for iron by the maternal-foetal placental unit and the foetus. This is necessary to accommodate delivery that would be expected soonest.</w:t>
      </w:r>
      <w:r>
        <w:rPr>
          <w:spacing w:val="40"/>
        </w:rPr>
        <w:t> </w:t>
      </w:r>
      <w:r>
        <w:rPr/>
        <w:t>Another possibility to the increased level of iron in the third trimester could be that the pregnant women may have dabbled into intake of haematinics on their personal volition.</w:t>
      </w:r>
    </w:p>
    <w:p>
      <w:pPr>
        <w:pStyle w:val="BodyText"/>
        <w:spacing w:before="2"/>
      </w:pPr>
    </w:p>
    <w:p>
      <w:pPr>
        <w:pStyle w:val="BodyText"/>
        <w:spacing w:line="480" w:lineRule="auto"/>
        <w:ind w:left="560" w:right="795"/>
        <w:jc w:val="both"/>
      </w:pPr>
      <w:r>
        <w:rPr/>
        <w:t>In</w:t>
      </w:r>
      <w:r>
        <w:rPr>
          <w:spacing w:val="-3"/>
        </w:rPr>
        <w:t> </w:t>
      </w:r>
      <w:r>
        <w:rPr/>
        <w:t>this</w:t>
      </w:r>
      <w:r>
        <w:rPr>
          <w:spacing w:val="-3"/>
        </w:rPr>
        <w:t> </w:t>
      </w:r>
      <w:r>
        <w:rPr/>
        <w:t>study,</w:t>
      </w:r>
      <w:r>
        <w:rPr>
          <w:spacing w:val="-3"/>
        </w:rPr>
        <w:t> </w:t>
      </w:r>
      <w:r>
        <w:rPr/>
        <w:t>assessment</w:t>
      </w:r>
      <w:r>
        <w:rPr>
          <w:spacing w:val="-3"/>
        </w:rPr>
        <w:t> </w:t>
      </w:r>
      <w:r>
        <w:rPr/>
        <w:t>of</w:t>
      </w:r>
      <w:r>
        <w:rPr>
          <w:spacing w:val="-3"/>
        </w:rPr>
        <w:t> </w:t>
      </w:r>
      <w:r>
        <w:rPr/>
        <w:t>iron</w:t>
      </w:r>
      <w:r>
        <w:rPr>
          <w:spacing w:val="-3"/>
        </w:rPr>
        <w:t> </w:t>
      </w:r>
      <w:r>
        <w:rPr/>
        <w:t>status</w:t>
      </w:r>
      <w:r>
        <w:rPr>
          <w:spacing w:val="-2"/>
        </w:rPr>
        <w:t> </w:t>
      </w:r>
      <w:r>
        <w:rPr/>
        <w:t>made</w:t>
      </w:r>
      <w:r>
        <w:rPr>
          <w:spacing w:val="-4"/>
        </w:rPr>
        <w:t> </w:t>
      </w:r>
      <w:r>
        <w:rPr/>
        <w:t>use</w:t>
      </w:r>
      <w:r>
        <w:rPr>
          <w:spacing w:val="-3"/>
        </w:rPr>
        <w:t> </w:t>
      </w:r>
      <w:r>
        <w:rPr/>
        <w:t>of</w:t>
      </w:r>
      <w:r>
        <w:rPr>
          <w:spacing w:val="-3"/>
        </w:rPr>
        <w:t> </w:t>
      </w:r>
      <w:r>
        <w:rPr/>
        <w:t>values</w:t>
      </w:r>
      <w:r>
        <w:rPr>
          <w:spacing w:val="-3"/>
        </w:rPr>
        <w:t> </w:t>
      </w:r>
      <w:r>
        <w:rPr/>
        <w:t>of</w:t>
      </w:r>
      <w:r>
        <w:rPr>
          <w:spacing w:val="-3"/>
        </w:rPr>
        <w:t> </w:t>
      </w:r>
      <w:r>
        <w:rPr/>
        <w:t>haemoglobin,</w:t>
      </w:r>
      <w:r>
        <w:rPr>
          <w:spacing w:val="-1"/>
        </w:rPr>
        <w:t> </w:t>
      </w:r>
      <w:r>
        <w:rPr/>
        <w:t>soluble</w:t>
      </w:r>
      <w:r>
        <w:rPr>
          <w:spacing w:val="-3"/>
        </w:rPr>
        <w:t> </w:t>
      </w:r>
      <w:r>
        <w:rPr/>
        <w:t>transferrin receptor, serum ferritin and cardiovascular reactive protein. This is in conformity with the recommendation of Pippard and Hoffbrand, (2001) and Worwood and May, (2012) that emphasized the choice of parameters to embrace indices that would measure different iron compartments as well as evidence of infection and inflammation. Variations may occur with the</w:t>
      </w:r>
      <w:r>
        <w:rPr>
          <w:spacing w:val="-1"/>
        </w:rPr>
        <w:t> </w:t>
      </w:r>
      <w:r>
        <w:rPr/>
        <w:t>result of</w:t>
      </w:r>
      <w:r>
        <w:rPr>
          <w:spacing w:val="-1"/>
        </w:rPr>
        <w:t> </w:t>
      </w:r>
      <w:r>
        <w:rPr/>
        <w:t>other</w:t>
      </w:r>
      <w:r>
        <w:rPr>
          <w:spacing w:val="-1"/>
        </w:rPr>
        <w:t> </w:t>
      </w:r>
      <w:r>
        <w:rPr/>
        <w:t>studies as a result of the condition of</w:t>
      </w:r>
      <w:r>
        <w:rPr>
          <w:spacing w:val="-1"/>
        </w:rPr>
        <w:t> </w:t>
      </w:r>
      <w:r>
        <w:rPr/>
        <w:t>the recruited pregnant women and the inclusion criteria adopted.Whereas this study recruited asymptomatic malaria parasitized pregnant womenwho were not on iron supplements, moststudies recruited the entire pregnant women or anaemic pregnant women and even some pregnant womenon iron supplements. Variations may still occur as a result of the composition of different food or dietary intake</w:t>
      </w:r>
      <w:r>
        <w:rPr>
          <w:spacing w:val="40"/>
        </w:rPr>
        <w:t> </w:t>
      </w:r>
      <w:r>
        <w:rPr/>
        <w:t>and some cultural practices that may</w:t>
      </w:r>
      <w:r>
        <w:rPr>
          <w:spacing w:val="-2"/>
        </w:rPr>
        <w:t> </w:t>
      </w:r>
      <w:r>
        <w:rPr/>
        <w:t>be observed in some areas where geophagy</w:t>
      </w:r>
      <w:r>
        <w:rPr>
          <w:spacing w:val="-1"/>
        </w:rPr>
        <w:t> </w:t>
      </w:r>
      <w:r>
        <w:rPr/>
        <w:t>is practiced.</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firstLine="60"/>
        <w:jc w:val="both"/>
      </w:pPr>
      <w:r>
        <w:rPr/>
        <w:t>Most grain based diets may contain high phytate, and the soil with respect to those who practice geophagy, may contain some salts or Lead (Pb) that may inhibit iron absorption (Papanikolaou </w:t>
      </w:r>
      <w:r>
        <w:rPr>
          <w:i/>
        </w:rPr>
        <w:t>et al.,</w:t>
      </w:r>
      <w:r>
        <w:rPr/>
        <w:t>2005). Excess intake of diet saturated with copper may also result in increased levels of copper in the serum. Eventually, Iron absorption is negatively affected by elevatedlevels of copper (Tayrab </w:t>
      </w:r>
      <w:r>
        <w:rPr>
          <w:i/>
        </w:rPr>
        <w:t>et al.,</w:t>
      </w:r>
      <w:r>
        <w:rPr/>
        <w:t>2013). Moreover, iron deficiency or iron deficiency anaemia mayresults from inadequate intake of bioavailable iron promoters. Iron promoters enhance iron absorption. Molecules that promote iron absorption include vitamin A and ascorbic acid.</w:t>
      </w:r>
    </w:p>
    <w:p>
      <w:pPr>
        <w:pStyle w:val="BodyText"/>
        <w:spacing w:before="1"/>
      </w:pPr>
    </w:p>
    <w:p>
      <w:pPr>
        <w:pStyle w:val="BodyText"/>
        <w:spacing w:line="480" w:lineRule="auto"/>
        <w:ind w:left="560" w:right="797"/>
        <w:jc w:val="both"/>
      </w:pPr>
      <w:r>
        <w:rPr/>
        <w:t>Soluble transferrin receptor is a good indicator of tissue iron deficiency and values are independent of iron stores. Values of sTfR are not arbitrarily altered in response to inflammation, circardian and diurnal rhythm unlike in SI and TIBC estimations; therefore it was adopted to differentiate between iron deficiency anaemia and anaemia of chronic inflammation or an association of both anaemias (Northrop-Clewes, 2008).</w:t>
      </w:r>
    </w:p>
    <w:p>
      <w:pPr>
        <w:pStyle w:val="BodyText"/>
        <w:spacing w:before="1"/>
      </w:pPr>
    </w:p>
    <w:p>
      <w:pPr>
        <w:pStyle w:val="BodyText"/>
        <w:spacing w:line="480" w:lineRule="auto"/>
        <w:ind w:left="560" w:right="796"/>
        <w:jc w:val="both"/>
      </w:pPr>
      <w:r>
        <w:rPr/>
        <w:t>Blood glucose level was reduced in malaria infected pregnant than the uninfected pregnant women. This is because in malaria infection, glucose metabolism is affected by several</w:t>
      </w:r>
      <w:r>
        <w:rPr>
          <w:spacing w:val="40"/>
        </w:rPr>
        <w:t> </w:t>
      </w:r>
      <w:r>
        <w:rPr/>
        <w:t>factors including parasite metabolism, cytokine expression, hormonal changes, fever, drugs, fasting and gastrointestinal disturbances (Davis </w:t>
      </w:r>
      <w:r>
        <w:rPr>
          <w:i/>
        </w:rPr>
        <w:t>et al.,</w:t>
      </w:r>
      <w:r>
        <w:rPr/>
        <w:t>2003). Blood glucose may be increased probably due to stress-cortosol induced glyconeogenesis. However, the increased glucose levels would be grossly undermined by the increased cytokine production. Cytokines such as TNFα would mount strong counter-regulatory mechanisms that would reduce the concentration of glucose. Another reason may be that glucose is rapidly taken up across the parasite plasma membrane; being facilitated by hexose transporter in the glycolytic pathway (Woofrow </w:t>
      </w:r>
      <w:r>
        <w:rPr>
          <w:i/>
        </w:rPr>
        <w:t>et al.,</w:t>
      </w:r>
      <w:r>
        <w:rPr/>
        <w:t>1999).</w:t>
      </w:r>
    </w:p>
    <w:p>
      <w:pPr>
        <w:spacing w:after="0" w:line="480" w:lineRule="auto"/>
        <w:jc w:val="both"/>
        <w:sectPr>
          <w:pgSz w:w="11910" w:h="16840"/>
          <w:pgMar w:header="0" w:footer="1067" w:top="1060" w:bottom="1260" w:left="880" w:right="640"/>
        </w:sectPr>
      </w:pPr>
    </w:p>
    <w:p>
      <w:pPr>
        <w:pStyle w:val="BodyText"/>
        <w:spacing w:line="480" w:lineRule="auto" w:before="70"/>
        <w:ind w:left="560" w:right="795"/>
        <w:jc w:val="both"/>
      </w:pPr>
      <w:r>
        <w:rPr/>
        <w:t>Pregnant women infected with malaria parasite (believed toinduce acute phase response)</w:t>
      </w:r>
      <w:r>
        <w:rPr>
          <w:spacing w:val="40"/>
        </w:rPr>
        <w:t> </w:t>
      </w:r>
      <w:r>
        <w:rPr/>
        <w:t>were divided into two groups based on their cardiovascular reactive protein levels and then compared in terms of their cytokines, biochemical ironparameters and red blood cell profile. (Tables 4.17 and 4.18).In this study, IFNγ, IL-4, IL-6 and IL-10 were higher in malaria infected pregnant women with elevated C-RPthan the group that had normal C-RP and this was similar to the results obtained by (koorts </w:t>
      </w:r>
      <w:r>
        <w:rPr>
          <w:i/>
        </w:rPr>
        <w:t>et al., </w:t>
      </w:r>
      <w:r>
        <w:rPr/>
        <w:t>2011) who posited increased levels of IFNγ, TNFα, IL-4, IL-6, and IL-10 in the pregnant women with elevated C-RPthan the</w:t>
      </w:r>
      <w:r>
        <w:rPr>
          <w:spacing w:val="40"/>
        </w:rPr>
        <w:t> </w:t>
      </w:r>
      <w:r>
        <w:rPr/>
        <w:t>groups that had normal C-RP. TNFα was lower inmalaria infected pregnant women with normalC-RP while IFNγ and IL-4 were higher in malaria infected pregnant women with elevated C-RP. However, they were not significantly expressed. This may have occurred due to the</w:t>
      </w:r>
      <w:r>
        <w:rPr>
          <w:spacing w:val="-1"/>
        </w:rPr>
        <w:t> </w:t>
      </w:r>
      <w:r>
        <w:rPr/>
        <w:t>small sample</w:t>
      </w:r>
      <w:r>
        <w:rPr>
          <w:spacing w:val="-1"/>
        </w:rPr>
        <w:t> </w:t>
      </w:r>
      <w:r>
        <w:rPr/>
        <w:t>size</w:t>
      </w:r>
      <w:r>
        <w:rPr>
          <w:spacing w:val="-3"/>
        </w:rPr>
        <w:t> </w:t>
      </w:r>
      <w:r>
        <w:rPr/>
        <w:t>of those with the</w:t>
      </w:r>
      <w:r>
        <w:rPr>
          <w:spacing w:val="-1"/>
        </w:rPr>
        <w:t> </w:t>
      </w:r>
      <w:r>
        <w:rPr/>
        <w:t>elevated C-RP in comparison with size</w:t>
      </w:r>
      <w:r>
        <w:rPr>
          <w:spacing w:val="-1"/>
        </w:rPr>
        <w:t> </w:t>
      </w:r>
      <w:r>
        <w:rPr/>
        <w:t>of</w:t>
      </w:r>
      <w:r>
        <w:rPr>
          <w:spacing w:val="-1"/>
        </w:rPr>
        <w:t> </w:t>
      </w:r>
      <w:r>
        <w:rPr/>
        <w:t>the</w:t>
      </w:r>
      <w:r>
        <w:rPr>
          <w:spacing w:val="-1"/>
        </w:rPr>
        <w:t> </w:t>
      </w:r>
      <w:r>
        <w:rPr/>
        <w:t>group with normal C-RP. But elevated values of IL-6 supports the earlier studies which places the molecule as a major cytokine responsible for inducing the hepatocytes to synthetize C-RP (Castell </w:t>
      </w:r>
      <w:r>
        <w:rPr>
          <w:i/>
        </w:rPr>
        <w:t>et</w:t>
      </w:r>
      <w:r>
        <w:rPr>
          <w:i/>
          <w:spacing w:val="-1"/>
        </w:rPr>
        <w:t> </w:t>
      </w:r>
      <w:r>
        <w:rPr>
          <w:i/>
        </w:rPr>
        <w:t>al.,</w:t>
      </w:r>
      <w:r>
        <w:rPr/>
        <w:t>1989). Conceivably, IL-10, a</w:t>
      </w:r>
      <w:r>
        <w:rPr>
          <w:spacing w:val="-2"/>
        </w:rPr>
        <w:t> </w:t>
      </w:r>
      <w:r>
        <w:rPr/>
        <w:t>T-helper cell</w:t>
      </w:r>
      <w:r>
        <w:rPr>
          <w:spacing w:val="-1"/>
        </w:rPr>
        <w:t> </w:t>
      </w:r>
      <w:r>
        <w:rPr/>
        <w:t>type-2 cytokine was increased in</w:t>
      </w:r>
      <w:r>
        <w:rPr>
          <w:spacing w:val="-1"/>
        </w:rPr>
        <w:t> </w:t>
      </w:r>
      <w:r>
        <w:rPr/>
        <w:t>the group with elevated C-RP. This view is in keeping with previous studies that cytokines can contribute to chronic immune stimulation (Ludwicsek </w:t>
      </w:r>
      <w:r>
        <w:rPr>
          <w:i/>
        </w:rPr>
        <w:t>et al.,</w:t>
      </w:r>
      <w:r>
        <w:rPr/>
        <w:t>2003; Weiss &amp; Goodnough, </w:t>
      </w:r>
      <w:r>
        <w:rPr>
          <w:spacing w:val="-2"/>
        </w:rPr>
        <w:t>2005).</w:t>
      </w:r>
    </w:p>
    <w:p>
      <w:pPr>
        <w:pStyle w:val="BodyText"/>
        <w:spacing w:before="3"/>
      </w:pPr>
    </w:p>
    <w:p>
      <w:pPr>
        <w:pStyle w:val="BodyText"/>
        <w:spacing w:line="480" w:lineRule="auto"/>
        <w:ind w:left="560" w:right="793"/>
        <w:jc w:val="both"/>
      </w:pPr>
      <w:r>
        <w:rPr/>
        <w:t>As</w:t>
      </w:r>
      <w:r>
        <w:rPr>
          <w:spacing w:val="-1"/>
        </w:rPr>
        <w:t> </w:t>
      </w:r>
      <w:r>
        <w:rPr/>
        <w:t>regards</w:t>
      </w:r>
      <w:r>
        <w:rPr>
          <w:spacing w:val="-1"/>
        </w:rPr>
        <w:t> </w:t>
      </w:r>
      <w:r>
        <w:rPr/>
        <w:t>iron</w:t>
      </w:r>
      <w:r>
        <w:rPr>
          <w:spacing w:val="-1"/>
        </w:rPr>
        <w:t> </w:t>
      </w:r>
      <w:r>
        <w:rPr/>
        <w:t>status, the</w:t>
      </w:r>
      <w:r>
        <w:rPr>
          <w:spacing w:val="-1"/>
        </w:rPr>
        <w:t> </w:t>
      </w:r>
      <w:r>
        <w:rPr/>
        <w:t>serum</w:t>
      </w:r>
      <w:r>
        <w:rPr>
          <w:spacing w:val="-1"/>
        </w:rPr>
        <w:t> </w:t>
      </w:r>
      <w:r>
        <w:rPr/>
        <w:t>ferritin was increased in groups with elevated C-RP than</w:t>
      </w:r>
      <w:r>
        <w:rPr>
          <w:spacing w:val="-1"/>
        </w:rPr>
        <w:t> </w:t>
      </w:r>
      <w:r>
        <w:rPr/>
        <w:t>the group with normal C-RP. It is not out of place to believe that serum ferritin as an acute phase protein is increased consequent to chronicimmune response. The group with elevated C-RP levels would be high and obviously correspondsto increased synthesis of ferritin and its retention in the macrophages. Again, the result is expected with the inclusion of 40% and 6% of the subjects with anaemia of infection and anaemia of inflammation respectively. The soluble transferrin receptor was higher and not statistically significant in the group with normal</w:t>
      </w:r>
      <w:r>
        <w:rPr>
          <w:spacing w:val="25"/>
        </w:rPr>
        <w:t> </w:t>
      </w:r>
      <w:r>
        <w:rPr/>
        <w:t>C-RP</w:t>
      </w:r>
      <w:r>
        <w:rPr>
          <w:spacing w:val="25"/>
        </w:rPr>
        <w:t> </w:t>
      </w:r>
      <w:r>
        <w:rPr/>
        <w:t>compared</w:t>
      </w:r>
      <w:r>
        <w:rPr>
          <w:spacing w:val="25"/>
        </w:rPr>
        <w:t> </w:t>
      </w:r>
      <w:r>
        <w:rPr/>
        <w:t>with</w:t>
      </w:r>
      <w:r>
        <w:rPr>
          <w:spacing w:val="26"/>
        </w:rPr>
        <w:t> </w:t>
      </w:r>
      <w:r>
        <w:rPr/>
        <w:t>those</w:t>
      </w:r>
      <w:r>
        <w:rPr>
          <w:spacing w:val="24"/>
        </w:rPr>
        <w:t> </w:t>
      </w:r>
      <w:r>
        <w:rPr/>
        <w:t>with</w:t>
      </w:r>
      <w:r>
        <w:rPr>
          <w:spacing w:val="26"/>
        </w:rPr>
        <w:t> </w:t>
      </w:r>
      <w:r>
        <w:rPr/>
        <w:t>elevated</w:t>
      </w:r>
      <w:r>
        <w:rPr>
          <w:spacing w:val="25"/>
        </w:rPr>
        <w:t> </w:t>
      </w:r>
      <w:r>
        <w:rPr/>
        <w:t>C-RP.</w:t>
      </w:r>
      <w:r>
        <w:rPr>
          <w:spacing w:val="25"/>
        </w:rPr>
        <w:t> </w:t>
      </w:r>
      <w:r>
        <w:rPr/>
        <w:t>This</w:t>
      </w:r>
      <w:r>
        <w:rPr>
          <w:spacing w:val="25"/>
        </w:rPr>
        <w:t> </w:t>
      </w:r>
      <w:r>
        <w:rPr/>
        <w:t>is</w:t>
      </w:r>
      <w:r>
        <w:rPr>
          <w:spacing w:val="23"/>
        </w:rPr>
        <w:t> </w:t>
      </w:r>
      <w:r>
        <w:rPr/>
        <w:t>in</w:t>
      </w:r>
      <w:r>
        <w:rPr>
          <w:spacing w:val="25"/>
        </w:rPr>
        <w:t> </w:t>
      </w:r>
      <w:r>
        <w:rPr/>
        <w:t>conformity</w:t>
      </w:r>
      <w:r>
        <w:rPr>
          <w:spacing w:val="18"/>
        </w:rPr>
        <w:t> </w:t>
      </w:r>
      <w:r>
        <w:rPr/>
        <w:t>with</w:t>
      </w:r>
      <w:r>
        <w:rPr>
          <w:spacing w:val="25"/>
        </w:rPr>
        <w:t> </w:t>
      </w:r>
      <w:r>
        <w:rPr/>
        <w:t>the</w:t>
      </w:r>
      <w:r>
        <w:rPr>
          <w:spacing w:val="24"/>
        </w:rPr>
        <w:t> </w:t>
      </w:r>
      <w:r>
        <w:rPr>
          <w:spacing w:val="-4"/>
        </w:rPr>
        <w:t>fact</w:t>
      </w:r>
    </w:p>
    <w:p>
      <w:pPr>
        <w:spacing w:after="0" w:line="480" w:lineRule="auto"/>
        <w:jc w:val="both"/>
        <w:sectPr>
          <w:pgSz w:w="11910" w:h="16840"/>
          <w:pgMar w:header="0" w:footer="1067" w:top="1060" w:bottom="1260" w:left="880" w:right="640"/>
        </w:sectPr>
      </w:pPr>
    </w:p>
    <w:p>
      <w:pPr>
        <w:pStyle w:val="BodyText"/>
        <w:spacing w:line="480" w:lineRule="auto" w:before="70"/>
        <w:ind w:left="560" w:right="796"/>
        <w:jc w:val="both"/>
      </w:pPr>
      <w:r>
        <w:rPr/>
        <w:t>that sTfR is not affected by inflammation. Also, it would be more reasonable to accept the fact that sTfR is not increased in individuals during acute phase response because of reduced erythropoietic production and suppression of erythropoiesis by the cytokines (Spivak, 2000; Beguin, 2003).</w:t>
      </w:r>
    </w:p>
    <w:p>
      <w:pPr>
        <w:pStyle w:val="BodyText"/>
      </w:pPr>
    </w:p>
    <w:p>
      <w:pPr>
        <w:pStyle w:val="BodyText"/>
        <w:spacing w:line="480" w:lineRule="auto" w:before="1"/>
        <w:ind w:left="560" w:right="796"/>
        <w:jc w:val="both"/>
      </w:pPr>
      <w:r>
        <w:rPr/>
        <w:t>The result of the red blood cell profile in the study was characteristic of mild anaemia found in the study subjects. Haemoglobin concentration was reduced in the group with normal C- RP than those with elevated C-RP while MCV was increased in those with elevated C-RP than the group with normal C-RP. It suggests that asymptomatic malaria is associated with lower than normal haemoglobin concentration and the anaemia typical of anaemia of infection/ inflammatory anaemia. Anaemia of infection/ inflammation often exhibits thenormocytic normochromic picture but on further development, may result in microcytic hypochromic anaemia (Pippard and Hoffbrand, 2001; Roy, 2010; Cullis, 2011).</w:t>
      </w:r>
    </w:p>
    <w:p>
      <w:pPr>
        <w:pStyle w:val="BodyText"/>
        <w:spacing w:before="1"/>
      </w:pPr>
    </w:p>
    <w:p>
      <w:pPr>
        <w:pStyle w:val="BodyText"/>
        <w:spacing w:line="480" w:lineRule="auto"/>
        <w:ind w:left="560" w:right="795"/>
        <w:jc w:val="both"/>
      </w:pPr>
      <w:r>
        <w:rPr/>
        <w:t>In this study, the</w:t>
      </w:r>
      <w:r>
        <w:rPr>
          <w:spacing w:val="-1"/>
        </w:rPr>
        <w:t> </w:t>
      </w:r>
      <w:r>
        <w:rPr/>
        <w:t>total leucocyte count was higher in the</w:t>
      </w:r>
      <w:r>
        <w:rPr>
          <w:spacing w:val="-1"/>
        </w:rPr>
        <w:t> </w:t>
      </w:r>
      <w:r>
        <w:rPr/>
        <w:t>groups with elevated CRP than</w:t>
      </w:r>
      <w:r>
        <w:rPr>
          <w:spacing w:val="-1"/>
        </w:rPr>
        <w:t> </w:t>
      </w:r>
      <w:r>
        <w:rPr/>
        <w:t>those with normal CRP. This could be explained by the fact that some cytokines, especially TNFα produced during inflammatory response acts on vascular endothelial cells and macrophages</w:t>
      </w:r>
      <w:r>
        <w:rPr>
          <w:spacing w:val="40"/>
        </w:rPr>
        <w:t> </w:t>
      </w:r>
      <w:r>
        <w:rPr/>
        <w:t>to secrete colony stimulating factors such as Macrophage-Colony Stimulating Factor (M- CSF), Granulocyte-Colony Stimulating Factor(G-CSF) and Granulocyte Macrophage/Monocyte Stimulating Factor (GM-CSF). The colony-stimulating factors are agonists involved in proliferation and development of clonogenic progenitor cells population in the bone marrow resulting in increased production of leukocytes (Venugopal, 2007; Testa and Dexter, 2001).</w:t>
      </w:r>
    </w:p>
    <w:p>
      <w:pPr>
        <w:pStyle w:val="BodyText"/>
        <w:spacing w:before="1"/>
      </w:pPr>
    </w:p>
    <w:p>
      <w:pPr>
        <w:pStyle w:val="BodyText"/>
        <w:spacing w:line="480" w:lineRule="auto"/>
        <w:ind w:left="560" w:right="795"/>
        <w:jc w:val="both"/>
      </w:pPr>
      <w:r>
        <w:rPr/>
        <w:t>This study assessed the relationship between cytokines, Iron, malaria parasitaemia and acute phase</w:t>
      </w:r>
      <w:r>
        <w:rPr>
          <w:spacing w:val="-5"/>
        </w:rPr>
        <w:t> </w:t>
      </w:r>
      <w:r>
        <w:rPr/>
        <w:t>protein.</w:t>
      </w:r>
      <w:r>
        <w:rPr>
          <w:spacing w:val="-4"/>
        </w:rPr>
        <w:t> </w:t>
      </w:r>
      <w:r>
        <w:rPr/>
        <w:t>The</w:t>
      </w:r>
      <w:r>
        <w:rPr>
          <w:spacing w:val="-5"/>
        </w:rPr>
        <w:t> </w:t>
      </w:r>
      <w:r>
        <w:rPr/>
        <w:t>data</w:t>
      </w:r>
      <w:r>
        <w:rPr>
          <w:spacing w:val="-3"/>
        </w:rPr>
        <w:t> </w:t>
      </w:r>
      <w:r>
        <w:rPr/>
        <w:t>revealed</w:t>
      </w:r>
      <w:r>
        <w:rPr>
          <w:spacing w:val="-4"/>
        </w:rPr>
        <w:t> </w:t>
      </w:r>
      <w:r>
        <w:rPr/>
        <w:t>positive</w:t>
      </w:r>
      <w:r>
        <w:rPr>
          <w:spacing w:val="-3"/>
        </w:rPr>
        <w:t> </w:t>
      </w:r>
      <w:r>
        <w:rPr/>
        <w:t>association</w:t>
      </w:r>
      <w:r>
        <w:rPr>
          <w:spacing w:val="-4"/>
        </w:rPr>
        <w:t> </w:t>
      </w:r>
      <w:r>
        <w:rPr/>
        <w:t>between</w:t>
      </w:r>
      <w:r>
        <w:rPr>
          <w:spacing w:val="-4"/>
        </w:rPr>
        <w:t> </w:t>
      </w:r>
      <w:r>
        <w:rPr/>
        <w:t>the</w:t>
      </w:r>
      <w:r>
        <w:rPr>
          <w:spacing w:val="-3"/>
        </w:rPr>
        <w:t> </w:t>
      </w:r>
      <w:r>
        <w:rPr/>
        <w:t>cytokines</w:t>
      </w:r>
      <w:r>
        <w:rPr>
          <w:spacing w:val="-2"/>
        </w:rPr>
        <w:t> </w:t>
      </w:r>
      <w:r>
        <w:rPr/>
        <w:t>(IFN</w:t>
      </w:r>
      <w:r>
        <w:rPr>
          <w:rFonts w:ascii="Symbol" w:hAnsi="Symbol"/>
        </w:rPr>
        <w:t></w:t>
      </w:r>
      <w:r>
        <w:rPr/>
        <w:t>,</w:t>
      </w:r>
      <w:r>
        <w:rPr>
          <w:spacing w:val="-4"/>
        </w:rPr>
        <w:t> </w:t>
      </w:r>
      <w:r>
        <w:rPr/>
        <w:t>TNF</w:t>
      </w:r>
      <w:r>
        <w:rPr>
          <w:rFonts w:ascii="Symbol" w:hAnsi="Symbol"/>
        </w:rPr>
        <w:t></w:t>
      </w:r>
      <w:r>
        <w:rPr/>
        <w:t>,</w:t>
      </w:r>
      <w:r>
        <w:rPr>
          <w:spacing w:val="-2"/>
        </w:rPr>
        <w:t> </w:t>
      </w:r>
      <w:r>
        <w:rPr/>
        <w:t>IL- 4,</w:t>
      </w:r>
      <w:r>
        <w:rPr>
          <w:spacing w:val="2"/>
        </w:rPr>
        <w:t> </w:t>
      </w:r>
      <w:r>
        <w:rPr/>
        <w:t>IL-6</w:t>
      </w:r>
      <w:r>
        <w:rPr>
          <w:spacing w:val="1"/>
        </w:rPr>
        <w:t> </w:t>
      </w:r>
      <w:r>
        <w:rPr/>
        <w:t>and</w:t>
      </w:r>
      <w:r>
        <w:rPr>
          <w:spacing w:val="3"/>
        </w:rPr>
        <w:t> </w:t>
      </w:r>
      <w:r>
        <w:rPr/>
        <w:t>IL-10)and</w:t>
      </w:r>
      <w:r>
        <w:rPr>
          <w:spacing w:val="1"/>
        </w:rPr>
        <w:t> </w:t>
      </w:r>
      <w:r>
        <w:rPr/>
        <w:t>malaria</w:t>
      </w:r>
      <w:r>
        <w:rPr>
          <w:spacing w:val="-1"/>
        </w:rPr>
        <w:t> </w:t>
      </w:r>
      <w:r>
        <w:rPr/>
        <w:t>parasite density.</w:t>
      </w:r>
      <w:r>
        <w:rPr>
          <w:spacing w:val="1"/>
        </w:rPr>
        <w:t> </w:t>
      </w:r>
      <w:r>
        <w:rPr/>
        <w:t>On</w:t>
      </w:r>
      <w:r>
        <w:rPr>
          <w:spacing w:val="1"/>
        </w:rPr>
        <w:t> </w:t>
      </w:r>
      <w:r>
        <w:rPr/>
        <w:t>determining</w:t>
      </w:r>
      <w:r>
        <w:rPr>
          <w:spacing w:val="2"/>
        </w:rPr>
        <w:t> </w:t>
      </w:r>
      <w:r>
        <w:rPr/>
        <w:t>the strength</w:t>
      </w:r>
      <w:r>
        <w:rPr>
          <w:spacing w:val="1"/>
        </w:rPr>
        <w:t> </w:t>
      </w:r>
      <w:r>
        <w:rPr/>
        <w:t>of</w:t>
      </w:r>
      <w:r>
        <w:rPr>
          <w:spacing w:val="1"/>
        </w:rPr>
        <w:t> </w:t>
      </w:r>
      <w:r>
        <w:rPr/>
        <w:t>associations,</w:t>
      </w:r>
      <w:r>
        <w:rPr>
          <w:spacing w:val="1"/>
        </w:rPr>
        <w:t> </w:t>
      </w:r>
      <w:r>
        <w:rPr>
          <w:spacing w:val="-5"/>
        </w:rPr>
        <w:t>it</w:t>
      </w:r>
    </w:p>
    <w:p>
      <w:pPr>
        <w:spacing w:after="0" w:line="480" w:lineRule="auto"/>
        <w:jc w:val="both"/>
        <w:sectPr>
          <w:pgSz w:w="11910" w:h="16840"/>
          <w:pgMar w:header="0" w:footer="1067" w:top="1060" w:bottom="1260" w:left="880" w:right="640"/>
        </w:sectPr>
      </w:pPr>
    </w:p>
    <w:p>
      <w:pPr>
        <w:pStyle w:val="BodyText"/>
        <w:spacing w:line="480" w:lineRule="auto" w:before="70"/>
        <w:ind w:left="560" w:right="790"/>
        <w:jc w:val="both"/>
      </w:pPr>
      <w:r>
        <w:rPr/>
        <w:t>was discovered thatIL-6 and IL-10 showed strong, positive correlation with malaria parasite count.</w:t>
      </w:r>
      <w:r>
        <w:rPr>
          <w:spacing w:val="-1"/>
        </w:rPr>
        <w:t> </w:t>
      </w:r>
      <w:r>
        <w:rPr/>
        <w:t>This</w:t>
      </w:r>
      <w:r>
        <w:rPr>
          <w:spacing w:val="-1"/>
        </w:rPr>
        <w:t> </w:t>
      </w:r>
      <w:r>
        <w:rPr/>
        <w:t>study</w:t>
      </w:r>
      <w:r>
        <w:rPr>
          <w:spacing w:val="-7"/>
        </w:rPr>
        <w:t> </w:t>
      </w:r>
      <w:r>
        <w:rPr/>
        <w:t>has</w:t>
      </w:r>
      <w:r>
        <w:rPr>
          <w:spacing w:val="-1"/>
        </w:rPr>
        <w:t> </w:t>
      </w:r>
      <w:r>
        <w:rPr/>
        <w:t>reinforced the aforementioned</w:t>
      </w:r>
      <w:r>
        <w:rPr>
          <w:spacing w:val="-2"/>
        </w:rPr>
        <w:t> </w:t>
      </w:r>
      <w:r>
        <w:rPr/>
        <w:t>reports</w:t>
      </w:r>
      <w:r>
        <w:rPr>
          <w:spacing w:val="-1"/>
        </w:rPr>
        <w:t> </w:t>
      </w:r>
      <w:r>
        <w:rPr/>
        <w:t>that</w:t>
      </w:r>
      <w:r>
        <w:rPr>
          <w:spacing w:val="-1"/>
        </w:rPr>
        <w:t> </w:t>
      </w:r>
      <w:r>
        <w:rPr/>
        <w:t>malaria</w:t>
      </w:r>
      <w:r>
        <w:rPr>
          <w:spacing w:val="-2"/>
        </w:rPr>
        <w:t> </w:t>
      </w:r>
      <w:r>
        <w:rPr/>
        <w:t>induces</w:t>
      </w:r>
      <w:r>
        <w:rPr>
          <w:spacing w:val="-1"/>
        </w:rPr>
        <w:t> </w:t>
      </w:r>
      <w:r>
        <w:rPr/>
        <w:t>the secretion of cytokines (Inigo &amp; Manuel, 2002; Clark </w:t>
      </w:r>
      <w:r>
        <w:rPr>
          <w:i/>
        </w:rPr>
        <w:t>et al.,</w:t>
      </w:r>
      <w:r>
        <w:rPr/>
        <w:t>2006). It is in agreement with Adeoti </w:t>
      </w:r>
      <w:r>
        <w:rPr>
          <w:i/>
        </w:rPr>
        <w:t>et al.,</w:t>
      </w:r>
      <w:r>
        <w:rPr/>
        <w:t>(2012) who observed a direct relationship between MP density and cytokines and with Rodrigo </w:t>
      </w:r>
      <w:r>
        <w:rPr>
          <w:i/>
        </w:rPr>
        <w:t>et al.,</w:t>
      </w:r>
      <w:r>
        <w:rPr/>
        <w:t>(2014) who observed a positive correlation between IL-10 and </w:t>
      </w:r>
      <w:r>
        <w:rPr>
          <w:i/>
        </w:rPr>
        <w:t>P. vivax </w:t>
      </w:r>
      <w:r>
        <w:rPr/>
        <w:t>and </w:t>
      </w:r>
      <w:r>
        <w:rPr>
          <w:i/>
        </w:rPr>
        <w:t>P. falciparum</w:t>
      </w:r>
      <w:r>
        <w:rPr/>
        <w:t>counts in infected pregnant women. Rodrigo </w:t>
      </w:r>
      <w:r>
        <w:rPr>
          <w:i/>
        </w:rPr>
        <w:t>et al.,(</w:t>
      </w:r>
      <w:r>
        <w:rPr/>
        <w:t>2014) also observed positive correlation between TNFα and </w:t>
      </w:r>
      <w:r>
        <w:rPr>
          <w:i/>
        </w:rPr>
        <w:t>P.falciparum</w:t>
      </w:r>
      <w:r>
        <w:rPr/>
        <w:t>count. The strong positive correlations between IL-6 and malaria parasite count and between IL-10 and malaria parasite count in this study agrees with Zeyrek, </w:t>
      </w:r>
      <w:r>
        <w:rPr>
          <w:i/>
        </w:rPr>
        <w:t>et al. </w:t>
      </w:r>
      <w:r>
        <w:rPr/>
        <w:t>(2006) who observed a positive correlation between IL-10 and the parasite count in pregnant women with </w:t>
      </w:r>
      <w:r>
        <w:rPr>
          <w:i/>
        </w:rPr>
        <w:t>P.vivax</w:t>
      </w:r>
      <w:r>
        <w:rPr/>
        <w:t>.It suggests that malaria parasite density could be a factor that would determinethe amount of cytokine secretion; as increased parasitaemia leads to increased secretion of cytokine.</w:t>
      </w:r>
      <w:r>
        <w:rPr>
          <w:spacing w:val="40"/>
        </w:rPr>
        <w:t> </w:t>
      </w:r>
      <w:r>
        <w:rPr/>
        <w:t>Cytokines play key roles in the course and outcome of malaria (Warren, 2010). The leukocytes in the innate and adaptive arms of the immune response are activated by malaria parasite or the parasite toxins consequent to the release of cytokines: INF</w:t>
      </w:r>
      <w:r>
        <w:rPr>
          <w:rFonts w:ascii="Symbol" w:hAnsi="Symbol"/>
        </w:rPr>
        <w:t></w:t>
      </w:r>
      <w:r>
        <w:rPr/>
        <w:t>, TNF</w:t>
      </w:r>
      <w:r>
        <w:rPr>
          <w:rFonts w:ascii="Symbol" w:hAnsi="Symbol"/>
        </w:rPr>
        <w:t></w:t>
      </w:r>
      <w:r>
        <w:rPr/>
        <w:t> and to an extent IL-6 are proinflammatory cytokine that have been shown to play protective roles in the cellular immune response to the blood stage of the malaria infections (Venugopal, 2007; Warren, 2010). IL-10 plays significant role in immunoregulation and mediates negative feedback on the production of pro-inflammatory cytokines by antagonizing TH</w:t>
      </w:r>
      <w:r>
        <w:rPr>
          <w:vertAlign w:val="subscript"/>
        </w:rPr>
        <w:t>1</w:t>
      </w:r>
      <w:r>
        <w:rPr>
          <w:vertAlign w:val="baseline"/>
        </w:rPr>
        <w:t> response following stimulation by malaria antigen. Although an immunoregulatory</w:t>
      </w:r>
      <w:r>
        <w:rPr>
          <w:spacing w:val="-3"/>
          <w:vertAlign w:val="baseline"/>
        </w:rPr>
        <w:t> </w:t>
      </w:r>
      <w:r>
        <w:rPr>
          <w:vertAlign w:val="baseline"/>
        </w:rPr>
        <w:t>cytokine, little is known about the role of IL-4 in malaria pathogenesis, however it enhances the proliferation of eosinophil and mast cells and induces class</w:t>
      </w:r>
      <w:r>
        <w:rPr>
          <w:spacing w:val="80"/>
          <w:vertAlign w:val="baseline"/>
        </w:rPr>
        <w:t> </w:t>
      </w:r>
      <w:r>
        <w:rPr>
          <w:vertAlign w:val="baseline"/>
        </w:rPr>
        <w:t>switching to IgE (Venugopal, 2007).</w:t>
      </w:r>
    </w:p>
    <w:p>
      <w:pPr>
        <w:pStyle w:val="BodyText"/>
        <w:spacing w:before="3"/>
      </w:pPr>
    </w:p>
    <w:p>
      <w:pPr>
        <w:pStyle w:val="BodyText"/>
        <w:spacing w:line="480" w:lineRule="auto"/>
        <w:ind w:left="560" w:right="799"/>
        <w:jc w:val="both"/>
      </w:pPr>
      <w:r>
        <w:rPr/>
        <w:t>On the other hand, this study failed to show a direct relationship between malaria parasite density</w:t>
      </w:r>
      <w:r>
        <w:rPr>
          <w:spacing w:val="-3"/>
        </w:rPr>
        <w:t> </w:t>
      </w:r>
      <w:r>
        <w:rPr/>
        <w:t>and iron status. The fact that no association existed between malaria parasitaemia and iron</w:t>
      </w:r>
      <w:r>
        <w:rPr>
          <w:spacing w:val="61"/>
        </w:rPr>
        <w:t> </w:t>
      </w:r>
      <w:r>
        <w:rPr/>
        <w:t>parameters</w:t>
      </w:r>
      <w:r>
        <w:rPr>
          <w:spacing w:val="63"/>
        </w:rPr>
        <w:t> </w:t>
      </w:r>
      <w:r>
        <w:rPr/>
        <w:t>such</w:t>
      </w:r>
      <w:r>
        <w:rPr>
          <w:spacing w:val="66"/>
        </w:rPr>
        <w:t> </w:t>
      </w:r>
      <w:r>
        <w:rPr/>
        <w:t>as</w:t>
      </w:r>
      <w:r>
        <w:rPr>
          <w:spacing w:val="65"/>
        </w:rPr>
        <w:t> </w:t>
      </w:r>
      <w:r>
        <w:rPr/>
        <w:t>MCV</w:t>
      </w:r>
      <w:r>
        <w:rPr>
          <w:spacing w:val="63"/>
        </w:rPr>
        <w:t> </w:t>
      </w:r>
      <w:r>
        <w:rPr/>
        <w:t>and</w:t>
      </w:r>
      <w:r>
        <w:rPr>
          <w:spacing w:val="64"/>
        </w:rPr>
        <w:t> </w:t>
      </w:r>
      <w:r>
        <w:rPr/>
        <w:t>sTfR</w:t>
      </w:r>
      <w:r>
        <w:rPr>
          <w:spacing w:val="63"/>
        </w:rPr>
        <w:t> </w:t>
      </w:r>
      <w:r>
        <w:rPr/>
        <w:t>and</w:t>
      </w:r>
      <w:r>
        <w:rPr>
          <w:spacing w:val="65"/>
        </w:rPr>
        <w:t> </w:t>
      </w:r>
      <w:r>
        <w:rPr/>
        <w:t>where</w:t>
      </w:r>
      <w:r>
        <w:rPr>
          <w:spacing w:val="62"/>
        </w:rPr>
        <w:t> </w:t>
      </w:r>
      <w:r>
        <w:rPr/>
        <w:t>it</w:t>
      </w:r>
      <w:r>
        <w:rPr>
          <w:spacing w:val="64"/>
        </w:rPr>
        <w:t> </w:t>
      </w:r>
      <w:r>
        <w:rPr/>
        <w:t>does</w:t>
      </w:r>
      <w:r>
        <w:rPr>
          <w:spacing w:val="63"/>
        </w:rPr>
        <w:t> </w:t>
      </w:r>
      <w:r>
        <w:rPr/>
        <w:t>exist</w:t>
      </w:r>
      <w:r>
        <w:rPr>
          <w:spacing w:val="65"/>
        </w:rPr>
        <w:t> </w:t>
      </w:r>
      <w:r>
        <w:rPr/>
        <w:t>(between</w:t>
      </w:r>
      <w:r>
        <w:rPr>
          <w:spacing w:val="63"/>
        </w:rPr>
        <w:t> </w:t>
      </w:r>
      <w:r>
        <w:rPr/>
        <w:t>Hb</w:t>
      </w:r>
      <w:r>
        <w:rPr>
          <w:spacing w:val="66"/>
        </w:rPr>
        <w:t> </w:t>
      </w:r>
      <w:r>
        <w:rPr>
          <w:spacing w:val="-2"/>
        </w:rPr>
        <w:t>andSF)</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itshowed weak associations. This is in agreement with Stoltzfus (1997)Odunukwe </w:t>
      </w:r>
      <w:r>
        <w:rPr>
          <w:i/>
        </w:rPr>
        <w:t>et al.,</w:t>
      </w:r>
      <w:r>
        <w:rPr/>
        <w:t>(2000) andAkinboro </w:t>
      </w:r>
      <w:r>
        <w:rPr>
          <w:i/>
        </w:rPr>
        <w:t>et al.,</w:t>
      </w:r>
      <w:r>
        <w:rPr/>
        <w:t>(2010) that reported no association between malaria parasite density and iron parameters. However, an association could exist with iron parameters such</w:t>
      </w:r>
      <w:r>
        <w:rPr>
          <w:spacing w:val="40"/>
        </w:rPr>
        <w:t> </w:t>
      </w:r>
      <w:r>
        <w:rPr/>
        <w:t>as serum</w:t>
      </w:r>
      <w:r>
        <w:rPr>
          <w:spacing w:val="-1"/>
        </w:rPr>
        <w:t> </w:t>
      </w:r>
      <w:r>
        <w:rPr/>
        <w:t>ferritin when parasite</w:t>
      </w:r>
      <w:r>
        <w:rPr>
          <w:spacing w:val="-1"/>
        </w:rPr>
        <w:t> </w:t>
      </w:r>
      <w:r>
        <w:rPr/>
        <w:t>density</w:t>
      </w:r>
      <w:r>
        <w:rPr>
          <w:spacing w:val="-5"/>
        </w:rPr>
        <w:t> </w:t>
      </w:r>
      <w:r>
        <w:rPr/>
        <w:t>is above</w:t>
      </w:r>
      <w:r>
        <w:rPr>
          <w:spacing w:val="-1"/>
        </w:rPr>
        <w:t> </w:t>
      </w:r>
      <w:r>
        <w:rPr/>
        <w:t>1000/μl of</w:t>
      </w:r>
      <w:r>
        <w:rPr>
          <w:spacing w:val="-1"/>
        </w:rPr>
        <w:t> </w:t>
      </w:r>
      <w:r>
        <w:rPr/>
        <w:t>blood</w:t>
      </w:r>
      <w:r>
        <w:rPr>
          <w:spacing w:val="-2"/>
        </w:rPr>
        <w:t> </w:t>
      </w:r>
      <w:r>
        <w:rPr/>
        <w:t>(Stoltzfus,</w:t>
      </w:r>
      <w:r>
        <w:rPr>
          <w:spacing w:val="-2"/>
        </w:rPr>
        <w:t> </w:t>
      </w:r>
      <w:r>
        <w:rPr/>
        <w:t>1997; Odunukwe </w:t>
      </w:r>
      <w:r>
        <w:rPr>
          <w:i/>
        </w:rPr>
        <w:t>et al.,</w:t>
      </w:r>
      <w:r>
        <w:rPr/>
        <w:t>2000). This finding was at variance with Okafor </w:t>
      </w:r>
      <w:r>
        <w:rPr>
          <w:i/>
        </w:rPr>
        <w:t>et al.,</w:t>
      </w:r>
      <w:r>
        <w:rPr/>
        <w:t>(2012) who reported a negative correlation</w:t>
      </w:r>
      <w:r>
        <w:rPr>
          <w:spacing w:val="-3"/>
        </w:rPr>
        <w:t> </w:t>
      </w:r>
      <w:r>
        <w:rPr/>
        <w:t>between</w:t>
      </w:r>
      <w:r>
        <w:rPr>
          <w:spacing w:val="-3"/>
        </w:rPr>
        <w:t> </w:t>
      </w:r>
      <w:r>
        <w:rPr/>
        <w:t>MP density</w:t>
      </w:r>
      <w:r>
        <w:rPr>
          <w:spacing w:val="-6"/>
        </w:rPr>
        <w:t> </w:t>
      </w:r>
      <w:r>
        <w:rPr/>
        <w:t>and</w:t>
      </w:r>
      <w:r>
        <w:rPr>
          <w:spacing w:val="-3"/>
        </w:rPr>
        <w:t> </w:t>
      </w:r>
      <w:r>
        <w:rPr/>
        <w:t>Hb. The</w:t>
      </w:r>
      <w:r>
        <w:rPr>
          <w:spacing w:val="-3"/>
        </w:rPr>
        <w:t> </w:t>
      </w:r>
      <w:r>
        <w:rPr/>
        <w:t>weak</w:t>
      </w:r>
      <w:r>
        <w:rPr>
          <w:spacing w:val="-3"/>
        </w:rPr>
        <w:t> </w:t>
      </w:r>
      <w:r>
        <w:rPr/>
        <w:t>associations</w:t>
      </w:r>
      <w:r>
        <w:rPr>
          <w:spacing w:val="-3"/>
        </w:rPr>
        <w:t> </w:t>
      </w:r>
      <w:r>
        <w:rPr/>
        <w:t>recorded</w:t>
      </w:r>
      <w:r>
        <w:rPr>
          <w:spacing w:val="-3"/>
        </w:rPr>
        <w:t> </w:t>
      </w:r>
      <w:r>
        <w:rPr/>
        <w:t>between</w:t>
      </w:r>
      <w:r>
        <w:rPr>
          <w:spacing w:val="-1"/>
        </w:rPr>
        <w:t> </w:t>
      </w:r>
      <w:r>
        <w:rPr/>
        <w:t>MP</w:t>
      </w:r>
      <w:r>
        <w:rPr>
          <w:spacing w:val="-3"/>
        </w:rPr>
        <w:t> </w:t>
      </w:r>
      <w:r>
        <w:rPr/>
        <w:t>density and Iron parameters such as Hb and SF could be that the pregnant women are in asymptomatic conditions; therefore marked changes are not obvious.</w:t>
      </w:r>
    </w:p>
    <w:p>
      <w:pPr>
        <w:pStyle w:val="BodyText"/>
        <w:spacing w:before="1"/>
      </w:pPr>
    </w:p>
    <w:p>
      <w:pPr>
        <w:pStyle w:val="BodyText"/>
        <w:spacing w:line="480" w:lineRule="auto"/>
        <w:ind w:left="560" w:right="791"/>
        <w:jc w:val="both"/>
      </w:pPr>
      <w:r>
        <w:rPr/>
        <w:t>Strong, positive correlation which existed between C-RP and malaria parasite count is an indication that increased parasitaemia is consequential to elevated C-RP. The pathway whereby increased parasitaemia leads to elevated C-RP could be explained. C-RP is a</w:t>
      </w:r>
      <w:r>
        <w:rPr>
          <w:spacing w:val="40"/>
        </w:rPr>
        <w:t> </w:t>
      </w:r>
      <w:r>
        <w:rPr/>
        <w:t>positive acute phase protein (APP) and its induction may not be a direct activity of malaria parasite on any otherorgan in the body</w:t>
      </w:r>
      <w:r>
        <w:rPr>
          <w:spacing w:val="-2"/>
        </w:rPr>
        <w:t> </w:t>
      </w:r>
      <w:r>
        <w:rPr/>
        <w:t>rather, the parasite induces the hepatic synthesis ofIL- 6 and other inflammatory cytokines such as INF</w:t>
      </w:r>
      <w:r>
        <w:rPr>
          <w:rFonts w:ascii="Symbol" w:hAnsi="Symbol"/>
        </w:rPr>
        <w:t></w:t>
      </w:r>
      <w:r>
        <w:rPr/>
        <w:t> and IL-10. These cytokines notably IL-6 induces the production of APP by inducing a common transcription factor, NF-IL6 in the liver. NF-IL6 has high degree of sequence homology and bind to the promoter genes</w:t>
      </w:r>
      <w:r>
        <w:rPr>
          <w:spacing w:val="40"/>
        </w:rPr>
        <w:t> </w:t>
      </w:r>
      <w:r>
        <w:rPr/>
        <w:t>encoding various liver proteins. During acute phase response, NF-IL6 increases leading to increased production of APP (Venugopal, 2007).</w:t>
      </w:r>
    </w:p>
    <w:p>
      <w:pPr>
        <w:pStyle w:val="BodyText"/>
        <w:spacing w:before="2"/>
      </w:pPr>
    </w:p>
    <w:p>
      <w:pPr>
        <w:pStyle w:val="BodyText"/>
        <w:spacing w:line="480" w:lineRule="auto"/>
        <w:ind w:left="560" w:right="795"/>
        <w:jc w:val="both"/>
      </w:pPr>
      <w:r>
        <w:rPr/>
        <w:t>In addition, this study showed positive correlation between cytokines (IL-6, IL-4, IFNγ, TNFα, IL-10) and acute phase protein (C-RP). The cytokines evaluated and the acute phase protein (C-RP)] tend to move together in the same direction shows that increase in cytokine (IFNγ, TNFα, IL6 and IL-10) levelsmay lead to increased level of C-RP. This result has reinforced earlier studies that cytokines such as IFNγ, TNFα and IL-1β induces the synthesis of acute phase proteins. However, IL-6 appears to be the major inducible cytokine (Castell </w:t>
      </w:r>
      <w:r>
        <w:rPr>
          <w:i/>
        </w:rPr>
        <w:t>et al.,</w:t>
      </w:r>
      <w:r>
        <w:rPr/>
        <w:t>1989; Le and Vilcek, 1989; Sehgal </w:t>
      </w:r>
      <w:r>
        <w:rPr>
          <w:i/>
        </w:rPr>
        <w:t>et al.,</w:t>
      </w:r>
      <w:r>
        <w:rPr/>
        <w:t>1989; Heinrich </w:t>
      </w:r>
      <w:r>
        <w:rPr>
          <w:i/>
        </w:rPr>
        <w:t>et al.,</w:t>
      </w:r>
      <w:r>
        <w:rPr/>
        <w:t>1990).</w:t>
      </w:r>
    </w:p>
    <w:p>
      <w:pPr>
        <w:spacing w:after="0" w:line="480" w:lineRule="auto"/>
        <w:jc w:val="both"/>
        <w:sectPr>
          <w:pgSz w:w="11910" w:h="16840"/>
          <w:pgMar w:header="0" w:footer="1067" w:top="1060" w:bottom="1260" w:left="880" w:right="640"/>
        </w:sectPr>
      </w:pPr>
    </w:p>
    <w:p>
      <w:pPr>
        <w:pStyle w:val="BodyText"/>
        <w:spacing w:line="480" w:lineRule="auto" w:before="70"/>
        <w:ind w:left="560" w:right="792"/>
        <w:jc w:val="both"/>
      </w:pPr>
      <w:r>
        <w:rPr/>
        <w:t>The determination of the relationship between iron and acute phase protein, in this study showed a positive correlation between serum ferritin and C-RP. Serum ferritin is increased along with increasing values of C-RP. Serum ferritin, as an acute phase protein, increases in inflammation or immune stimulation. This finding is in agreement with (Koortz </w:t>
      </w:r>
      <w:r>
        <w:rPr>
          <w:i/>
        </w:rPr>
        <w:t>et al.,</w:t>
      </w:r>
      <w:r>
        <w:rPr/>
        <w:t>2011) who reported that IL-10 contributes to reducing bioavailable Iron (SF). IL-10 may contribute to</w:t>
      </w:r>
      <w:r>
        <w:rPr>
          <w:spacing w:val="-1"/>
        </w:rPr>
        <w:t> </w:t>
      </w:r>
      <w:r>
        <w:rPr/>
        <w:t>hypoferremia</w:t>
      </w:r>
      <w:r>
        <w:rPr>
          <w:spacing w:val="-2"/>
        </w:rPr>
        <w:t> </w:t>
      </w:r>
      <w:r>
        <w:rPr/>
        <w:t>of</w:t>
      </w:r>
      <w:r>
        <w:rPr>
          <w:spacing w:val="-2"/>
        </w:rPr>
        <w:t> </w:t>
      </w:r>
      <w:r>
        <w:rPr/>
        <w:t>chronic immune</w:t>
      </w:r>
      <w:r>
        <w:rPr>
          <w:spacing w:val="-2"/>
        </w:rPr>
        <w:t> </w:t>
      </w:r>
      <w:r>
        <w:rPr/>
        <w:t>stimulation by</w:t>
      </w:r>
      <w:r>
        <w:rPr>
          <w:spacing w:val="-4"/>
        </w:rPr>
        <w:t> </w:t>
      </w:r>
      <w:r>
        <w:rPr/>
        <w:t>regulating</w:t>
      </w:r>
      <w:r>
        <w:rPr>
          <w:spacing w:val="-1"/>
        </w:rPr>
        <w:t> </w:t>
      </w:r>
      <w:r>
        <w:rPr/>
        <w:t>the</w:t>
      </w:r>
      <w:r>
        <w:rPr>
          <w:spacing w:val="-2"/>
        </w:rPr>
        <w:t> </w:t>
      </w:r>
      <w:r>
        <w:rPr/>
        <w:t>transcription</w:t>
      </w:r>
      <w:r>
        <w:rPr>
          <w:spacing w:val="-1"/>
        </w:rPr>
        <w:t> </w:t>
      </w:r>
      <w:r>
        <w:rPr/>
        <w:t>and</w:t>
      </w:r>
      <w:r>
        <w:rPr>
          <w:spacing w:val="-1"/>
        </w:rPr>
        <w:t> </w:t>
      </w:r>
      <w:r>
        <w:rPr/>
        <w:t>translation of ferritin and by stimulating the expression of haemoglobin scavenger receptor, CD163 (Ludwiezek </w:t>
      </w:r>
      <w:r>
        <w:rPr>
          <w:i/>
        </w:rPr>
        <w:t>et al.,</w:t>
      </w:r>
      <w:r>
        <w:rPr/>
        <w:t>2003; Weiss and Goodnough, 2005).</w:t>
      </w:r>
    </w:p>
    <w:p>
      <w:pPr>
        <w:pStyle w:val="BodyText"/>
        <w:spacing w:before="1"/>
      </w:pPr>
    </w:p>
    <w:p>
      <w:pPr>
        <w:pStyle w:val="BodyText"/>
        <w:spacing w:line="480" w:lineRule="auto"/>
        <w:ind w:left="560" w:right="795"/>
        <w:jc w:val="both"/>
      </w:pPr>
      <w:r>
        <w:rPr/>
        <w:t>C-RP</w:t>
      </w:r>
      <w:r>
        <w:rPr>
          <w:spacing w:val="-1"/>
        </w:rPr>
        <w:t> </w:t>
      </w:r>
      <w:r>
        <w:rPr/>
        <w:t>belongs</w:t>
      </w:r>
      <w:r>
        <w:rPr>
          <w:spacing w:val="-1"/>
        </w:rPr>
        <w:t> </w:t>
      </w:r>
      <w:r>
        <w:rPr/>
        <w:t>to</w:t>
      </w:r>
      <w:r>
        <w:rPr>
          <w:spacing w:val="-3"/>
        </w:rPr>
        <w:t> </w:t>
      </w:r>
      <w:r>
        <w:rPr/>
        <w:t>acute</w:t>
      </w:r>
      <w:r>
        <w:rPr>
          <w:spacing w:val="-2"/>
        </w:rPr>
        <w:t> </w:t>
      </w:r>
      <w:r>
        <w:rPr/>
        <w:t>phase</w:t>
      </w:r>
      <w:r>
        <w:rPr>
          <w:spacing w:val="-2"/>
        </w:rPr>
        <w:t> </w:t>
      </w:r>
      <w:r>
        <w:rPr/>
        <w:t>proteins (APP). It</w:t>
      </w:r>
      <w:r>
        <w:rPr>
          <w:spacing w:val="-1"/>
        </w:rPr>
        <w:t> </w:t>
      </w:r>
      <w:r>
        <w:rPr/>
        <w:t>binds</w:t>
      </w:r>
      <w:r>
        <w:rPr>
          <w:spacing w:val="-1"/>
        </w:rPr>
        <w:t> </w:t>
      </w:r>
      <w:r>
        <w:rPr/>
        <w:t>to</w:t>
      </w:r>
      <w:r>
        <w:rPr>
          <w:spacing w:val="-1"/>
        </w:rPr>
        <w:t> </w:t>
      </w:r>
      <w:r>
        <w:rPr/>
        <w:t>phosphocholine</w:t>
      </w:r>
      <w:r>
        <w:rPr>
          <w:spacing w:val="-2"/>
        </w:rPr>
        <w:t> </w:t>
      </w:r>
      <w:r>
        <w:rPr/>
        <w:t>on</w:t>
      </w:r>
      <w:r>
        <w:rPr>
          <w:spacing w:val="-1"/>
        </w:rPr>
        <w:t> </w:t>
      </w:r>
      <w:r>
        <w:rPr/>
        <w:t>the</w:t>
      </w:r>
      <w:r>
        <w:rPr>
          <w:spacing w:val="-2"/>
        </w:rPr>
        <w:t> </w:t>
      </w:r>
      <w:r>
        <w:rPr/>
        <w:t>membranes</w:t>
      </w:r>
      <w:r>
        <w:rPr>
          <w:spacing w:val="-1"/>
        </w:rPr>
        <w:t> </w:t>
      </w:r>
      <w:r>
        <w:rPr/>
        <w:t>of microbes. Such interactions may activate the complement system which leads to the elimination of microbes thereby protecting the host from infection. APP does not directly interfere with iron metabolism nor induce anaemia,rather, they may pass through some other pathways. This is easily understood, for example, C-RP interacts with IL-6 to produce hepcidin which mops iron resulting in anaemia. While α-1-antitrypsin may block transferrin mediated iron uptake into the erythroids but not into the reticuloendothelial cells (Graziadei 1994). Moreover, it is posited that α-1-antitrypsin regulates the conversion of pro-hepcidin to hepcidin in a reaction that is mediated by furin, a prohormone convetase (Ganz, 2003). These processes perturb iron homeostasis, limits iron avaliability to the erythrons and subsequent reduction of erythropoiesis.Currently, substantial evidence abounds to the interference on</w:t>
      </w:r>
      <w:r>
        <w:rPr>
          <w:spacing w:val="40"/>
        </w:rPr>
        <w:t> </w:t>
      </w:r>
      <w:r>
        <w:rPr/>
        <w:t>iron homeostasisbeing mediated by hepcidin. Hepcidin is an acute phase protein and a 25- amino acid peptide hormone secreted by</w:t>
      </w:r>
      <w:r>
        <w:rPr>
          <w:spacing w:val="-1"/>
        </w:rPr>
        <w:t> </w:t>
      </w:r>
      <w:r>
        <w:rPr/>
        <w:t>hepatocytes which circulate in the plasma. Hepcidin inhibits intestinal iron absorption, iron recycling in macrophages and release of stored iron from hepatocytes, thus decreasing body iron availability (Neimeth </w:t>
      </w:r>
      <w:r>
        <w:rPr>
          <w:i/>
        </w:rPr>
        <w:t>et al.,</w:t>
      </w:r>
      <w:r>
        <w:rPr/>
        <w:t>2003).</w:t>
      </w:r>
    </w:p>
    <w:p>
      <w:pPr>
        <w:pStyle w:val="BodyText"/>
        <w:spacing w:before="2"/>
      </w:pPr>
    </w:p>
    <w:p>
      <w:pPr>
        <w:pStyle w:val="BodyText"/>
        <w:spacing w:line="482" w:lineRule="auto" w:before="1"/>
        <w:ind w:left="560" w:right="795"/>
        <w:jc w:val="both"/>
      </w:pPr>
      <w:r>
        <w:rPr/>
        <w:t>On the determination of the relationship between cytokines and iron, this study revealed negative</w:t>
      </w:r>
      <w:r>
        <w:rPr>
          <w:spacing w:val="73"/>
        </w:rPr>
        <w:t> </w:t>
      </w:r>
      <w:r>
        <w:rPr/>
        <w:t>correlation</w:t>
      </w:r>
      <w:r>
        <w:rPr>
          <w:spacing w:val="76"/>
        </w:rPr>
        <w:t> </w:t>
      </w:r>
      <w:r>
        <w:rPr/>
        <w:t>between</w:t>
      </w:r>
      <w:r>
        <w:rPr>
          <w:spacing w:val="75"/>
        </w:rPr>
        <w:t> </w:t>
      </w:r>
      <w:r>
        <w:rPr/>
        <w:t>most</w:t>
      </w:r>
      <w:r>
        <w:rPr>
          <w:spacing w:val="75"/>
        </w:rPr>
        <w:t> </w:t>
      </w:r>
      <w:r>
        <w:rPr/>
        <w:t>cytokines</w:t>
      </w:r>
      <w:r>
        <w:rPr>
          <w:spacing w:val="75"/>
        </w:rPr>
        <w:t> </w:t>
      </w:r>
      <w:r>
        <w:rPr/>
        <w:t>(IFN</w:t>
      </w:r>
      <w:r>
        <w:rPr>
          <w:rFonts w:ascii="Symbol" w:hAnsi="Symbol"/>
        </w:rPr>
        <w:t></w:t>
      </w:r>
      <w:r>
        <w:rPr>
          <w:spacing w:val="75"/>
        </w:rPr>
        <w:t> </w:t>
      </w:r>
      <w:r>
        <w:rPr/>
        <w:t>and</w:t>
      </w:r>
      <w:r>
        <w:rPr>
          <w:spacing w:val="74"/>
        </w:rPr>
        <w:t> </w:t>
      </w:r>
      <w:r>
        <w:rPr/>
        <w:t>TNF</w:t>
      </w:r>
      <w:r>
        <w:rPr>
          <w:rFonts w:ascii="Symbol" w:hAnsi="Symbol"/>
        </w:rPr>
        <w:t></w:t>
      </w:r>
      <w:r>
        <w:rPr/>
        <w:t>)</w:t>
      </w:r>
      <w:r>
        <w:rPr>
          <w:spacing w:val="77"/>
        </w:rPr>
        <w:t> </w:t>
      </w:r>
      <w:r>
        <w:rPr/>
        <w:t>and</w:t>
      </w:r>
      <w:r>
        <w:rPr>
          <w:spacing w:val="75"/>
        </w:rPr>
        <w:t> </w:t>
      </w:r>
      <w:r>
        <w:rPr/>
        <w:t>haemoglobin.</w:t>
      </w:r>
      <w:r>
        <w:rPr>
          <w:spacing w:val="75"/>
        </w:rPr>
        <w:t> </w:t>
      </w:r>
      <w:r>
        <w:rPr>
          <w:spacing w:val="-5"/>
        </w:rPr>
        <w:t>The</w:t>
      </w:r>
    </w:p>
    <w:p>
      <w:pPr>
        <w:spacing w:after="0" w:line="482" w:lineRule="auto"/>
        <w:jc w:val="both"/>
        <w:sectPr>
          <w:pgSz w:w="11910" w:h="16840"/>
          <w:pgMar w:header="0" w:footer="1067" w:top="1060" w:bottom="1260" w:left="880" w:right="640"/>
        </w:sectPr>
      </w:pPr>
    </w:p>
    <w:p>
      <w:pPr>
        <w:pStyle w:val="BodyText"/>
        <w:spacing w:line="480" w:lineRule="auto" w:before="72"/>
        <w:ind w:left="560" w:right="793"/>
        <w:jc w:val="both"/>
      </w:pPr>
      <w:r>
        <w:rPr/>
        <w:t>cytokines (IFN</w:t>
      </w:r>
      <w:r>
        <w:rPr>
          <w:rFonts w:ascii="Symbol" w:hAnsi="Symbol"/>
        </w:rPr>
        <w:t></w:t>
      </w:r>
      <w:r>
        <w:rPr/>
        <w:t> and TNF</w:t>
      </w:r>
      <w:r>
        <w:rPr>
          <w:rFonts w:ascii="Symbol" w:hAnsi="Symbol"/>
        </w:rPr>
        <w:t></w:t>
      </w:r>
      <w:r>
        <w:rPr/>
        <w:t>) tend to move together in opposite direction with haemoglobin. This suggests that increased levels of the cytokines may interrupt iron homeostasis which in turn compromised iron metabolism specifically at the erythroid precursor cells (erythrons) (Venugopal, 2007; Kawthalkar, 2008; Hoffbrand and Moss, 2011). This results in decreased haemoglobin. It could be remembered that incorporation of iron into the haemoglobin (synthesis of haemoglobin) molecule takes place at the erythrons (Edward, 2001). Cytokines interferes with iron metabolism through various mechanisms that first and foremost effect changes in iron homeostasis. The changes involve interplay of processes that would result inreduction in the release or increased macrophage iron, hypoferremia, relative decline in erythroid</w:t>
      </w:r>
      <w:r>
        <w:rPr>
          <w:spacing w:val="-2"/>
        </w:rPr>
        <w:t> </w:t>
      </w:r>
      <w:r>
        <w:rPr/>
        <w:t>activity</w:t>
      </w:r>
      <w:r>
        <w:rPr>
          <w:spacing w:val="-6"/>
        </w:rPr>
        <w:t> </w:t>
      </w:r>
      <w:r>
        <w:rPr/>
        <w:t>and</w:t>
      </w:r>
      <w:r>
        <w:rPr>
          <w:spacing w:val="-1"/>
        </w:rPr>
        <w:t> </w:t>
      </w:r>
      <w:r>
        <w:rPr/>
        <w:t>shortening</w:t>
      </w:r>
      <w:r>
        <w:rPr>
          <w:spacing w:val="-1"/>
        </w:rPr>
        <w:t> </w:t>
      </w:r>
      <w:r>
        <w:rPr/>
        <w:t>of</w:t>
      </w:r>
      <w:r>
        <w:rPr>
          <w:spacing w:val="-2"/>
        </w:rPr>
        <w:t> </w:t>
      </w:r>
      <w:r>
        <w:rPr/>
        <w:t>red</w:t>
      </w:r>
      <w:r>
        <w:rPr>
          <w:spacing w:val="-1"/>
        </w:rPr>
        <w:t> </w:t>
      </w:r>
      <w:r>
        <w:rPr/>
        <w:t>cell</w:t>
      </w:r>
      <w:r>
        <w:rPr>
          <w:spacing w:val="-1"/>
        </w:rPr>
        <w:t> </w:t>
      </w:r>
      <w:r>
        <w:rPr/>
        <w:t>life</w:t>
      </w:r>
      <w:r>
        <w:rPr>
          <w:spacing w:val="-3"/>
        </w:rPr>
        <w:t> </w:t>
      </w:r>
      <w:r>
        <w:rPr/>
        <w:t>span.</w:t>
      </w:r>
      <w:r>
        <w:rPr>
          <w:spacing w:val="-1"/>
        </w:rPr>
        <w:t> </w:t>
      </w:r>
      <w:r>
        <w:rPr/>
        <w:t>The ideal</w:t>
      </w:r>
      <w:r>
        <w:rPr>
          <w:spacing w:val="-1"/>
        </w:rPr>
        <w:t> </w:t>
      </w:r>
      <w:r>
        <w:rPr/>
        <w:t>process</w:t>
      </w:r>
      <w:r>
        <w:rPr>
          <w:spacing w:val="-1"/>
        </w:rPr>
        <w:t> </w:t>
      </w:r>
      <w:r>
        <w:rPr/>
        <w:t>of</w:t>
      </w:r>
      <w:r>
        <w:rPr>
          <w:spacing w:val="-2"/>
        </w:rPr>
        <w:t> </w:t>
      </w:r>
      <w:r>
        <w:rPr/>
        <w:t>iron</w:t>
      </w:r>
      <w:r>
        <w:rPr>
          <w:spacing w:val="-2"/>
        </w:rPr>
        <w:t> </w:t>
      </w:r>
      <w:r>
        <w:rPr/>
        <w:t>homeostasis</w:t>
      </w:r>
      <w:r>
        <w:rPr>
          <w:spacing w:val="-3"/>
        </w:rPr>
        <w:t> </w:t>
      </w:r>
      <w:r>
        <w:rPr/>
        <w:t>is that iron enters the body by absorption of dietary sources, bound to transferrin and delivered primarily to the bone marrow for erythropoiesis although much of the iron required for erythropoiesis is recycled from senescent erythrocytes. Iron could be stored in macrophages and in the hepatocytes until it is required. Its removal in the body is carried out only through sloughing</w:t>
      </w:r>
      <w:r>
        <w:rPr>
          <w:spacing w:val="-1"/>
        </w:rPr>
        <w:t> </w:t>
      </w:r>
      <w:r>
        <w:rPr/>
        <w:t>of</w:t>
      </w:r>
      <w:r>
        <w:rPr>
          <w:spacing w:val="-2"/>
        </w:rPr>
        <w:t> </w:t>
      </w:r>
      <w:r>
        <w:rPr/>
        <w:t>enterocytes and</w:t>
      </w:r>
      <w:r>
        <w:rPr>
          <w:spacing w:val="-1"/>
        </w:rPr>
        <w:t> </w:t>
      </w:r>
      <w:r>
        <w:rPr/>
        <w:t>bleeding.</w:t>
      </w:r>
      <w:r>
        <w:rPr>
          <w:spacing w:val="-1"/>
        </w:rPr>
        <w:t> </w:t>
      </w:r>
      <w:r>
        <w:rPr/>
        <w:t>Therefore systemic</w:t>
      </w:r>
      <w:r>
        <w:rPr>
          <w:spacing w:val="-2"/>
        </w:rPr>
        <w:t> </w:t>
      </w:r>
      <w:r>
        <w:rPr/>
        <w:t>iron</w:t>
      </w:r>
      <w:r>
        <w:rPr>
          <w:spacing w:val="-2"/>
        </w:rPr>
        <w:t> </w:t>
      </w:r>
      <w:r>
        <w:rPr/>
        <w:t>balance</w:t>
      </w:r>
      <w:r>
        <w:rPr>
          <w:spacing w:val="-2"/>
        </w:rPr>
        <w:t> </w:t>
      </w:r>
      <w:r>
        <w:rPr/>
        <w:t>is maintained</w:t>
      </w:r>
      <w:r>
        <w:rPr>
          <w:spacing w:val="-1"/>
        </w:rPr>
        <w:t> </w:t>
      </w:r>
      <w:r>
        <w:rPr/>
        <w:t>by</w:t>
      </w:r>
      <w:r>
        <w:rPr>
          <w:spacing w:val="-6"/>
        </w:rPr>
        <w:t> </w:t>
      </w:r>
      <w:r>
        <w:rPr/>
        <w:t>tight regulation of iron absorption and its release from reticuloendothelial and hepatocyte stores (Tolo, 2003) but cytokine dysregulation or up-regulation imposes untold interference in iron homeostasis. For instance, IFNɤ and LPS increase the uptake of non transferrin bound iron (NTBI). Non-transferrin bound iron induces the retention of iron within monocytes.</w:t>
      </w:r>
      <w:r>
        <w:rPr>
          <w:spacing w:val="40"/>
        </w:rPr>
        <w:t> </w:t>
      </w:r>
      <w:r>
        <w:rPr/>
        <w:t>It also down regulates the synthesis of ferroportin. TNF</w:t>
      </w:r>
      <w:r>
        <w:rPr>
          <w:rFonts w:ascii="Symbol" w:hAnsi="Symbol"/>
        </w:rPr>
        <w:t></w:t>
      </w:r>
      <w:r>
        <w:rPr/>
        <w:t>, IL-1, IL-6 and IL-10 induce synthesis, retention and storage of ferritin within macrophages. Also, TNF</w:t>
      </w:r>
      <w:r>
        <w:rPr>
          <w:rFonts w:ascii="Symbol" w:hAnsi="Symbol"/>
        </w:rPr>
        <w:t></w:t>
      </w:r>
      <w:r>
        <w:rPr>
          <w:spacing w:val="40"/>
        </w:rPr>
        <w:t> </w:t>
      </w:r>
      <w:r>
        <w:rPr/>
        <w:t>increases macrophage acquisition of erythrocyte iron by increasing expression of C3b receptor (Miller </w:t>
      </w:r>
      <w:r>
        <w:rPr>
          <w:i/>
        </w:rPr>
        <w:t>et al., </w:t>
      </w:r>
      <w:r>
        <w:rPr/>
        <w:t>1994; Rogers, 1996; Ludwiezek </w:t>
      </w:r>
      <w:r>
        <w:rPr>
          <w:i/>
        </w:rPr>
        <w:t>et al., </w:t>
      </w:r>
      <w:r>
        <w:rPr/>
        <w:t>2003; Weiss and Goodnough, 2005).</w:t>
      </w:r>
    </w:p>
    <w:p>
      <w:pPr>
        <w:pStyle w:val="BodyText"/>
        <w:spacing w:before="1"/>
      </w:pPr>
    </w:p>
    <w:p>
      <w:pPr>
        <w:pStyle w:val="BodyText"/>
        <w:spacing w:line="480" w:lineRule="auto"/>
        <w:ind w:left="560" w:right="796"/>
        <w:jc w:val="both"/>
      </w:pPr>
      <w:r>
        <w:rPr/>
        <w:t>Also, up-regulated cytokine synthesis induces hypoferremia. Hypoferremia or decreased plasma</w:t>
      </w:r>
      <w:r>
        <w:rPr>
          <w:spacing w:val="26"/>
        </w:rPr>
        <w:t> </w:t>
      </w:r>
      <w:r>
        <w:rPr/>
        <w:t>iron</w:t>
      </w:r>
      <w:r>
        <w:rPr>
          <w:spacing w:val="27"/>
        </w:rPr>
        <w:t> </w:t>
      </w:r>
      <w:r>
        <w:rPr/>
        <w:t>occur</w:t>
      </w:r>
      <w:r>
        <w:rPr>
          <w:spacing w:val="26"/>
        </w:rPr>
        <w:t> </w:t>
      </w:r>
      <w:r>
        <w:rPr/>
        <w:t>through</w:t>
      </w:r>
      <w:r>
        <w:rPr>
          <w:spacing w:val="27"/>
        </w:rPr>
        <w:t> </w:t>
      </w:r>
      <w:r>
        <w:rPr/>
        <w:t>reduction</w:t>
      </w:r>
      <w:r>
        <w:rPr>
          <w:spacing w:val="27"/>
        </w:rPr>
        <w:t> </w:t>
      </w:r>
      <w:r>
        <w:rPr/>
        <w:t>in</w:t>
      </w:r>
      <w:r>
        <w:rPr>
          <w:spacing w:val="28"/>
        </w:rPr>
        <w:t> </w:t>
      </w:r>
      <w:r>
        <w:rPr/>
        <w:t>the</w:t>
      </w:r>
      <w:r>
        <w:rPr>
          <w:spacing w:val="28"/>
        </w:rPr>
        <w:t> </w:t>
      </w:r>
      <w:r>
        <w:rPr/>
        <w:t>hepatic</w:t>
      </w:r>
      <w:r>
        <w:rPr>
          <w:spacing w:val="26"/>
        </w:rPr>
        <w:t> </w:t>
      </w:r>
      <w:r>
        <w:rPr/>
        <w:t>synthesis</w:t>
      </w:r>
      <w:r>
        <w:rPr>
          <w:spacing w:val="28"/>
        </w:rPr>
        <w:t> </w:t>
      </w:r>
      <w:r>
        <w:rPr/>
        <w:t>of</w:t>
      </w:r>
      <w:r>
        <w:rPr>
          <w:spacing w:val="26"/>
        </w:rPr>
        <w:t> </w:t>
      </w:r>
      <w:r>
        <w:rPr/>
        <w:t>transferrin,</w:t>
      </w:r>
      <w:r>
        <w:rPr>
          <w:spacing w:val="28"/>
        </w:rPr>
        <w:t> </w:t>
      </w:r>
      <w:r>
        <w:rPr/>
        <w:t>(the</w:t>
      </w:r>
      <w:r>
        <w:rPr>
          <w:spacing w:val="26"/>
        </w:rPr>
        <w:t> </w:t>
      </w:r>
      <w:r>
        <w:rPr/>
        <w:t>major</w:t>
      </w:r>
      <w:r>
        <w:rPr>
          <w:spacing w:val="27"/>
        </w:rPr>
        <w:t> </w:t>
      </w:r>
      <w:r>
        <w:rPr>
          <w:spacing w:val="-4"/>
        </w:rPr>
        <w:t>iron</w:t>
      </w:r>
    </w:p>
    <w:p>
      <w:pPr>
        <w:spacing w:after="0" w:line="480" w:lineRule="auto"/>
        <w:jc w:val="both"/>
        <w:sectPr>
          <w:pgSz w:w="11910" w:h="16840"/>
          <w:pgMar w:header="0" w:footer="1067" w:top="1060" w:bottom="1260" w:left="880" w:right="640"/>
        </w:sectPr>
      </w:pPr>
    </w:p>
    <w:p>
      <w:pPr>
        <w:pStyle w:val="BodyText"/>
        <w:spacing w:line="480" w:lineRule="auto" w:before="70"/>
        <w:ind w:left="560" w:right="794"/>
        <w:jc w:val="both"/>
      </w:pPr>
      <w:r>
        <w:rPr/>
        <w:t>transporting protein in the plasma) and increased synthesis of iron binding protein such as lactoferrin. Lactoferrin is synthesized and stored in specific granules in neutrophils (Mazza, 2002). It has greater affinity for iron than transferrin and does not transfer its bound iron to erythroid precursors rather it returns the iron to the macrophages of the reticuloendothelial system where it is incorporated into intracellular iron stores. This is because erythroids have receptors only for transferrin bound iron. So iron bound to lactoferrin is returned to macrophages not being used for the synthesis of haemoglobin (Allan, 1995). The release of lactoferrin in lieu of infection is mediated by IL-1 (Hillman and Ault 1995, Ludwiezk </w:t>
      </w:r>
      <w:r>
        <w:rPr>
          <w:i/>
        </w:rPr>
        <w:t>et al., </w:t>
      </w:r>
      <w:r>
        <w:rPr/>
        <w:t>2003), thus resulting indepressederythropoiesis.</w:t>
      </w:r>
    </w:p>
    <w:p>
      <w:pPr>
        <w:pStyle w:val="BodyText"/>
        <w:spacing w:before="1"/>
      </w:pPr>
    </w:p>
    <w:p>
      <w:pPr>
        <w:pStyle w:val="BodyText"/>
        <w:spacing w:line="480" w:lineRule="auto"/>
        <w:ind w:left="560" w:right="794"/>
        <w:jc w:val="both"/>
      </w:pPr>
      <w:r>
        <w:rPr/>
        <w:t>In addition</w:t>
      </w:r>
      <w:r>
        <w:rPr>
          <w:spacing w:val="-1"/>
        </w:rPr>
        <w:t> </w:t>
      </w:r>
      <w:r>
        <w:rPr/>
        <w:t>over expression</w:t>
      </w:r>
      <w:r>
        <w:rPr>
          <w:spacing w:val="-1"/>
        </w:rPr>
        <w:t> </w:t>
      </w:r>
      <w:r>
        <w:rPr/>
        <w:t>of</w:t>
      </w:r>
      <w:r>
        <w:rPr>
          <w:spacing w:val="-2"/>
        </w:rPr>
        <w:t> </w:t>
      </w:r>
      <w:r>
        <w:rPr/>
        <w:t>cytokines depresses</w:t>
      </w:r>
      <w:r>
        <w:rPr>
          <w:spacing w:val="-1"/>
        </w:rPr>
        <w:t> </w:t>
      </w:r>
      <w:r>
        <w:rPr/>
        <w:t>erythropoiesis.</w:t>
      </w:r>
      <w:r>
        <w:rPr>
          <w:spacing w:val="-1"/>
        </w:rPr>
        <w:t> </w:t>
      </w:r>
      <w:r>
        <w:rPr/>
        <w:t>Commonly</w:t>
      </w:r>
      <w:r>
        <w:rPr>
          <w:spacing w:val="-5"/>
        </w:rPr>
        <w:t> </w:t>
      </w:r>
      <w:r>
        <w:rPr/>
        <w:t>affected are</w:t>
      </w:r>
      <w:r>
        <w:rPr>
          <w:spacing w:val="-3"/>
        </w:rPr>
        <w:t> </w:t>
      </w:r>
      <w:r>
        <w:rPr/>
        <w:t>the erythrocyte progenitors (B-CFU,</w:t>
      </w:r>
      <w:r>
        <w:rPr>
          <w:spacing w:val="-2"/>
        </w:rPr>
        <w:t> </w:t>
      </w:r>
      <w:r>
        <w:rPr/>
        <w:t>CFU-E)</w:t>
      </w:r>
      <w:r>
        <w:rPr>
          <w:spacing w:val="-2"/>
        </w:rPr>
        <w:t> </w:t>
      </w:r>
      <w:r>
        <w:rPr/>
        <w:t>and</w:t>
      </w:r>
      <w:r>
        <w:rPr>
          <w:spacing w:val="-1"/>
        </w:rPr>
        <w:t> </w:t>
      </w:r>
      <w:r>
        <w:rPr/>
        <w:t>the precursor</w:t>
      </w:r>
      <w:r>
        <w:rPr>
          <w:spacing w:val="-2"/>
        </w:rPr>
        <w:t> </w:t>
      </w:r>
      <w:r>
        <w:rPr/>
        <w:t>cells.</w:t>
      </w:r>
      <w:r>
        <w:rPr>
          <w:spacing w:val="40"/>
        </w:rPr>
        <w:t> </w:t>
      </w:r>
      <w:r>
        <w:rPr/>
        <w:t>It is</w:t>
      </w:r>
      <w:r>
        <w:rPr>
          <w:spacing w:val="-1"/>
        </w:rPr>
        <w:t> </w:t>
      </w:r>
      <w:r>
        <w:rPr/>
        <w:t>reported</w:t>
      </w:r>
      <w:r>
        <w:rPr>
          <w:spacing w:val="-1"/>
        </w:rPr>
        <w:t> </w:t>
      </w:r>
      <w:r>
        <w:rPr/>
        <w:t>that IFN</w:t>
      </w:r>
      <w:r>
        <w:rPr>
          <w:rFonts w:ascii="Symbol" w:hAnsi="Symbol"/>
        </w:rPr>
        <w:t></w:t>
      </w:r>
      <w:r>
        <w:rPr/>
        <w:t> and TNF produced by cytotoxic T. cells are capable of suppressing growth, affecting mitosis and inducing apoptosis of progenitor cells. Apoptosis is explained as morphological changes associated with programmed cell death. The changes may occur due to decreased cell</w:t>
      </w:r>
      <w:r>
        <w:rPr>
          <w:spacing w:val="40"/>
        </w:rPr>
        <w:t> </w:t>
      </w:r>
      <w:r>
        <w:rPr/>
        <w:t>volume, membrane blebbing, condensation of chromatin and degradation of the DNA into fragments (Elgert, 2009). Moreover, up-regulation of these cytokines may induce the production of nitric oxide synthase, nitric acid and other free radicals by marrow cells.</w:t>
      </w:r>
      <w:r>
        <w:rPr>
          <w:spacing w:val="40"/>
        </w:rPr>
        <w:t> </w:t>
      </w:r>
      <w:r>
        <w:rPr/>
        <w:t>The direct effect of these free radicals may render the erythroid precursors ineffective or contribute to immune mediated cytotoxicity and elimination of haemopoietic cells (Brugnara, 2003; Venugopal, 2007).</w:t>
      </w:r>
    </w:p>
    <w:p>
      <w:pPr>
        <w:pStyle w:val="BodyText"/>
        <w:spacing w:before="2"/>
      </w:pPr>
    </w:p>
    <w:p>
      <w:pPr>
        <w:pStyle w:val="BodyText"/>
        <w:spacing w:line="480" w:lineRule="auto"/>
        <w:ind w:left="560" w:right="797"/>
        <w:jc w:val="both"/>
      </w:pPr>
      <w:r>
        <w:rPr/>
        <w:t>Another pathway whereby over expression of cytokine may mediatedepressed erythropoiesis is by programmed death of erythrons through the formation of ceramid.</w:t>
      </w:r>
      <w:r>
        <w:rPr>
          <w:spacing w:val="40"/>
        </w:rPr>
        <w:t> </w:t>
      </w:r>
      <w:r>
        <w:rPr/>
        <w:t>Ceramids are important intermediate in the biosynthesis of sphingolipids. Accumulation of ceramids (sphingolipids) or</w:t>
      </w:r>
      <w:r>
        <w:rPr>
          <w:spacing w:val="-1"/>
        </w:rPr>
        <w:t> </w:t>
      </w:r>
      <w:r>
        <w:rPr/>
        <w:t>any</w:t>
      </w:r>
      <w:r>
        <w:rPr>
          <w:spacing w:val="-5"/>
        </w:rPr>
        <w:t> </w:t>
      </w:r>
      <w:r>
        <w:rPr/>
        <w:t>toxic</w:t>
      </w:r>
      <w:r>
        <w:rPr>
          <w:spacing w:val="-1"/>
        </w:rPr>
        <w:t> </w:t>
      </w:r>
      <w:r>
        <w:rPr/>
        <w:t>metabolite on the cell membrane is injurious resulting in death of the</w:t>
      </w:r>
      <w:r>
        <w:rPr>
          <w:spacing w:val="24"/>
        </w:rPr>
        <w:t> </w:t>
      </w:r>
      <w:r>
        <w:rPr/>
        <w:t>erythrons</w:t>
      </w:r>
      <w:r>
        <w:rPr>
          <w:spacing w:val="28"/>
        </w:rPr>
        <w:t> </w:t>
      </w:r>
      <w:r>
        <w:rPr/>
        <w:t>(Hussain,</w:t>
      </w:r>
      <w:r>
        <w:rPr>
          <w:spacing w:val="30"/>
        </w:rPr>
        <w:t> </w:t>
      </w:r>
      <w:r>
        <w:rPr>
          <w:i/>
        </w:rPr>
        <w:t>et</w:t>
      </w:r>
      <w:r>
        <w:rPr>
          <w:i/>
          <w:spacing w:val="28"/>
        </w:rPr>
        <w:t> </w:t>
      </w:r>
      <w:r>
        <w:rPr>
          <w:i/>
        </w:rPr>
        <w:t>al.,</w:t>
      </w:r>
      <w:r>
        <w:rPr>
          <w:i/>
          <w:spacing w:val="29"/>
        </w:rPr>
        <w:t> </w:t>
      </w:r>
      <w:r>
        <w:rPr/>
        <w:t>2012).</w:t>
      </w:r>
      <w:r>
        <w:rPr>
          <w:spacing w:val="27"/>
        </w:rPr>
        <w:t> </w:t>
      </w:r>
      <w:r>
        <w:rPr/>
        <w:t>Again</w:t>
      </w:r>
      <w:r>
        <w:rPr>
          <w:spacing w:val="27"/>
        </w:rPr>
        <w:t> </w:t>
      </w:r>
      <w:r>
        <w:rPr/>
        <w:t>increased</w:t>
      </w:r>
      <w:r>
        <w:rPr>
          <w:spacing w:val="27"/>
        </w:rPr>
        <w:t> </w:t>
      </w:r>
      <w:r>
        <w:rPr/>
        <w:t>cytokine</w:t>
      </w:r>
      <w:r>
        <w:rPr>
          <w:spacing w:val="29"/>
        </w:rPr>
        <w:t> </w:t>
      </w:r>
      <w:r>
        <w:rPr/>
        <w:t>and</w:t>
      </w:r>
      <w:r>
        <w:rPr>
          <w:spacing w:val="27"/>
        </w:rPr>
        <w:t> </w:t>
      </w:r>
      <w:r>
        <w:rPr/>
        <w:t>endotoxin</w:t>
      </w:r>
      <w:r>
        <w:rPr>
          <w:spacing w:val="27"/>
        </w:rPr>
        <w:t> </w:t>
      </w:r>
      <w:r>
        <w:rPr/>
        <w:t>may</w:t>
      </w:r>
      <w:r>
        <w:rPr>
          <w:spacing w:val="22"/>
        </w:rPr>
        <w:t> </w:t>
      </w:r>
      <w:r>
        <w:rPr/>
        <w:t>alter</w:t>
      </w:r>
      <w:r>
        <w:rPr>
          <w:spacing w:val="32"/>
        </w:rPr>
        <w:t> </w:t>
      </w:r>
      <w:r>
        <w:rPr>
          <w:spacing w:val="-5"/>
        </w:rPr>
        <w:t>or</w:t>
      </w:r>
    </w:p>
    <w:p>
      <w:pPr>
        <w:spacing w:after="0" w:line="480" w:lineRule="auto"/>
        <w:jc w:val="both"/>
        <w:sectPr>
          <w:pgSz w:w="11910" w:h="16840"/>
          <w:pgMar w:header="0" w:footer="1067" w:top="1060" w:bottom="1260" w:left="880" w:right="640"/>
        </w:sectPr>
      </w:pPr>
    </w:p>
    <w:p>
      <w:pPr>
        <w:pStyle w:val="BodyText"/>
        <w:spacing w:line="480" w:lineRule="auto" w:before="70"/>
        <w:ind w:left="560" w:right="796"/>
        <w:jc w:val="both"/>
      </w:pPr>
      <w:r>
        <w:rPr/>
        <w:t>change the erythrocyte membrane and facilitates erythrophagocytosis with subsequent reduction of erythrocyte half life (Fillet </w:t>
      </w:r>
      <w:r>
        <w:rPr>
          <w:i/>
        </w:rPr>
        <w:t>et al., </w:t>
      </w:r>
      <w:r>
        <w:rPr/>
        <w:t>1989; Gasche </w:t>
      </w:r>
      <w:r>
        <w:rPr>
          <w:i/>
        </w:rPr>
        <w:t>et al., </w:t>
      </w:r>
      <w:r>
        <w:rPr/>
        <w:t>2004).On the other hand, spurious orno correlation which existed between most cytokines such as IL-4and iron parameters suggests that the cytokine and iron are independent of each other.</w:t>
      </w:r>
      <w:r>
        <w:rPr>
          <w:spacing w:val="40"/>
        </w:rPr>
        <w:t> </w:t>
      </w:r>
      <w:r>
        <w:rPr/>
        <w:t>In summary, elevated synthesis of acute phase proteins and/or upregulated cytokine secretion may pertub iron homeostasis which eventually compromises its metabolism. This study thushighlights</w:t>
      </w:r>
      <w:r>
        <w:rPr>
          <w:spacing w:val="80"/>
        </w:rPr>
        <w:t> </w:t>
      </w:r>
      <w:r>
        <w:rPr/>
        <w:t>the inter-relationship of cytokines, iron and malaria parasitaemia.</w:t>
      </w:r>
    </w:p>
    <w:p>
      <w:pPr>
        <w:spacing w:after="0" w:line="480" w:lineRule="auto"/>
        <w:jc w:val="both"/>
        <w:sectPr>
          <w:pgSz w:w="11910" w:h="16840"/>
          <w:pgMar w:header="0" w:footer="1067" w:top="1060" w:bottom="1260" w:left="880" w:right="640"/>
        </w:sectPr>
      </w:pPr>
    </w:p>
    <w:p>
      <w:pPr>
        <w:pStyle w:val="Heading2"/>
        <w:numPr>
          <w:ilvl w:val="1"/>
          <w:numId w:val="15"/>
        </w:numPr>
        <w:tabs>
          <w:tab w:pos="1100" w:val="left" w:leader="none"/>
        </w:tabs>
        <w:spacing w:line="240" w:lineRule="auto" w:before="75" w:after="0"/>
        <w:ind w:left="1100" w:right="0" w:hanging="540"/>
        <w:jc w:val="left"/>
      </w:pPr>
      <w:r>
        <w:rPr>
          <w:spacing w:val="-2"/>
        </w:rPr>
        <w:t>CONCLUSION</w:t>
      </w:r>
    </w:p>
    <w:p>
      <w:pPr>
        <w:pStyle w:val="BodyText"/>
        <w:spacing w:line="480" w:lineRule="auto" w:before="271"/>
        <w:ind w:left="560" w:right="794"/>
        <w:jc w:val="both"/>
      </w:pPr>
      <w:r>
        <w:rPr/>
        <w:t>This study has demonstrated that pregnancy is accompanied by the production of different cytokine away from non-pregnant state. Again, the placenta either with past or present</w:t>
      </w:r>
      <w:r>
        <w:rPr>
          <w:spacing w:val="40"/>
        </w:rPr>
        <w:t> </w:t>
      </w:r>
      <w:r>
        <w:rPr/>
        <w:t>malaria infection showed alteration of cytokine profile. Moderate to marked cytokine concentration in the placenta can influence the systemic circulationbutits measurement in the pheripheral may not be reflective of the placental environment. The most common</w:t>
      </w:r>
      <w:r>
        <w:rPr>
          <w:spacing w:val="40"/>
        </w:rPr>
        <w:t> </w:t>
      </w:r>
      <w:r>
        <w:rPr/>
        <w:t>biomarkers of inflammation are cytokines and acute phase proteins. This study has also demonstrated that peripheral parasitaemia does not equally represent the level in the placenta as more parasites are attracted to the placenta bed. Correspondingly, more leukocytes migrate to the local materno-foetal interphase against the number in the peripheral blood probably to militate (against) the elevated malaria parasite density in the placenta. Furthermore, age, gestational age and gravidity have no influence in determining the level of cytokines rather parasitaemia does and to a large extent, more cytokines are secreted in moderate than mild parasitaemia. Iron status was not affected by age and gravidity but was affected by</w:t>
      </w:r>
      <w:r>
        <w:rPr>
          <w:spacing w:val="80"/>
        </w:rPr>
        <w:t> </w:t>
      </w:r>
      <w:r>
        <w:rPr/>
        <w:t>gestational age. The data generated in this study followed the normal physiological pattern in which iron concentration decreases with increasing gestational age. Malaria induces the redistribution of iron. So,in the assessment of iron status in malaria endemic areas, it would</w:t>
      </w:r>
      <w:r>
        <w:rPr>
          <w:spacing w:val="40"/>
        </w:rPr>
        <w:t> </w:t>
      </w:r>
      <w:r>
        <w:rPr/>
        <w:t>be vital to expand antenatal screening tests to include assessment of malaria parasitaemia and several iron parameters. It is also important to assess infections especially theintestinal and urogenital tract. Pregnant women with anaemia of infection in which iron supplementation might not be of immense benefit (WHO, 2004)could be treated for infection before iron administration. A remarkable finding in this study is that some pregnant women had marked values of iron store.Such conditioncould be borne in mind in administration of Iron intervention.Essentially, this study aimed at assessing the relationship between cytokines, iron, acute phase proteins and malaria parasiteaemia revealed strong positive correlation betweenmalaria</w:t>
      </w:r>
      <w:r>
        <w:rPr>
          <w:spacing w:val="23"/>
        </w:rPr>
        <w:t>  </w:t>
      </w:r>
      <w:r>
        <w:rPr/>
        <w:t>parasitaemia,most</w:t>
      </w:r>
      <w:r>
        <w:rPr>
          <w:spacing w:val="27"/>
        </w:rPr>
        <w:t>  </w:t>
      </w:r>
      <w:r>
        <w:rPr/>
        <w:t>cytokinesand</w:t>
      </w:r>
      <w:r>
        <w:rPr>
          <w:spacing w:val="28"/>
        </w:rPr>
        <w:t>  </w:t>
      </w:r>
      <w:r>
        <w:rPr/>
        <w:t>acute</w:t>
      </w:r>
      <w:r>
        <w:rPr>
          <w:spacing w:val="27"/>
        </w:rPr>
        <w:t>  </w:t>
      </w:r>
      <w:r>
        <w:rPr/>
        <w:t>phase</w:t>
      </w:r>
      <w:r>
        <w:rPr>
          <w:spacing w:val="27"/>
        </w:rPr>
        <w:t>  </w:t>
      </w:r>
      <w:r>
        <w:rPr/>
        <w:t>proteins.</w:t>
      </w:r>
      <w:r>
        <w:rPr>
          <w:spacing w:val="28"/>
        </w:rPr>
        <w:t>  </w:t>
      </w:r>
      <w:r>
        <w:rPr/>
        <w:t>Parasitaemia</w:t>
      </w:r>
      <w:r>
        <w:rPr>
          <w:spacing w:val="28"/>
        </w:rPr>
        <w:t>  </w:t>
      </w:r>
      <w:r>
        <w:rPr>
          <w:spacing w:val="-7"/>
        </w:rPr>
        <w:t>is</w:t>
      </w:r>
    </w:p>
    <w:p>
      <w:pPr>
        <w:spacing w:after="0" w:line="480" w:lineRule="auto"/>
        <w:jc w:val="both"/>
        <w:sectPr>
          <w:pgSz w:w="11910" w:h="16840"/>
          <w:pgMar w:header="0" w:footer="1067" w:top="1060" w:bottom="1260" w:left="880" w:right="640"/>
        </w:sectPr>
      </w:pPr>
    </w:p>
    <w:p>
      <w:pPr>
        <w:pStyle w:val="BodyText"/>
        <w:spacing w:line="480" w:lineRule="auto" w:before="70"/>
        <w:ind w:left="560" w:right="793"/>
        <w:jc w:val="both"/>
      </w:pPr>
      <w:r>
        <w:rPr/>
        <w:t>consequential to elevated levels of cytokines.It showed that apart from direct haemolysis of red cells which reduces haemoglobin concentration, malaria parasitaemia indirectly interruptiron metabolismbyelevated levels of cytokines and acute phase proteins.So, differences in levels of cytokineand/or acute phase proteins may be related to normal conditions but over-expressioncould be delecterious.Over-expression of cytokines and acute phase proteins may perturb iron homeostasis and compromise iron metabolism and significantly impairsthe immune response.This appears to be the hallmark for most adverse conditions in pregnant and post partum women.Findings of this study may serve as background information for the proper management of malaria infected pregnant women.</w:t>
      </w:r>
    </w:p>
    <w:p>
      <w:pPr>
        <w:spacing w:after="0" w:line="480" w:lineRule="auto"/>
        <w:jc w:val="both"/>
        <w:sectPr>
          <w:pgSz w:w="11910" w:h="16840"/>
          <w:pgMar w:header="0" w:footer="1067" w:top="1060" w:bottom="1260" w:left="880" w:right="640"/>
        </w:sectPr>
      </w:pPr>
    </w:p>
    <w:p>
      <w:pPr>
        <w:pStyle w:val="Heading2"/>
        <w:numPr>
          <w:ilvl w:val="1"/>
          <w:numId w:val="15"/>
        </w:numPr>
        <w:tabs>
          <w:tab w:pos="1220" w:val="left" w:leader="none"/>
        </w:tabs>
        <w:spacing w:line="240" w:lineRule="auto" w:before="75" w:after="0"/>
        <w:ind w:left="1220" w:right="0" w:hanging="660"/>
        <w:jc w:val="left"/>
      </w:pPr>
      <w:r>
        <w:rPr>
          <w:spacing w:val="-2"/>
        </w:rPr>
        <w:t>RECOMMENDATIONS</w:t>
      </w:r>
    </w:p>
    <w:p>
      <w:pPr>
        <w:pStyle w:val="ListParagraph"/>
        <w:numPr>
          <w:ilvl w:val="0"/>
          <w:numId w:val="16"/>
        </w:numPr>
        <w:tabs>
          <w:tab w:pos="1280" w:val="left" w:leader="none"/>
        </w:tabs>
        <w:spacing w:line="480" w:lineRule="auto" w:before="271" w:after="0"/>
        <w:ind w:left="1280" w:right="796" w:hanging="720"/>
        <w:jc w:val="both"/>
        <w:rPr>
          <w:sz w:val="24"/>
        </w:rPr>
      </w:pPr>
      <w:r>
        <w:rPr>
          <w:sz w:val="24"/>
        </w:rPr>
        <w:t>Greater number of pregnant women habour malaria more in the placenta than the peripheral blood. Obtertricians and Gynaecologist‟s could commenceantenatal care and interventionsearly to checkmate its effect in time.</w:t>
      </w:r>
    </w:p>
    <w:p>
      <w:pPr>
        <w:pStyle w:val="BodyText"/>
      </w:pPr>
    </w:p>
    <w:p>
      <w:pPr>
        <w:pStyle w:val="ListParagraph"/>
        <w:numPr>
          <w:ilvl w:val="0"/>
          <w:numId w:val="16"/>
        </w:numPr>
        <w:tabs>
          <w:tab w:pos="1280" w:val="left" w:leader="none"/>
        </w:tabs>
        <w:spacing w:line="480" w:lineRule="auto" w:before="1" w:after="0"/>
        <w:ind w:left="1280" w:right="795" w:hanging="720"/>
        <w:jc w:val="both"/>
        <w:rPr>
          <w:sz w:val="24"/>
        </w:rPr>
      </w:pPr>
      <w:r>
        <w:rPr>
          <w:sz w:val="24"/>
        </w:rPr>
        <w:t>Evaluation of levels of iron at various compartments and at different trimesters would be better than relying solely on Hb concentration. This would afford the clinicians a better understanding of iron for the management of pregnant women.</w:t>
      </w:r>
    </w:p>
    <w:p>
      <w:pPr>
        <w:pStyle w:val="BodyText"/>
      </w:pPr>
    </w:p>
    <w:p>
      <w:pPr>
        <w:pStyle w:val="ListParagraph"/>
        <w:numPr>
          <w:ilvl w:val="0"/>
          <w:numId w:val="16"/>
        </w:numPr>
        <w:tabs>
          <w:tab w:pos="1280" w:val="left" w:leader="none"/>
        </w:tabs>
        <w:spacing w:line="480" w:lineRule="auto" w:before="0" w:after="0"/>
        <w:ind w:left="1280" w:right="801" w:hanging="720"/>
        <w:jc w:val="both"/>
        <w:rPr>
          <w:sz w:val="24"/>
        </w:rPr>
      </w:pPr>
      <w:r>
        <w:rPr>
          <w:sz w:val="24"/>
        </w:rPr>
        <w:t>Anaemia</w:t>
      </w:r>
      <w:r>
        <w:rPr>
          <w:spacing w:val="-2"/>
          <w:sz w:val="24"/>
        </w:rPr>
        <w:t> </w:t>
      </w:r>
      <w:r>
        <w:rPr>
          <w:sz w:val="24"/>
        </w:rPr>
        <w:t>due</w:t>
      </w:r>
      <w:r>
        <w:rPr>
          <w:spacing w:val="-2"/>
          <w:sz w:val="24"/>
        </w:rPr>
        <w:t> </w:t>
      </w:r>
      <w:r>
        <w:rPr>
          <w:sz w:val="24"/>
        </w:rPr>
        <w:t>to</w:t>
      </w:r>
      <w:r>
        <w:rPr>
          <w:spacing w:val="-2"/>
          <w:sz w:val="24"/>
        </w:rPr>
        <w:t> </w:t>
      </w:r>
      <w:r>
        <w:rPr>
          <w:sz w:val="24"/>
        </w:rPr>
        <w:t>malaria</w:t>
      </w:r>
      <w:r>
        <w:rPr>
          <w:spacing w:val="-3"/>
          <w:sz w:val="24"/>
        </w:rPr>
        <w:t> </w:t>
      </w:r>
      <w:r>
        <w:rPr>
          <w:sz w:val="24"/>
        </w:rPr>
        <w:t>could</w:t>
      </w:r>
      <w:r>
        <w:rPr>
          <w:spacing w:val="-2"/>
          <w:sz w:val="24"/>
        </w:rPr>
        <w:t> </w:t>
      </w:r>
      <w:r>
        <w:rPr>
          <w:sz w:val="24"/>
        </w:rPr>
        <w:t>be</w:t>
      </w:r>
      <w:r>
        <w:rPr>
          <w:spacing w:val="-2"/>
          <w:sz w:val="24"/>
        </w:rPr>
        <w:t> </w:t>
      </w:r>
      <w:r>
        <w:rPr>
          <w:sz w:val="24"/>
        </w:rPr>
        <w:t>regarded</w:t>
      </w:r>
      <w:r>
        <w:rPr>
          <w:spacing w:val="-2"/>
          <w:sz w:val="24"/>
        </w:rPr>
        <w:t> </w:t>
      </w:r>
      <w:r>
        <w:rPr>
          <w:sz w:val="24"/>
        </w:rPr>
        <w:t>as</w:t>
      </w:r>
      <w:r>
        <w:rPr>
          <w:spacing w:val="-2"/>
          <w:sz w:val="24"/>
        </w:rPr>
        <w:t> </w:t>
      </w:r>
      <w:r>
        <w:rPr>
          <w:sz w:val="24"/>
        </w:rPr>
        <w:t>anaemia</w:t>
      </w:r>
      <w:r>
        <w:rPr>
          <w:spacing w:val="-2"/>
          <w:sz w:val="24"/>
        </w:rPr>
        <w:t> </w:t>
      </w:r>
      <w:r>
        <w:rPr>
          <w:sz w:val="24"/>
        </w:rPr>
        <w:t>of</w:t>
      </w:r>
      <w:r>
        <w:rPr>
          <w:spacing w:val="-2"/>
          <w:sz w:val="24"/>
        </w:rPr>
        <w:t> </w:t>
      </w:r>
      <w:r>
        <w:rPr>
          <w:sz w:val="24"/>
        </w:rPr>
        <w:t>infection. It</w:t>
      </w:r>
      <w:r>
        <w:rPr>
          <w:spacing w:val="-2"/>
          <w:sz w:val="24"/>
        </w:rPr>
        <w:t> </w:t>
      </w:r>
      <w:r>
        <w:rPr>
          <w:sz w:val="24"/>
        </w:rPr>
        <w:t>could</w:t>
      </w:r>
      <w:r>
        <w:rPr>
          <w:spacing w:val="-2"/>
          <w:sz w:val="24"/>
        </w:rPr>
        <w:t> </w:t>
      </w:r>
      <w:r>
        <w:rPr>
          <w:sz w:val="24"/>
        </w:rPr>
        <w:t>be</w:t>
      </w:r>
      <w:r>
        <w:rPr>
          <w:spacing w:val="-2"/>
          <w:sz w:val="24"/>
        </w:rPr>
        <w:t> </w:t>
      </w:r>
      <w:r>
        <w:rPr>
          <w:sz w:val="24"/>
        </w:rPr>
        <w:t>ideal</w:t>
      </w:r>
      <w:r>
        <w:rPr>
          <w:spacing w:val="-2"/>
          <w:sz w:val="24"/>
        </w:rPr>
        <w:t> </w:t>
      </w:r>
      <w:r>
        <w:rPr>
          <w:sz w:val="24"/>
        </w:rPr>
        <w:t>to expand assessment of other infections especially the gastrointestinal and urogenital </w:t>
      </w:r>
      <w:r>
        <w:rPr>
          <w:spacing w:val="-2"/>
          <w:sz w:val="24"/>
        </w:rPr>
        <w:t>tracts.</w:t>
      </w:r>
    </w:p>
    <w:p>
      <w:pPr>
        <w:pStyle w:val="ListParagraph"/>
        <w:numPr>
          <w:ilvl w:val="0"/>
          <w:numId w:val="16"/>
        </w:numPr>
        <w:tabs>
          <w:tab w:pos="1280" w:val="left" w:leader="none"/>
        </w:tabs>
        <w:spacing w:line="480" w:lineRule="auto" w:before="231" w:after="0"/>
        <w:ind w:left="1280" w:right="798" w:hanging="720"/>
        <w:jc w:val="both"/>
        <w:rPr>
          <w:sz w:val="24"/>
        </w:rPr>
      </w:pPr>
      <w:r>
        <w:rPr>
          <w:sz w:val="24"/>
        </w:rPr>
        <w:t>Due to the possible occurance of infection/inflammatory anaemias, selective prophylactic iron supplementation should be a better approach for the management of pregnant and post-partum women.</w:t>
      </w:r>
    </w:p>
    <w:p>
      <w:pPr>
        <w:pStyle w:val="ListParagraph"/>
        <w:numPr>
          <w:ilvl w:val="0"/>
          <w:numId w:val="16"/>
        </w:numPr>
        <w:tabs>
          <w:tab w:pos="1280" w:val="left" w:leader="none"/>
        </w:tabs>
        <w:spacing w:line="480" w:lineRule="auto" w:before="228" w:after="0"/>
        <w:ind w:left="1280" w:right="803" w:hanging="720"/>
        <w:jc w:val="both"/>
        <w:rPr>
          <w:sz w:val="24"/>
        </w:rPr>
      </w:pPr>
      <w:r>
        <w:rPr>
          <w:sz w:val="24"/>
        </w:rPr>
        <w:t>The number of HIV infected subjects that were excluded because they were not part</w:t>
      </w:r>
      <w:r>
        <w:rPr>
          <w:spacing w:val="40"/>
          <w:sz w:val="24"/>
        </w:rPr>
        <w:t> </w:t>
      </w:r>
      <w:r>
        <w:rPr>
          <w:sz w:val="24"/>
        </w:rPr>
        <w:t>of the study should not be treated with levity and calls for a more concerted effort to prevent HIV infection in the environment.</w:t>
      </w:r>
    </w:p>
    <w:p>
      <w:pPr>
        <w:spacing w:after="0" w:line="480" w:lineRule="auto"/>
        <w:jc w:val="both"/>
        <w:rPr>
          <w:sz w:val="24"/>
        </w:rPr>
        <w:sectPr>
          <w:pgSz w:w="11910" w:h="16840"/>
          <w:pgMar w:header="0" w:footer="1067" w:top="1060" w:bottom="1260" w:left="880" w:right="640"/>
        </w:sectPr>
      </w:pPr>
    </w:p>
    <w:p>
      <w:pPr>
        <w:pStyle w:val="Heading2"/>
        <w:numPr>
          <w:ilvl w:val="1"/>
          <w:numId w:val="15"/>
        </w:numPr>
        <w:tabs>
          <w:tab w:pos="1280" w:val="left" w:leader="none"/>
        </w:tabs>
        <w:spacing w:line="240" w:lineRule="auto" w:before="75" w:after="0"/>
        <w:ind w:left="1280" w:right="0" w:hanging="720"/>
        <w:jc w:val="left"/>
      </w:pPr>
      <w:r>
        <w:rPr>
          <w:spacing w:val="-2"/>
        </w:rPr>
        <w:t>LIMITATIONS</w:t>
      </w:r>
    </w:p>
    <w:p>
      <w:pPr>
        <w:pStyle w:val="BodyText"/>
        <w:spacing w:before="235"/>
        <w:rPr>
          <w:b/>
        </w:rPr>
      </w:pPr>
    </w:p>
    <w:p>
      <w:pPr>
        <w:pStyle w:val="BodyText"/>
        <w:ind w:left="560"/>
        <w:jc w:val="both"/>
      </w:pPr>
      <w:r>
        <w:rPr/>
        <w:t>This study</w:t>
      </w:r>
      <w:r>
        <w:rPr>
          <w:spacing w:val="-5"/>
        </w:rPr>
        <w:t> </w:t>
      </w:r>
      <w:r>
        <w:rPr/>
        <w:t>was not done</w:t>
      </w:r>
      <w:r>
        <w:rPr>
          <w:spacing w:val="1"/>
        </w:rPr>
        <w:t> </w:t>
      </w:r>
      <w:r>
        <w:rPr/>
        <w:t>without some</w:t>
      </w:r>
      <w:r>
        <w:rPr>
          <w:spacing w:val="-1"/>
        </w:rPr>
        <w:t> </w:t>
      </w:r>
      <w:r>
        <w:rPr>
          <w:spacing w:val="-2"/>
        </w:rPr>
        <w:t>limitations.</w:t>
      </w:r>
    </w:p>
    <w:p>
      <w:pPr>
        <w:pStyle w:val="BodyText"/>
        <w:spacing w:before="240"/>
      </w:pPr>
    </w:p>
    <w:p>
      <w:pPr>
        <w:pStyle w:val="ListParagraph"/>
        <w:numPr>
          <w:ilvl w:val="0"/>
          <w:numId w:val="17"/>
        </w:numPr>
        <w:tabs>
          <w:tab w:pos="1280" w:val="left" w:leader="none"/>
        </w:tabs>
        <w:spacing w:line="480" w:lineRule="auto" w:before="1" w:after="0"/>
        <w:ind w:left="1280" w:right="800" w:hanging="720"/>
        <w:jc w:val="both"/>
        <w:rPr>
          <w:sz w:val="24"/>
        </w:rPr>
      </w:pPr>
      <w:r>
        <w:rPr>
          <w:sz w:val="24"/>
        </w:rPr>
        <w:t>The scope of this study did not include genetic factors, screening of bacterial isolates and gastrointestinal parasitic infections that may contribute to other sources of immune stimulation.</w:t>
      </w:r>
    </w:p>
    <w:p>
      <w:pPr>
        <w:pStyle w:val="BodyText"/>
      </w:pPr>
    </w:p>
    <w:p>
      <w:pPr>
        <w:pStyle w:val="ListParagraph"/>
        <w:numPr>
          <w:ilvl w:val="0"/>
          <w:numId w:val="17"/>
        </w:numPr>
        <w:tabs>
          <w:tab w:pos="1280" w:val="left" w:leader="none"/>
        </w:tabs>
        <w:spacing w:line="480" w:lineRule="auto" w:before="0" w:after="0"/>
        <w:ind w:left="1280" w:right="980" w:hanging="720"/>
        <w:jc w:val="both"/>
        <w:rPr>
          <w:sz w:val="24"/>
        </w:rPr>
      </w:pPr>
      <w:r>
        <w:rPr>
          <w:sz w:val="24"/>
        </w:rPr>
        <w:t>The</w:t>
      </w:r>
      <w:r>
        <w:rPr>
          <w:spacing w:val="-4"/>
          <w:sz w:val="24"/>
        </w:rPr>
        <w:t> </w:t>
      </w:r>
      <w:r>
        <w:rPr>
          <w:sz w:val="24"/>
        </w:rPr>
        <w:t>study</w:t>
      </w:r>
      <w:r>
        <w:rPr>
          <w:spacing w:val="-7"/>
          <w:sz w:val="24"/>
        </w:rPr>
        <w:t> </w:t>
      </w:r>
      <w:r>
        <w:rPr>
          <w:sz w:val="24"/>
        </w:rPr>
        <w:t>did</w:t>
      </w:r>
      <w:r>
        <w:rPr>
          <w:spacing w:val="-2"/>
          <w:sz w:val="24"/>
        </w:rPr>
        <w:t> </w:t>
      </w:r>
      <w:r>
        <w:rPr>
          <w:sz w:val="24"/>
        </w:rPr>
        <w:t>not</w:t>
      </w:r>
      <w:r>
        <w:rPr>
          <w:spacing w:val="-2"/>
          <w:sz w:val="24"/>
        </w:rPr>
        <w:t> </w:t>
      </w:r>
      <w:r>
        <w:rPr>
          <w:sz w:val="24"/>
        </w:rPr>
        <w:t>take</w:t>
      </w:r>
      <w:r>
        <w:rPr>
          <w:spacing w:val="-4"/>
          <w:sz w:val="24"/>
        </w:rPr>
        <w:t> </w:t>
      </w:r>
      <w:r>
        <w:rPr>
          <w:sz w:val="24"/>
        </w:rPr>
        <w:t>note</w:t>
      </w:r>
      <w:r>
        <w:rPr>
          <w:spacing w:val="-2"/>
          <w:sz w:val="24"/>
        </w:rPr>
        <w:t> </w:t>
      </w:r>
      <w:r>
        <w:rPr>
          <w:sz w:val="24"/>
        </w:rPr>
        <w:t>of</w:t>
      </w:r>
      <w:r>
        <w:rPr>
          <w:spacing w:val="-2"/>
          <w:sz w:val="24"/>
        </w:rPr>
        <w:t> </w:t>
      </w:r>
      <w:r>
        <w:rPr>
          <w:sz w:val="24"/>
        </w:rPr>
        <w:t>the</w:t>
      </w:r>
      <w:r>
        <w:rPr>
          <w:spacing w:val="-2"/>
          <w:sz w:val="24"/>
        </w:rPr>
        <w:t> </w:t>
      </w:r>
      <w:r>
        <w:rPr>
          <w:sz w:val="24"/>
        </w:rPr>
        <w:t>dietary</w:t>
      </w:r>
      <w:r>
        <w:rPr>
          <w:spacing w:val="-7"/>
          <w:sz w:val="24"/>
        </w:rPr>
        <w:t> </w:t>
      </w:r>
      <w:r>
        <w:rPr>
          <w:sz w:val="24"/>
        </w:rPr>
        <w:t>intake</w:t>
      </w:r>
      <w:r>
        <w:rPr>
          <w:spacing w:val="-3"/>
          <w:sz w:val="24"/>
        </w:rPr>
        <w:t> </w:t>
      </w:r>
      <w:r>
        <w:rPr>
          <w:sz w:val="24"/>
        </w:rPr>
        <w:t>of</w:t>
      </w:r>
      <w:r>
        <w:rPr>
          <w:spacing w:val="-1"/>
          <w:sz w:val="24"/>
        </w:rPr>
        <w:t> </w:t>
      </w:r>
      <w:r>
        <w:rPr>
          <w:sz w:val="24"/>
        </w:rPr>
        <w:t>the</w:t>
      </w:r>
      <w:r>
        <w:rPr>
          <w:spacing w:val="-2"/>
          <w:sz w:val="24"/>
        </w:rPr>
        <w:t> </w:t>
      </w:r>
      <w:r>
        <w:rPr>
          <w:sz w:val="24"/>
        </w:rPr>
        <w:t>subjects</w:t>
      </w:r>
      <w:r>
        <w:rPr>
          <w:spacing w:val="-2"/>
          <w:sz w:val="24"/>
        </w:rPr>
        <w:t> </w:t>
      </w:r>
      <w:r>
        <w:rPr>
          <w:sz w:val="24"/>
        </w:rPr>
        <w:t>so</w:t>
      </w:r>
      <w:r>
        <w:rPr>
          <w:spacing w:val="-2"/>
          <w:sz w:val="24"/>
        </w:rPr>
        <w:t> </w:t>
      </w:r>
      <w:r>
        <w:rPr>
          <w:sz w:val="24"/>
        </w:rPr>
        <w:t>as</w:t>
      </w:r>
      <w:r>
        <w:rPr>
          <w:spacing w:val="-2"/>
          <w:sz w:val="24"/>
        </w:rPr>
        <w:t> </w:t>
      </w:r>
      <w:r>
        <w:rPr>
          <w:sz w:val="24"/>
        </w:rPr>
        <w:t>to</w:t>
      </w:r>
      <w:r>
        <w:rPr>
          <w:spacing w:val="-2"/>
          <w:sz w:val="24"/>
        </w:rPr>
        <w:t> </w:t>
      </w:r>
      <w:r>
        <w:rPr>
          <w:sz w:val="24"/>
        </w:rPr>
        <w:t>detemine</w:t>
      </w:r>
      <w:r>
        <w:rPr>
          <w:spacing w:val="-1"/>
          <w:sz w:val="24"/>
        </w:rPr>
        <w:t> </w:t>
      </w:r>
      <w:r>
        <w:rPr>
          <w:sz w:val="24"/>
        </w:rPr>
        <w:t>the influence of dietary iron.</w:t>
      </w:r>
    </w:p>
    <w:p>
      <w:pPr>
        <w:pStyle w:val="ListParagraph"/>
        <w:numPr>
          <w:ilvl w:val="0"/>
          <w:numId w:val="17"/>
        </w:numPr>
        <w:tabs>
          <w:tab w:pos="1280" w:val="left" w:leader="none"/>
        </w:tabs>
        <w:spacing w:line="480" w:lineRule="auto" w:before="240" w:after="0"/>
        <w:ind w:left="1280" w:right="796" w:hanging="720"/>
        <w:jc w:val="both"/>
        <w:rPr>
          <w:sz w:val="24"/>
        </w:rPr>
      </w:pPr>
      <w:r>
        <w:rPr>
          <w:sz w:val="24"/>
        </w:rPr>
        <w:t>The huge amount of moneyexpended at procuring the cytokine kits and efforts invested to sustain the kits and samples on storage to avoid deterioration and contamination, in a society where frequent power outage is an acceptable phenomenon, did not pave way for inclusion of more cytokines in the study.</w:t>
      </w:r>
    </w:p>
    <w:p>
      <w:pPr>
        <w:pStyle w:val="BodyText"/>
      </w:pPr>
    </w:p>
    <w:p>
      <w:pPr>
        <w:pStyle w:val="BodyText"/>
      </w:pPr>
    </w:p>
    <w:p>
      <w:pPr>
        <w:pStyle w:val="BodyText"/>
        <w:spacing w:before="210"/>
      </w:pPr>
    </w:p>
    <w:p>
      <w:pPr>
        <w:pStyle w:val="Heading2"/>
        <w:ind w:left="0" w:right="237"/>
        <w:jc w:val="center"/>
      </w:pPr>
      <w:r>
        <w:rPr/>
        <w:t>CONTRIBUTION TO</w:t>
      </w:r>
      <w:r>
        <w:rPr>
          <w:spacing w:val="-2"/>
        </w:rPr>
        <w:t> KNOWLEGDE</w:t>
      </w:r>
    </w:p>
    <w:p>
      <w:pPr>
        <w:pStyle w:val="BodyText"/>
        <w:spacing w:before="235"/>
        <w:rPr>
          <w:b/>
        </w:rPr>
      </w:pPr>
    </w:p>
    <w:p>
      <w:pPr>
        <w:pStyle w:val="BodyText"/>
        <w:spacing w:line="480" w:lineRule="auto"/>
        <w:ind w:left="560" w:right="797"/>
        <w:jc w:val="both"/>
      </w:pPr>
      <w:r>
        <w:rPr/>
        <w:t>The malaria parasite density is higher in the placenta than the peripheral blood of pregnant women. It may induce up-regulated levels of cytokines and acute phase proteins. These may compromise iron metabolism resulting in most adverse conditions in pregnant and post- partum women.</w:t>
      </w:r>
    </w:p>
    <w:p>
      <w:pPr>
        <w:spacing w:after="0" w:line="480" w:lineRule="auto"/>
        <w:jc w:val="both"/>
        <w:sectPr>
          <w:pgSz w:w="11910" w:h="16840"/>
          <w:pgMar w:header="0" w:footer="1067" w:top="1060" w:bottom="1260" w:left="880" w:right="640"/>
        </w:sectPr>
      </w:pPr>
    </w:p>
    <w:p>
      <w:pPr>
        <w:pStyle w:val="Heading2"/>
        <w:spacing w:before="75"/>
        <w:ind w:left="0" w:right="234"/>
        <w:jc w:val="center"/>
      </w:pPr>
      <w:r>
        <w:rPr>
          <w:spacing w:val="-2"/>
        </w:rPr>
        <w:t>REFERENCES</w:t>
      </w:r>
    </w:p>
    <w:p>
      <w:pPr>
        <w:pStyle w:val="BodyText"/>
        <w:spacing w:before="271"/>
        <w:ind w:left="1280" w:right="796" w:hanging="720"/>
        <w:jc w:val="both"/>
      </w:pPr>
      <w:r>
        <w:rPr/>
        <w:t>Abrams E. T., Kwiek, J. J., Mwapssa, V., Kamwendo, D. D., Tadesse, E., Lema, V. M., Molyneux, E. M., Rogerson, J. S. and Meshnick, R. S. (2005). Malaria during pregnancy and faetal haemetological status in Blantyre, Malawi.</w:t>
      </w:r>
      <w:r>
        <w:rPr>
          <w:i/>
        </w:rPr>
        <w:t>Malaria Journal. </w:t>
      </w:r>
      <w:r>
        <w:rPr/>
        <w:t>4</w:t>
      </w:r>
      <w:r>
        <w:rPr>
          <w:b/>
        </w:rPr>
        <w:t>(1)</w:t>
      </w:r>
      <w:r>
        <w:rPr/>
        <w:t>:39- 46.</w:t>
      </w:r>
    </w:p>
    <w:p>
      <w:pPr>
        <w:pStyle w:val="BodyText"/>
      </w:pPr>
    </w:p>
    <w:p>
      <w:pPr>
        <w:spacing w:before="1"/>
        <w:ind w:left="1280" w:right="794" w:hanging="720"/>
        <w:jc w:val="both"/>
        <w:rPr>
          <w:sz w:val="24"/>
        </w:rPr>
      </w:pPr>
      <w:r>
        <w:rPr>
          <w:sz w:val="24"/>
        </w:rPr>
        <w:t>Achidi, E. A., Apinjoh, T. O. and Titanji, V. P. K. (2007).Malaria parasitaemia and systemic cytokine bias in pregnancy.</w:t>
      </w:r>
      <w:r>
        <w:rPr>
          <w:i/>
          <w:sz w:val="24"/>
        </w:rPr>
        <w:t>International Journal of Gynaecology and Obstetrics</w:t>
      </w:r>
      <w:r>
        <w:rPr>
          <w:sz w:val="24"/>
        </w:rPr>
        <w:t>; 97(</w:t>
      </w:r>
      <w:r>
        <w:rPr>
          <w:b/>
          <w:sz w:val="24"/>
        </w:rPr>
        <w:t>1</w:t>
      </w:r>
      <w:r>
        <w:rPr>
          <w:sz w:val="24"/>
        </w:rPr>
        <w:t>): 15-20.</w:t>
      </w:r>
    </w:p>
    <w:p>
      <w:pPr>
        <w:pStyle w:val="BodyText"/>
      </w:pPr>
    </w:p>
    <w:p>
      <w:pPr>
        <w:pStyle w:val="BodyText"/>
        <w:ind w:left="560"/>
        <w:jc w:val="both"/>
      </w:pPr>
      <w:r>
        <w:rPr/>
        <w:t>Adeoti,</w:t>
      </w:r>
      <w:r>
        <w:rPr>
          <w:spacing w:val="14"/>
        </w:rPr>
        <w:t> </w:t>
      </w:r>
      <w:r>
        <w:rPr/>
        <w:t>O.</w:t>
      </w:r>
      <w:r>
        <w:rPr>
          <w:spacing w:val="17"/>
        </w:rPr>
        <w:t> </w:t>
      </w:r>
      <w:r>
        <w:rPr/>
        <w:t>M.,</w:t>
      </w:r>
      <w:r>
        <w:rPr>
          <w:spacing w:val="18"/>
        </w:rPr>
        <w:t> </w:t>
      </w:r>
      <w:r>
        <w:rPr/>
        <w:t>Anumudu,</w:t>
      </w:r>
      <w:r>
        <w:rPr>
          <w:spacing w:val="17"/>
        </w:rPr>
        <w:t> </w:t>
      </w:r>
      <w:r>
        <w:rPr/>
        <w:t>C.</w:t>
      </w:r>
      <w:r>
        <w:rPr>
          <w:spacing w:val="20"/>
        </w:rPr>
        <w:t> </w:t>
      </w:r>
      <w:r>
        <w:rPr/>
        <w:t>I.,</w:t>
      </w:r>
      <w:r>
        <w:rPr>
          <w:spacing w:val="17"/>
        </w:rPr>
        <w:t> </w:t>
      </w:r>
      <w:r>
        <w:rPr/>
        <w:t>Nwuba,</w:t>
      </w:r>
      <w:r>
        <w:rPr>
          <w:spacing w:val="17"/>
        </w:rPr>
        <w:t> </w:t>
      </w:r>
      <w:r>
        <w:rPr/>
        <w:t>R.</w:t>
      </w:r>
      <w:r>
        <w:rPr>
          <w:spacing w:val="20"/>
        </w:rPr>
        <w:t> </w:t>
      </w:r>
      <w:r>
        <w:rPr/>
        <w:t>I.,</w:t>
      </w:r>
      <w:r>
        <w:rPr>
          <w:spacing w:val="17"/>
        </w:rPr>
        <w:t> </w:t>
      </w:r>
      <w:r>
        <w:rPr/>
        <w:t>Awobode,</w:t>
      </w:r>
      <w:r>
        <w:rPr>
          <w:spacing w:val="17"/>
        </w:rPr>
        <w:t> </w:t>
      </w:r>
      <w:r>
        <w:rPr/>
        <w:t>H.</w:t>
      </w:r>
      <w:r>
        <w:rPr>
          <w:spacing w:val="19"/>
        </w:rPr>
        <w:t> </w:t>
      </w:r>
      <w:r>
        <w:rPr/>
        <w:t>I.,</w:t>
      </w:r>
      <w:r>
        <w:rPr>
          <w:spacing w:val="17"/>
        </w:rPr>
        <w:t> </w:t>
      </w:r>
      <w:r>
        <w:rPr/>
        <w:t>Olaniyan,</w:t>
      </w:r>
      <w:r>
        <w:rPr>
          <w:spacing w:val="20"/>
        </w:rPr>
        <w:t> </w:t>
      </w:r>
      <w:r>
        <w:rPr/>
        <w:t>M.</w:t>
      </w:r>
      <w:r>
        <w:rPr>
          <w:spacing w:val="18"/>
        </w:rPr>
        <w:t> </w:t>
      </w:r>
      <w:r>
        <w:rPr/>
        <w:t>F.,</w:t>
      </w:r>
      <w:r>
        <w:rPr>
          <w:spacing w:val="17"/>
        </w:rPr>
        <w:t> </w:t>
      </w:r>
      <w:r>
        <w:rPr>
          <w:spacing w:val="-2"/>
        </w:rPr>
        <w:t>Olayiwola,</w:t>
      </w:r>
    </w:p>
    <w:p>
      <w:pPr>
        <w:pStyle w:val="BodyText"/>
        <w:ind w:left="1280" w:right="797"/>
        <w:jc w:val="both"/>
      </w:pPr>
      <w:r>
        <w:rPr/>
        <w:t>O. and Fagbade, O. (2012). Prevalence of HIV and malaria parasites co-infection in pregnant mothers and their babies; Postdelivery.International Conference on Biological and Medical Applications (ICBMA, 2012) Oct. 6–7 2012, Dubai (UAE).</w:t>
      </w:r>
    </w:p>
    <w:p>
      <w:pPr>
        <w:pStyle w:val="BodyText"/>
      </w:pPr>
    </w:p>
    <w:p>
      <w:pPr>
        <w:pStyle w:val="BodyText"/>
        <w:ind w:left="1280" w:right="804" w:hanging="720"/>
        <w:jc w:val="both"/>
      </w:pPr>
      <w:r>
        <w:rPr/>
        <w:t>Agan, T. U., Ekabua, J. E., Udoh, A. E., Ekanem, E. I., Efiok, E. E. and Mgbekem, M. A. (2010). Prevalence of anaemia in women with asymptomatic malaria parasitaemia at first antenatal care visit at the University of Calabar Teaching Hospital, Calabar, Nigeria. </w:t>
      </w:r>
      <w:r>
        <w:rPr>
          <w:i/>
        </w:rPr>
        <w:t>International Journal of Women’s Health.</w:t>
      </w:r>
      <w:r>
        <w:rPr>
          <w:b/>
        </w:rPr>
        <w:t>(2) </w:t>
      </w:r>
      <w:r>
        <w:rPr/>
        <w:t>229-233</w:t>
      </w:r>
    </w:p>
    <w:p>
      <w:pPr>
        <w:pStyle w:val="BodyText"/>
      </w:pPr>
    </w:p>
    <w:p>
      <w:pPr>
        <w:pStyle w:val="BodyText"/>
        <w:spacing w:before="1"/>
        <w:ind w:left="560"/>
        <w:jc w:val="both"/>
      </w:pPr>
      <w:r>
        <w:rPr/>
        <w:t>Agbor-Enoh,</w:t>
      </w:r>
      <w:r>
        <w:rPr>
          <w:spacing w:val="14"/>
        </w:rPr>
        <w:t> </w:t>
      </w:r>
      <w:r>
        <w:rPr/>
        <w:t>S.</w:t>
      </w:r>
      <w:r>
        <w:rPr>
          <w:spacing w:val="16"/>
        </w:rPr>
        <w:t> </w:t>
      </w:r>
      <w:r>
        <w:rPr/>
        <w:t>T.,</w:t>
      </w:r>
      <w:r>
        <w:rPr>
          <w:spacing w:val="16"/>
        </w:rPr>
        <w:t> </w:t>
      </w:r>
      <w:r>
        <w:rPr/>
        <w:t>Achur,</w:t>
      </w:r>
      <w:r>
        <w:rPr>
          <w:spacing w:val="16"/>
        </w:rPr>
        <w:t> </w:t>
      </w:r>
      <w:r>
        <w:rPr/>
        <w:t>R.</w:t>
      </w:r>
      <w:r>
        <w:rPr>
          <w:spacing w:val="17"/>
        </w:rPr>
        <w:t> </w:t>
      </w:r>
      <w:r>
        <w:rPr/>
        <w:t>N.,</w:t>
      </w:r>
      <w:r>
        <w:rPr>
          <w:spacing w:val="16"/>
        </w:rPr>
        <w:t> </w:t>
      </w:r>
      <w:r>
        <w:rPr/>
        <w:t>Valiyareettil,</w:t>
      </w:r>
      <w:r>
        <w:rPr>
          <w:spacing w:val="16"/>
        </w:rPr>
        <w:t> </w:t>
      </w:r>
      <w:r>
        <w:rPr/>
        <w:t>M.,</w:t>
      </w:r>
      <w:r>
        <w:rPr>
          <w:spacing w:val="19"/>
        </w:rPr>
        <w:t> </w:t>
      </w:r>
      <w:r>
        <w:rPr/>
        <w:t>Leke,</w:t>
      </w:r>
      <w:r>
        <w:rPr>
          <w:spacing w:val="16"/>
        </w:rPr>
        <w:t> </w:t>
      </w:r>
      <w:r>
        <w:rPr/>
        <w:t>R.,</w:t>
      </w:r>
      <w:r>
        <w:rPr>
          <w:spacing w:val="22"/>
        </w:rPr>
        <w:t> </w:t>
      </w:r>
      <w:r>
        <w:rPr/>
        <w:t>Taylor,</w:t>
      </w:r>
      <w:r>
        <w:rPr>
          <w:spacing w:val="17"/>
        </w:rPr>
        <w:t> </w:t>
      </w:r>
      <w:r>
        <w:rPr/>
        <w:t>D.</w:t>
      </w:r>
      <w:r>
        <w:rPr>
          <w:spacing w:val="16"/>
        </w:rPr>
        <w:t> </w:t>
      </w:r>
      <w:r>
        <w:rPr/>
        <w:t>W.</w:t>
      </w:r>
      <w:r>
        <w:rPr>
          <w:spacing w:val="14"/>
        </w:rPr>
        <w:t> </w:t>
      </w:r>
      <w:r>
        <w:rPr/>
        <w:t>and</w:t>
      </w:r>
      <w:r>
        <w:rPr>
          <w:spacing w:val="16"/>
        </w:rPr>
        <w:t> </w:t>
      </w:r>
      <w:r>
        <w:rPr/>
        <w:t>Gowda,</w:t>
      </w:r>
      <w:r>
        <w:rPr>
          <w:spacing w:val="17"/>
        </w:rPr>
        <w:t> </w:t>
      </w:r>
      <w:r>
        <w:rPr>
          <w:spacing w:val="-5"/>
        </w:rPr>
        <w:t>D.</w:t>
      </w:r>
    </w:p>
    <w:p>
      <w:pPr>
        <w:spacing w:before="0"/>
        <w:ind w:left="1280" w:right="793" w:firstLine="0"/>
        <w:jc w:val="both"/>
        <w:rPr>
          <w:sz w:val="24"/>
        </w:rPr>
      </w:pPr>
      <w:r>
        <w:rPr>
          <w:sz w:val="24"/>
        </w:rPr>
        <w:t>C. (2003).Chondroitin sulfate proteoglycan expression and binding of </w:t>
      </w:r>
      <w:r>
        <w:rPr>
          <w:i/>
          <w:sz w:val="24"/>
        </w:rPr>
        <w:t>plasmodium falciparum</w:t>
      </w:r>
      <w:r>
        <w:rPr>
          <w:sz w:val="24"/>
        </w:rPr>
        <w:t>-infected erythrocytes in the human placenta during pregnancy.</w:t>
      </w:r>
      <w:r>
        <w:rPr>
          <w:i/>
          <w:sz w:val="24"/>
        </w:rPr>
        <w:t>Infection and Immunity</w:t>
      </w:r>
      <w:r>
        <w:rPr>
          <w:sz w:val="24"/>
        </w:rPr>
        <w:t>; 71(</w:t>
      </w:r>
      <w:r>
        <w:rPr>
          <w:b/>
          <w:sz w:val="24"/>
        </w:rPr>
        <w:t>5</w:t>
      </w:r>
      <w:r>
        <w:rPr>
          <w:sz w:val="24"/>
        </w:rPr>
        <w:t>): 2455-2461.</w:t>
      </w:r>
    </w:p>
    <w:p>
      <w:pPr>
        <w:pStyle w:val="BodyText"/>
      </w:pPr>
    </w:p>
    <w:p>
      <w:pPr>
        <w:spacing w:before="0"/>
        <w:ind w:left="1280" w:right="804" w:hanging="720"/>
        <w:jc w:val="both"/>
        <w:rPr>
          <w:i/>
          <w:sz w:val="24"/>
        </w:rPr>
      </w:pPr>
      <w:r>
        <w:rPr>
          <w:sz w:val="24"/>
        </w:rPr>
        <w:t>Agrawal G. and Tejwani V., (1999): Prevalence of iron deficiency anaemia in Indian antenatal women especially in rural areas. </w:t>
      </w:r>
      <w:r>
        <w:rPr>
          <w:i/>
          <w:sz w:val="24"/>
        </w:rPr>
        <w:t>Indian Medical Gazette; 300-303.</w:t>
      </w:r>
    </w:p>
    <w:p>
      <w:pPr>
        <w:pStyle w:val="BodyText"/>
        <w:rPr>
          <w:i/>
        </w:rPr>
      </w:pPr>
    </w:p>
    <w:p>
      <w:pPr>
        <w:pStyle w:val="BodyText"/>
        <w:ind w:left="560"/>
        <w:jc w:val="both"/>
      </w:pPr>
      <w:r>
        <w:rPr/>
        <w:t>Aidoo,</w:t>
      </w:r>
      <w:r>
        <w:rPr>
          <w:spacing w:val="1"/>
        </w:rPr>
        <w:t> </w:t>
      </w:r>
      <w:r>
        <w:rPr/>
        <w:t>M.,</w:t>
      </w:r>
      <w:r>
        <w:rPr>
          <w:spacing w:val="3"/>
        </w:rPr>
        <w:t> </w:t>
      </w:r>
      <w:r>
        <w:rPr/>
        <w:t>Terlouw,</w:t>
      </w:r>
      <w:r>
        <w:rPr>
          <w:spacing w:val="4"/>
        </w:rPr>
        <w:t> </w:t>
      </w:r>
      <w:r>
        <w:rPr/>
        <w:t>D.</w:t>
      </w:r>
      <w:r>
        <w:rPr>
          <w:spacing w:val="3"/>
        </w:rPr>
        <w:t> </w:t>
      </w:r>
      <w:r>
        <w:rPr/>
        <w:t>J.,</w:t>
      </w:r>
      <w:r>
        <w:rPr>
          <w:spacing w:val="3"/>
        </w:rPr>
        <w:t> </w:t>
      </w:r>
      <w:r>
        <w:rPr/>
        <w:t>Kokzak,</w:t>
      </w:r>
      <w:r>
        <w:rPr>
          <w:spacing w:val="4"/>
        </w:rPr>
        <w:t> </w:t>
      </w:r>
      <w:r>
        <w:rPr/>
        <w:t>M.</w:t>
      </w:r>
      <w:r>
        <w:rPr>
          <w:spacing w:val="3"/>
        </w:rPr>
        <w:t> </w:t>
      </w:r>
      <w:r>
        <w:rPr/>
        <w:t>S.,</w:t>
      </w:r>
      <w:r>
        <w:rPr>
          <w:spacing w:val="4"/>
        </w:rPr>
        <w:t> </w:t>
      </w:r>
      <w:r>
        <w:rPr/>
        <w:t>McElroy,</w:t>
      </w:r>
      <w:r>
        <w:rPr>
          <w:spacing w:val="5"/>
        </w:rPr>
        <w:t> </w:t>
      </w:r>
      <w:r>
        <w:rPr/>
        <w:t>P.</w:t>
      </w:r>
      <w:r>
        <w:rPr>
          <w:spacing w:val="3"/>
        </w:rPr>
        <w:t> </w:t>
      </w:r>
      <w:r>
        <w:rPr/>
        <w:t>D.,</w:t>
      </w:r>
      <w:r>
        <w:rPr>
          <w:spacing w:val="4"/>
        </w:rPr>
        <w:t> </w:t>
      </w:r>
      <w:r>
        <w:rPr/>
        <w:t>Kuile,</w:t>
      </w:r>
      <w:r>
        <w:rPr>
          <w:spacing w:val="3"/>
        </w:rPr>
        <w:t> </w:t>
      </w:r>
      <w:r>
        <w:rPr/>
        <w:t>F.</w:t>
      </w:r>
      <w:r>
        <w:rPr>
          <w:spacing w:val="3"/>
        </w:rPr>
        <w:t> </w:t>
      </w:r>
      <w:r>
        <w:rPr/>
        <w:t>O.,</w:t>
      </w:r>
      <w:r>
        <w:rPr>
          <w:spacing w:val="4"/>
        </w:rPr>
        <w:t> </w:t>
      </w:r>
      <w:r>
        <w:rPr/>
        <w:t>Kariuki,</w:t>
      </w:r>
      <w:r>
        <w:rPr>
          <w:spacing w:val="3"/>
        </w:rPr>
        <w:t> </w:t>
      </w:r>
      <w:r>
        <w:rPr/>
        <w:t>S.,</w:t>
      </w:r>
      <w:r>
        <w:rPr>
          <w:spacing w:val="4"/>
        </w:rPr>
        <w:t> </w:t>
      </w:r>
      <w:r>
        <w:rPr>
          <w:spacing w:val="-2"/>
        </w:rPr>
        <w:t>Nahlem,</w:t>
      </w:r>
    </w:p>
    <w:p>
      <w:pPr>
        <w:pStyle w:val="BodyText"/>
        <w:ind w:left="1280" w:right="799"/>
        <w:jc w:val="both"/>
      </w:pPr>
      <w:r>
        <w:rPr/>
        <w:t>B. L., Lal, A. A. and Udhayakumar, V. (2002). Protective effects of the sickle cell gene against malaria morbidity and mortality.</w:t>
      </w:r>
      <w:r>
        <w:rPr>
          <w:i/>
        </w:rPr>
        <w:t>Lancet</w:t>
      </w:r>
      <w:r>
        <w:rPr/>
        <w:t>; 359 (</w:t>
      </w:r>
      <w:r>
        <w:rPr>
          <w:b/>
        </w:rPr>
        <w:t>9314</w:t>
      </w:r>
      <w:r>
        <w:rPr/>
        <w:t>): 1311-1312.</w:t>
      </w:r>
    </w:p>
    <w:p>
      <w:pPr>
        <w:pStyle w:val="BodyText"/>
      </w:pPr>
    </w:p>
    <w:p>
      <w:pPr>
        <w:pStyle w:val="BodyText"/>
        <w:ind w:left="1371" w:right="795" w:hanging="812"/>
      </w:pPr>
      <w:r>
        <w:rPr/>
        <w:t>Akanbi,</w:t>
      </w:r>
      <w:r>
        <w:rPr>
          <w:spacing w:val="-3"/>
        </w:rPr>
        <w:t> </w:t>
      </w:r>
      <w:r>
        <w:rPr/>
        <w:t>O.</w:t>
      </w:r>
      <w:r>
        <w:rPr>
          <w:spacing w:val="-3"/>
        </w:rPr>
        <w:t> </w:t>
      </w:r>
      <w:r>
        <w:rPr/>
        <w:t>M.,</w:t>
      </w:r>
      <w:r>
        <w:rPr>
          <w:spacing w:val="-3"/>
        </w:rPr>
        <w:t> </w:t>
      </w:r>
      <w:r>
        <w:rPr/>
        <w:t>Odaibo,</w:t>
      </w:r>
      <w:r>
        <w:rPr>
          <w:spacing w:val="-1"/>
        </w:rPr>
        <w:t> </w:t>
      </w:r>
      <w:r>
        <w:rPr/>
        <w:t>A.</w:t>
      </w:r>
      <w:r>
        <w:rPr>
          <w:spacing w:val="-3"/>
        </w:rPr>
        <w:t> </w:t>
      </w:r>
      <w:r>
        <w:rPr/>
        <w:t>B.</w:t>
      </w:r>
      <w:r>
        <w:rPr>
          <w:spacing w:val="-3"/>
        </w:rPr>
        <w:t> </w:t>
      </w:r>
      <w:r>
        <w:rPr/>
        <w:t>and</w:t>
      </w:r>
      <w:r>
        <w:rPr>
          <w:spacing w:val="-3"/>
        </w:rPr>
        <w:t> </w:t>
      </w:r>
      <w:r>
        <w:rPr/>
        <w:t>Ademowo,</w:t>
      </w:r>
      <w:r>
        <w:rPr>
          <w:spacing w:val="-3"/>
        </w:rPr>
        <w:t> </w:t>
      </w:r>
      <w:r>
        <w:rPr/>
        <w:t>O.</w:t>
      </w:r>
      <w:r>
        <w:rPr>
          <w:spacing w:val="-2"/>
        </w:rPr>
        <w:t> </w:t>
      </w:r>
      <w:r>
        <w:rPr/>
        <w:t>G.</w:t>
      </w:r>
      <w:r>
        <w:rPr>
          <w:spacing w:val="-3"/>
        </w:rPr>
        <w:t> </w:t>
      </w:r>
      <w:r>
        <w:rPr/>
        <w:t>(2009).Anti-MSPI</w:t>
      </w:r>
      <w:r>
        <w:rPr>
          <w:spacing w:val="-7"/>
        </w:rPr>
        <w:t> </w:t>
      </w:r>
      <w:r>
        <w:rPr/>
        <w:t>(19)</w:t>
      </w:r>
      <w:r>
        <w:rPr>
          <w:spacing w:val="-3"/>
        </w:rPr>
        <w:t> </w:t>
      </w:r>
      <w:r>
        <w:rPr/>
        <w:t>antibody</w:t>
      </w:r>
      <w:r>
        <w:rPr>
          <w:spacing w:val="-4"/>
        </w:rPr>
        <w:t> </w:t>
      </w:r>
      <w:r>
        <w:rPr/>
        <w:t>IgG</w:t>
      </w:r>
      <w:r>
        <w:rPr>
          <w:spacing w:val="-3"/>
        </w:rPr>
        <w:t> </w:t>
      </w:r>
      <w:r>
        <w:rPr/>
        <w:t>and reactive oxygen species (ROS) response against malaria infection in pregnancy Southwestern Nigeria.</w:t>
      </w:r>
      <w:r>
        <w:rPr>
          <w:i/>
        </w:rPr>
        <w:t>Journal of Tropical Medicine</w:t>
      </w:r>
      <w:r>
        <w:rPr/>
        <w:t>; 2: 9- 15.</w:t>
      </w:r>
    </w:p>
    <w:p>
      <w:pPr>
        <w:pStyle w:val="BodyText"/>
        <w:spacing w:before="1"/>
      </w:pPr>
    </w:p>
    <w:p>
      <w:pPr>
        <w:spacing w:before="0"/>
        <w:ind w:left="1280" w:right="797" w:hanging="720"/>
        <w:jc w:val="both"/>
        <w:rPr>
          <w:sz w:val="24"/>
        </w:rPr>
      </w:pPr>
      <w:r>
        <w:rPr>
          <w:sz w:val="24"/>
        </w:rPr>
        <w:t>Akinboro, R. A.,</w:t>
      </w:r>
      <w:r>
        <w:rPr>
          <w:spacing w:val="-1"/>
          <w:sz w:val="24"/>
        </w:rPr>
        <w:t> </w:t>
      </w:r>
      <w:r>
        <w:rPr>
          <w:sz w:val="24"/>
        </w:rPr>
        <w:t>Ojurongbe, O.,</w:t>
      </w:r>
      <w:r>
        <w:rPr>
          <w:spacing w:val="-1"/>
          <w:sz w:val="24"/>
        </w:rPr>
        <w:t> </w:t>
      </w:r>
      <w:r>
        <w:rPr>
          <w:sz w:val="24"/>
        </w:rPr>
        <w:t>Akindele, A. A., Adefioye, O.</w:t>
      </w:r>
      <w:r>
        <w:rPr>
          <w:spacing w:val="-1"/>
          <w:sz w:val="24"/>
        </w:rPr>
        <w:t> </w:t>
      </w:r>
      <w:r>
        <w:rPr>
          <w:sz w:val="24"/>
        </w:rPr>
        <w:t>A., Bolaji, O.</w:t>
      </w:r>
      <w:r>
        <w:rPr>
          <w:spacing w:val="-1"/>
          <w:sz w:val="24"/>
        </w:rPr>
        <w:t> </w:t>
      </w:r>
      <w:r>
        <w:rPr>
          <w:sz w:val="24"/>
        </w:rPr>
        <w:t>S., Olaniran, O. and Adeyeba, O. A. (2010). </w:t>
      </w:r>
      <w:r>
        <w:rPr>
          <w:i/>
          <w:sz w:val="24"/>
        </w:rPr>
        <w:t>Plasmodium falciparum</w:t>
      </w:r>
      <w:r>
        <w:rPr>
          <w:sz w:val="24"/>
        </w:rPr>
        <w:t>parasitaemia in pregnancy in relation to maternal anaemia.</w:t>
      </w:r>
      <w:r>
        <w:rPr>
          <w:i/>
          <w:sz w:val="24"/>
        </w:rPr>
        <w:t>African Journal of Clinical and Experimental Microbiology</w:t>
      </w:r>
      <w:r>
        <w:rPr>
          <w:sz w:val="24"/>
        </w:rPr>
        <w:t>; 11 (</w:t>
      </w:r>
      <w:r>
        <w:rPr>
          <w:b/>
          <w:sz w:val="24"/>
        </w:rPr>
        <w:t>3</w:t>
      </w:r>
      <w:r>
        <w:rPr>
          <w:sz w:val="24"/>
        </w:rPr>
        <w:t>): 164-169.</w:t>
      </w:r>
    </w:p>
    <w:p>
      <w:pPr>
        <w:pStyle w:val="BodyText"/>
      </w:pPr>
    </w:p>
    <w:p>
      <w:pPr>
        <w:pStyle w:val="BodyText"/>
        <w:ind w:left="1280" w:right="1234" w:hanging="720"/>
      </w:pPr>
      <w:hyperlink r:id="rId20">
        <w:r>
          <w:rPr/>
          <w:t>Alere Determine HIV 1/2 Ag/Ab Combo CLSI+ More Packet PDF (English)</w:t>
        </w:r>
      </w:hyperlink>
      <w:r>
        <w:rPr/>
        <w:t> (2013) Retrieved</w:t>
      </w:r>
      <w:r>
        <w:rPr>
          <w:spacing w:val="-12"/>
        </w:rPr>
        <w:t> </w:t>
      </w:r>
      <w:r>
        <w:rPr/>
        <w:t>from</w:t>
      </w:r>
      <w:r>
        <w:rPr>
          <w:spacing w:val="36"/>
        </w:rPr>
        <w:t> </w:t>
      </w:r>
      <w:hyperlink r:id="rId21">
        <w:r>
          <w:rPr>
            <w:color w:val="0000FF"/>
            <w:u w:val="single" w:color="0000FF"/>
          </w:rPr>
          <w:t>http://www.alere.com/us/en/product-details/determine-1-2-ag-ab-</w:t>
        </w:r>
      </w:hyperlink>
      <w:r>
        <w:rPr>
          <w:color w:val="0000FF"/>
        </w:rPr>
        <w:t> </w:t>
      </w:r>
      <w:hyperlink r:id="rId21">
        <w:r>
          <w:rPr>
            <w:color w:val="0000FF"/>
            <w:spacing w:val="-2"/>
            <w:u w:val="single" w:color="0000FF"/>
          </w:rPr>
          <w:t>combo-us.html</w:t>
        </w:r>
      </w:hyperlink>
    </w:p>
    <w:p>
      <w:pPr>
        <w:pStyle w:val="BodyText"/>
      </w:pPr>
    </w:p>
    <w:p>
      <w:pPr>
        <w:pStyle w:val="BodyText"/>
        <w:ind w:left="1280" w:right="796" w:hanging="720"/>
        <w:jc w:val="both"/>
      </w:pPr>
      <w:r>
        <w:rPr/>
        <w:t>Allan, J. E. (1995). Anaemia of Chronic Diseases, In: WilliamsHaematology Eds. Ernest B., Marshal A. L., Barry S. C. and Thomas J. K. 5</w:t>
      </w:r>
      <w:r>
        <w:rPr>
          <w:vertAlign w:val="superscript"/>
        </w:rPr>
        <w:t>th</w:t>
      </w:r>
      <w:r>
        <w:rPr>
          <w:vertAlign w:val="baseline"/>
        </w:rPr>
        <w:t> edn.</w:t>
      </w:r>
      <w:r>
        <w:rPr>
          <w:spacing w:val="80"/>
          <w:vertAlign w:val="baseline"/>
        </w:rPr>
        <w:t> </w:t>
      </w:r>
      <w:r>
        <w:rPr>
          <w:vertAlign w:val="baseline"/>
        </w:rPr>
        <w:t>MacGraw-Hill Coy.United</w:t>
      </w:r>
      <w:r>
        <w:rPr>
          <w:spacing w:val="40"/>
          <w:vertAlign w:val="baseline"/>
        </w:rPr>
        <w:t> </w:t>
      </w:r>
      <w:r>
        <w:rPr>
          <w:vertAlign w:val="baseline"/>
        </w:rPr>
        <w:t>State of America. Pp: 518 – 524.</w:t>
      </w:r>
    </w:p>
    <w:p>
      <w:pPr>
        <w:spacing w:after="0"/>
        <w:jc w:val="both"/>
        <w:sectPr>
          <w:pgSz w:w="11910" w:h="16840"/>
          <w:pgMar w:header="0" w:footer="1067" w:top="1300" w:bottom="1260" w:left="880" w:right="640"/>
        </w:sectPr>
      </w:pPr>
    </w:p>
    <w:p>
      <w:pPr>
        <w:spacing w:before="70"/>
        <w:ind w:left="1280" w:right="799" w:hanging="720"/>
        <w:jc w:val="both"/>
        <w:rPr>
          <w:i/>
          <w:sz w:val="24"/>
        </w:rPr>
      </w:pPr>
      <w:r>
        <w:rPr>
          <w:sz w:val="24"/>
        </w:rPr>
        <w:t>Aluka, C., Amadi, A. N., Kamanu, C. I. and Feyi-Waboso, P. A. (2001).Anaemia in pregnancy in Abia State University Teaching Hospital, Aba.</w:t>
      </w:r>
      <w:r>
        <w:rPr>
          <w:i/>
          <w:sz w:val="24"/>
        </w:rPr>
        <w:t>Journal of Medical Investigation and Practice</w:t>
      </w:r>
      <w:r>
        <w:rPr>
          <w:sz w:val="24"/>
        </w:rPr>
        <w:t>;2(</w:t>
      </w:r>
      <w:r>
        <w:rPr>
          <w:b/>
          <w:sz w:val="24"/>
        </w:rPr>
        <w:t>8</w:t>
      </w:r>
      <w:r>
        <w:rPr>
          <w:sz w:val="24"/>
        </w:rPr>
        <w:t>):58-61</w:t>
      </w:r>
      <w:r>
        <w:rPr>
          <w:i/>
          <w:sz w:val="24"/>
        </w:rPr>
        <w:t>.</w:t>
      </w:r>
    </w:p>
    <w:p>
      <w:pPr>
        <w:pStyle w:val="BodyText"/>
        <w:rPr>
          <w:i/>
        </w:rPr>
      </w:pPr>
    </w:p>
    <w:p>
      <w:pPr>
        <w:pStyle w:val="BodyText"/>
        <w:spacing w:before="1"/>
        <w:ind w:left="1280" w:right="798" w:hanging="720"/>
        <w:jc w:val="both"/>
      </w:pPr>
      <w:r>
        <w:rPr/>
        <w:t>Anorlu, R. I., Odum, C. U. and Essien, E. E. (2001).Asymptomatic malaria parasitaemia in pregnant</w:t>
      </w:r>
      <w:r>
        <w:rPr>
          <w:spacing w:val="-2"/>
        </w:rPr>
        <w:t> </w:t>
      </w:r>
      <w:r>
        <w:rPr/>
        <w:t>women</w:t>
      </w:r>
      <w:r>
        <w:rPr>
          <w:spacing w:val="-1"/>
        </w:rPr>
        <w:t> </w:t>
      </w:r>
      <w:r>
        <w:rPr/>
        <w:t>at</w:t>
      </w:r>
      <w:r>
        <w:rPr>
          <w:spacing w:val="-2"/>
        </w:rPr>
        <w:t> </w:t>
      </w:r>
      <w:r>
        <w:rPr/>
        <w:t>booking</w:t>
      </w:r>
      <w:r>
        <w:rPr>
          <w:spacing w:val="-2"/>
        </w:rPr>
        <w:t> </w:t>
      </w:r>
      <w:r>
        <w:rPr/>
        <w:t>in</w:t>
      </w:r>
      <w:r>
        <w:rPr>
          <w:spacing w:val="-2"/>
        </w:rPr>
        <w:t> </w:t>
      </w:r>
      <w:r>
        <w:rPr/>
        <w:t>a</w:t>
      </w:r>
      <w:r>
        <w:rPr>
          <w:spacing w:val="-2"/>
        </w:rPr>
        <w:t> </w:t>
      </w:r>
      <w:r>
        <w:rPr/>
        <w:t>primary</w:t>
      </w:r>
      <w:r>
        <w:rPr>
          <w:spacing w:val="-7"/>
        </w:rPr>
        <w:t> </w:t>
      </w:r>
      <w:r>
        <w:rPr/>
        <w:t>health</w:t>
      </w:r>
      <w:r>
        <w:rPr>
          <w:spacing w:val="-2"/>
        </w:rPr>
        <w:t> </w:t>
      </w:r>
      <w:r>
        <w:rPr/>
        <w:t>care</w:t>
      </w:r>
      <w:r>
        <w:rPr>
          <w:spacing w:val="-4"/>
        </w:rPr>
        <w:t> </w:t>
      </w:r>
      <w:r>
        <w:rPr/>
        <w:t>facility</w:t>
      </w:r>
      <w:r>
        <w:rPr>
          <w:spacing w:val="-7"/>
        </w:rPr>
        <w:t> </w:t>
      </w:r>
      <w:r>
        <w:rPr/>
        <w:t>in an urban community</w:t>
      </w:r>
      <w:r>
        <w:rPr>
          <w:spacing w:val="-10"/>
        </w:rPr>
        <w:t> </w:t>
      </w:r>
      <w:r>
        <w:rPr/>
        <w:t>in Lagos, Nigeria.</w:t>
      </w:r>
      <w:r>
        <w:rPr>
          <w:i/>
        </w:rPr>
        <w:t>African Journal of Medicine and Medical Sciences</w:t>
      </w:r>
      <w:r>
        <w:rPr/>
        <w:t>; 30(</w:t>
      </w:r>
      <w:r>
        <w:rPr>
          <w:b/>
        </w:rPr>
        <w:t>1</w:t>
      </w:r>
      <w:r>
        <w:rPr/>
        <w:t>): 39-41.</w:t>
      </w:r>
    </w:p>
    <w:p>
      <w:pPr>
        <w:pStyle w:val="BodyText"/>
        <w:spacing w:before="276"/>
        <w:ind w:left="1280" w:right="794" w:hanging="720"/>
        <w:jc w:val="both"/>
        <w:rPr>
          <w:i/>
        </w:rPr>
      </w:pPr>
      <w:r>
        <w:rPr/>
        <w:t>Antelman G., Msamanga G.I., Spiegelman D., Urassa E.J., Narh R., Hunter D.J., Fawzi W.W., (2000): Nutritional factors and infectious disease contribute to anaemia among pregnant women with human immunodeficiency virus in Tanzania. </w:t>
      </w:r>
      <w:r>
        <w:rPr>
          <w:i/>
        </w:rPr>
        <w:t>Journal </w:t>
      </w:r>
      <w:r>
        <w:rPr>
          <w:i/>
        </w:rPr>
        <w:t>of Nutrition, </w:t>
      </w:r>
      <w:r>
        <w:rPr>
          <w:b/>
          <w:i/>
        </w:rPr>
        <w:t>130: </w:t>
      </w:r>
      <w:r>
        <w:rPr>
          <w:i/>
        </w:rPr>
        <w:t>1950-1957.</w:t>
      </w:r>
    </w:p>
    <w:p>
      <w:pPr>
        <w:pStyle w:val="BodyText"/>
        <w:rPr>
          <w:i/>
        </w:rPr>
      </w:pPr>
    </w:p>
    <w:p>
      <w:pPr>
        <w:pStyle w:val="BodyText"/>
        <w:ind w:left="1280" w:right="795" w:hanging="720"/>
        <w:jc w:val="both"/>
      </w:pPr>
      <w:r>
        <w:rPr/>
        <w:t>Aris, A., Lambert, F., Bessette, P. and Moutquin, J. (2007).Maternal circulating interferon-γ and interleukin-6 as biomarkers of T</w:t>
      </w:r>
      <w:r>
        <w:rPr>
          <w:vertAlign w:val="subscript"/>
        </w:rPr>
        <w:t>H</w:t>
      </w:r>
      <w:r>
        <w:rPr>
          <w:vertAlign w:val="baseline"/>
        </w:rPr>
        <w:t>1/T</w:t>
      </w:r>
      <w:r>
        <w:rPr>
          <w:vertAlign w:val="subscript"/>
        </w:rPr>
        <w:t>H</w:t>
      </w:r>
      <w:r>
        <w:rPr>
          <w:vertAlign w:val="baseline"/>
        </w:rPr>
        <w:t>2 immune status throughout pregnancy.</w:t>
      </w:r>
      <w:r>
        <w:rPr>
          <w:i/>
          <w:vertAlign w:val="baseline"/>
        </w:rPr>
        <w:t>Journal of Obstetrics and Gynecology Research</w:t>
      </w:r>
      <w:r>
        <w:rPr>
          <w:vertAlign w:val="baseline"/>
        </w:rPr>
        <w:t>; 34(</w:t>
      </w:r>
      <w:r>
        <w:rPr>
          <w:b/>
          <w:vertAlign w:val="baseline"/>
        </w:rPr>
        <w:t>1</w:t>
      </w:r>
      <w:r>
        <w:rPr>
          <w:vertAlign w:val="baseline"/>
        </w:rPr>
        <w:t>): 7-11.</w:t>
      </w:r>
    </w:p>
    <w:p>
      <w:pPr>
        <w:pStyle w:val="BodyText"/>
      </w:pPr>
    </w:p>
    <w:p>
      <w:pPr>
        <w:pStyle w:val="BodyText"/>
        <w:ind w:left="560"/>
        <w:jc w:val="both"/>
      </w:pPr>
      <w:r>
        <w:rPr/>
        <w:t>Arora,</w:t>
      </w:r>
      <w:r>
        <w:rPr>
          <w:spacing w:val="27"/>
        </w:rPr>
        <w:t> </w:t>
      </w:r>
      <w:r>
        <w:rPr/>
        <w:t>D.</w:t>
      </w:r>
      <w:r>
        <w:rPr>
          <w:spacing w:val="27"/>
        </w:rPr>
        <w:t> </w:t>
      </w:r>
      <w:r>
        <w:rPr/>
        <w:t>R.</w:t>
      </w:r>
      <w:r>
        <w:rPr>
          <w:spacing w:val="27"/>
        </w:rPr>
        <w:t> </w:t>
      </w:r>
      <w:r>
        <w:rPr/>
        <w:t>and</w:t>
      </w:r>
      <w:r>
        <w:rPr>
          <w:spacing w:val="30"/>
        </w:rPr>
        <w:t> </w:t>
      </w:r>
      <w:r>
        <w:rPr/>
        <w:t>Arora,</w:t>
      </w:r>
      <w:r>
        <w:rPr>
          <w:spacing w:val="29"/>
        </w:rPr>
        <w:t> </w:t>
      </w:r>
      <w:r>
        <w:rPr/>
        <w:t>B.B.</w:t>
      </w:r>
      <w:r>
        <w:rPr>
          <w:spacing w:val="27"/>
        </w:rPr>
        <w:t> </w:t>
      </w:r>
      <w:r>
        <w:rPr/>
        <w:t>(2010).Malaria</w:t>
      </w:r>
      <w:r>
        <w:rPr>
          <w:spacing w:val="27"/>
        </w:rPr>
        <w:t> </w:t>
      </w:r>
      <w:r>
        <w:rPr/>
        <w:t>parasite.</w:t>
      </w:r>
      <w:r>
        <w:rPr>
          <w:spacing w:val="31"/>
        </w:rPr>
        <w:t> </w:t>
      </w:r>
      <w:r>
        <w:rPr/>
        <w:t>In:</w:t>
      </w:r>
      <w:r>
        <w:rPr>
          <w:spacing w:val="28"/>
        </w:rPr>
        <w:t> </w:t>
      </w:r>
      <w:r>
        <w:rPr/>
        <w:t>Medical</w:t>
      </w:r>
      <w:r>
        <w:rPr>
          <w:spacing w:val="28"/>
        </w:rPr>
        <w:t> </w:t>
      </w:r>
      <w:r>
        <w:rPr/>
        <w:t>Parasitology</w:t>
      </w:r>
      <w:r>
        <w:rPr>
          <w:spacing w:val="21"/>
        </w:rPr>
        <w:t> </w:t>
      </w:r>
      <w:r>
        <w:rPr/>
        <w:t>3</w:t>
      </w:r>
      <w:r>
        <w:rPr>
          <w:vertAlign w:val="superscript"/>
        </w:rPr>
        <w:t>rd</w:t>
      </w:r>
      <w:r>
        <w:rPr>
          <w:spacing w:val="29"/>
          <w:vertAlign w:val="baseline"/>
        </w:rPr>
        <w:t> </w:t>
      </w:r>
      <w:r>
        <w:rPr>
          <w:spacing w:val="-2"/>
          <w:vertAlign w:val="baseline"/>
        </w:rPr>
        <w:t>edition.</w:t>
      </w:r>
    </w:p>
    <w:p>
      <w:pPr>
        <w:pStyle w:val="BodyText"/>
        <w:ind w:left="1280"/>
      </w:pPr>
      <w:r>
        <w:rPr/>
        <w:t>CBS</w:t>
      </w:r>
      <w:r>
        <w:rPr>
          <w:spacing w:val="-2"/>
        </w:rPr>
        <w:t> </w:t>
      </w:r>
      <w:r>
        <w:rPr/>
        <w:t>publishers</w:t>
      </w:r>
      <w:r>
        <w:rPr>
          <w:spacing w:val="-1"/>
        </w:rPr>
        <w:t> </w:t>
      </w:r>
      <w:r>
        <w:rPr/>
        <w:t>and</w:t>
      </w:r>
      <w:r>
        <w:rPr>
          <w:spacing w:val="-2"/>
        </w:rPr>
        <w:t> </w:t>
      </w:r>
      <w:r>
        <w:rPr/>
        <w:t>Distributors</w:t>
      </w:r>
      <w:r>
        <w:rPr>
          <w:spacing w:val="-2"/>
        </w:rPr>
        <w:t> </w:t>
      </w:r>
      <w:r>
        <w:rPr/>
        <w:t>PVT.Ltd</w:t>
      </w:r>
      <w:r>
        <w:rPr>
          <w:spacing w:val="-1"/>
        </w:rPr>
        <w:t> </w:t>
      </w:r>
      <w:r>
        <w:rPr/>
        <w:t>New Delhi, India.</w:t>
      </w:r>
      <w:r>
        <w:rPr>
          <w:spacing w:val="-1"/>
        </w:rPr>
        <w:t> </w:t>
      </w:r>
      <w:r>
        <w:rPr/>
        <w:t>Pp</w:t>
      </w:r>
      <w:r>
        <w:rPr>
          <w:spacing w:val="-1"/>
        </w:rPr>
        <w:t> </w:t>
      </w:r>
      <w:r>
        <w:rPr>
          <w:spacing w:val="-2"/>
        </w:rPr>
        <w:t>71–86.</w:t>
      </w:r>
    </w:p>
    <w:p>
      <w:pPr>
        <w:pStyle w:val="BodyText"/>
      </w:pPr>
    </w:p>
    <w:p>
      <w:pPr>
        <w:pStyle w:val="BodyText"/>
        <w:ind w:left="1280" w:right="796" w:hanging="720"/>
        <w:jc w:val="both"/>
      </w:pPr>
      <w:r>
        <w:rPr/>
        <w:t>Artavanis-Tsakonas, K. and Riley, E. M. (2002). Innate immune response to malaria: rapid induction of IFNγ from human NK cells by live </w:t>
      </w:r>
      <w:r>
        <w:rPr>
          <w:i/>
        </w:rPr>
        <w:t>plasmodium falciparum</w:t>
      </w:r>
      <w:r>
        <w:rPr/>
        <w:t>-infected erythrocytes. </w:t>
      </w:r>
      <w:r>
        <w:rPr>
          <w:i/>
        </w:rPr>
        <w:t>Journal of Immunology</w:t>
      </w:r>
      <w:r>
        <w:rPr/>
        <w:t>; 169(</w:t>
      </w:r>
      <w:r>
        <w:rPr>
          <w:b/>
        </w:rPr>
        <w:t>6</w:t>
      </w:r>
      <w:r>
        <w:rPr/>
        <w:t>): 29-56.</w:t>
      </w:r>
    </w:p>
    <w:p>
      <w:pPr>
        <w:pStyle w:val="BodyText"/>
        <w:spacing w:before="1"/>
      </w:pPr>
    </w:p>
    <w:p>
      <w:pPr>
        <w:pStyle w:val="BodyText"/>
        <w:ind w:left="1280" w:right="797" w:hanging="720"/>
        <w:jc w:val="both"/>
      </w:pPr>
      <w:r>
        <w:rPr/>
        <w:t>Ashwood, E. R. and Knight, G. J. (2006).Clinical Chemistry of pregnancy. In: Tietz</w:t>
      </w:r>
      <w:r>
        <w:rPr>
          <w:spacing w:val="40"/>
        </w:rPr>
        <w:t> </w:t>
      </w:r>
      <w:r>
        <w:rPr/>
        <w:t>Textbook of Clinical Chemistry .Pp 2153-2206.</w:t>
      </w:r>
    </w:p>
    <w:p>
      <w:pPr>
        <w:pStyle w:val="BodyText"/>
      </w:pPr>
    </w:p>
    <w:p>
      <w:pPr>
        <w:spacing w:before="0"/>
        <w:ind w:left="1280" w:right="795" w:hanging="720"/>
        <w:jc w:val="both"/>
        <w:rPr>
          <w:sz w:val="24"/>
        </w:rPr>
      </w:pPr>
      <w:r>
        <w:rPr>
          <w:sz w:val="24"/>
        </w:rPr>
        <w:t>Autino, B., Noris, A., Russo, R. and Castelli, F. (2012).Epidemiology of malaria in endemic areas.</w:t>
      </w:r>
      <w:r>
        <w:rPr>
          <w:i/>
          <w:sz w:val="24"/>
        </w:rPr>
        <w:t>Mediterranean Journal of Haematology and Infectious Diseases</w:t>
      </w:r>
      <w:r>
        <w:rPr>
          <w:sz w:val="24"/>
        </w:rPr>
        <w:t>; 4(</w:t>
      </w:r>
      <w:r>
        <w:rPr>
          <w:b/>
          <w:sz w:val="24"/>
        </w:rPr>
        <w:t>1</w:t>
      </w:r>
      <w:r>
        <w:rPr>
          <w:sz w:val="24"/>
        </w:rPr>
        <w:t>): </w:t>
      </w:r>
      <w:r>
        <w:rPr>
          <w:spacing w:val="-2"/>
          <w:sz w:val="24"/>
        </w:rPr>
        <w:t>e2012060.</w:t>
      </w:r>
    </w:p>
    <w:p>
      <w:pPr>
        <w:pStyle w:val="BodyText"/>
      </w:pPr>
    </w:p>
    <w:p>
      <w:pPr>
        <w:pStyle w:val="BodyText"/>
        <w:ind w:left="560"/>
        <w:jc w:val="both"/>
      </w:pPr>
      <w:r>
        <w:rPr/>
        <w:t>Ayoola, O.</w:t>
      </w:r>
      <w:r>
        <w:rPr>
          <w:spacing w:val="-1"/>
        </w:rPr>
        <w:t> </w:t>
      </w:r>
      <w:r>
        <w:rPr/>
        <w:t>O., Whatmore,</w:t>
      </w:r>
      <w:r>
        <w:rPr>
          <w:spacing w:val="-1"/>
        </w:rPr>
        <w:t> </w:t>
      </w:r>
      <w:r>
        <w:rPr/>
        <w:t>A., Balogun,</w:t>
      </w:r>
      <w:r>
        <w:rPr>
          <w:spacing w:val="-1"/>
        </w:rPr>
        <w:t> </w:t>
      </w:r>
      <w:r>
        <w:rPr/>
        <w:t>W.</w:t>
      </w:r>
      <w:r>
        <w:rPr>
          <w:spacing w:val="-1"/>
        </w:rPr>
        <w:t> </w:t>
      </w:r>
      <w:r>
        <w:rPr/>
        <w:t>O., Jarrett,</w:t>
      </w:r>
      <w:r>
        <w:rPr>
          <w:spacing w:val="-1"/>
        </w:rPr>
        <w:t> </w:t>
      </w:r>
      <w:r>
        <w:rPr/>
        <w:t>O. O.,</w:t>
      </w:r>
      <w:r>
        <w:rPr>
          <w:spacing w:val="-1"/>
        </w:rPr>
        <w:t> </w:t>
      </w:r>
      <w:r>
        <w:rPr/>
        <w:t>Cruickshank,</w:t>
      </w:r>
      <w:r>
        <w:rPr>
          <w:spacing w:val="1"/>
        </w:rPr>
        <w:t> </w:t>
      </w:r>
      <w:r>
        <w:rPr/>
        <w:t>J. K.</w:t>
      </w:r>
      <w:r>
        <w:rPr>
          <w:spacing w:val="-1"/>
        </w:rPr>
        <w:t> </w:t>
      </w:r>
      <w:r>
        <w:rPr/>
        <w:t>and </w:t>
      </w:r>
      <w:r>
        <w:rPr>
          <w:spacing w:val="-2"/>
        </w:rPr>
        <w:t>Clayton,</w:t>
      </w:r>
    </w:p>
    <w:p>
      <w:pPr>
        <w:pStyle w:val="BodyText"/>
        <w:ind w:left="1280" w:right="805"/>
        <w:jc w:val="both"/>
      </w:pPr>
      <w:r>
        <w:rPr/>
        <w:t>P. E. (2012). Maternal malaria status and metabolic profiles in pregnancy and in cord blood: relationships with birth size in Nigerian infants. </w:t>
      </w:r>
      <w:r>
        <w:rPr>
          <w:i/>
        </w:rPr>
        <w:t>Malaria Journal</w:t>
      </w:r>
      <w:r>
        <w:rPr/>
        <w:t>; 11: 75-83.</w:t>
      </w:r>
    </w:p>
    <w:p>
      <w:pPr>
        <w:pStyle w:val="BodyText"/>
        <w:spacing w:before="5"/>
      </w:pPr>
    </w:p>
    <w:p>
      <w:pPr>
        <w:pStyle w:val="BodyText"/>
        <w:spacing w:before="1"/>
        <w:ind w:left="1268" w:right="795" w:hanging="708"/>
      </w:pPr>
      <w:r>
        <w:rPr/>
        <w:t>Baidoo, S. E., Tay, S. C. K., Obiri-Danso, K. and Abruquah H. H. (2010).Intestinal helminth infection</w:t>
      </w:r>
      <w:r>
        <w:rPr>
          <w:spacing w:val="-3"/>
        </w:rPr>
        <w:t> </w:t>
      </w:r>
      <w:r>
        <w:rPr/>
        <w:t>and</w:t>
      </w:r>
      <w:r>
        <w:rPr>
          <w:spacing w:val="-3"/>
        </w:rPr>
        <w:t> </w:t>
      </w:r>
      <w:r>
        <w:rPr/>
        <w:t>anaemia</w:t>
      </w:r>
      <w:r>
        <w:rPr>
          <w:spacing w:val="-4"/>
        </w:rPr>
        <w:t> </w:t>
      </w:r>
      <w:r>
        <w:rPr/>
        <w:t>during</w:t>
      </w:r>
      <w:r>
        <w:rPr>
          <w:spacing w:val="-3"/>
        </w:rPr>
        <w:t> </w:t>
      </w:r>
      <w:r>
        <w:rPr/>
        <w:t>pregnancy:</w:t>
      </w:r>
      <w:r>
        <w:rPr>
          <w:spacing w:val="-1"/>
        </w:rPr>
        <w:t> </w:t>
      </w:r>
      <w:r>
        <w:rPr/>
        <w:t>A</w:t>
      </w:r>
      <w:r>
        <w:rPr>
          <w:spacing w:val="-3"/>
        </w:rPr>
        <w:t> </w:t>
      </w:r>
      <w:r>
        <w:rPr/>
        <w:t>community</w:t>
      </w:r>
      <w:r>
        <w:rPr>
          <w:spacing w:val="-8"/>
        </w:rPr>
        <w:t> </w:t>
      </w:r>
      <w:r>
        <w:rPr/>
        <w:t>based</w:t>
      </w:r>
      <w:r>
        <w:rPr>
          <w:spacing w:val="-3"/>
        </w:rPr>
        <w:t> </w:t>
      </w:r>
      <w:r>
        <w:rPr/>
        <w:t>study</w:t>
      </w:r>
      <w:r>
        <w:rPr>
          <w:spacing w:val="-8"/>
        </w:rPr>
        <w:t> </w:t>
      </w:r>
      <w:r>
        <w:rPr/>
        <w:t>in</w:t>
      </w:r>
      <w:r>
        <w:rPr>
          <w:spacing w:val="-3"/>
        </w:rPr>
        <w:t> </w:t>
      </w:r>
      <w:r>
        <w:rPr/>
        <w:t>Ghana.</w:t>
      </w:r>
      <w:r>
        <w:rPr>
          <w:spacing w:val="-3"/>
        </w:rPr>
        <w:t> </w:t>
      </w:r>
      <w:r>
        <w:rPr>
          <w:i/>
        </w:rPr>
        <w:t>Journal of</w:t>
      </w:r>
      <w:r>
        <w:rPr>
          <w:i/>
          <w:spacing w:val="40"/>
        </w:rPr>
        <w:t> </w:t>
      </w:r>
      <w:r>
        <w:rPr>
          <w:i/>
        </w:rPr>
        <w:t>Bacteriology Research. 2</w:t>
      </w:r>
      <w:r>
        <w:rPr>
          <w:b/>
          <w:i/>
        </w:rPr>
        <w:t>(2):</w:t>
      </w:r>
      <w:r>
        <w:rPr/>
        <w:t>9-13.</w:t>
      </w:r>
    </w:p>
    <w:p>
      <w:pPr>
        <w:pStyle w:val="BodyText"/>
        <w:spacing w:before="2"/>
      </w:pPr>
    </w:p>
    <w:p>
      <w:pPr>
        <w:spacing w:before="0"/>
        <w:ind w:left="1280" w:right="795" w:hanging="720"/>
        <w:jc w:val="both"/>
        <w:rPr>
          <w:sz w:val="24"/>
        </w:rPr>
      </w:pPr>
      <w:r>
        <w:rPr>
          <w:sz w:val="24"/>
        </w:rPr>
        <w:t>Bartha, J. L., Romero, C. R. and Comino-Delgado, R. (2003).Inflammatory cytokines in Intrauterine Growth Retardation.</w:t>
      </w:r>
      <w:r>
        <w:rPr>
          <w:i/>
          <w:sz w:val="24"/>
        </w:rPr>
        <w:t>Acta Obstetrician et Gynecologica</w:t>
      </w:r>
      <w:r>
        <w:rPr>
          <w:sz w:val="24"/>
        </w:rPr>
        <w:t>; 82(</w:t>
      </w:r>
      <w:r>
        <w:rPr>
          <w:b/>
          <w:sz w:val="24"/>
        </w:rPr>
        <w:t>12</w:t>
      </w:r>
      <w:r>
        <w:rPr>
          <w:sz w:val="24"/>
        </w:rPr>
        <w:t>): 1099- </w:t>
      </w:r>
      <w:r>
        <w:rPr>
          <w:spacing w:val="-2"/>
          <w:sz w:val="24"/>
        </w:rPr>
        <w:t>1020.</w:t>
      </w:r>
    </w:p>
    <w:p>
      <w:pPr>
        <w:pStyle w:val="BodyText"/>
      </w:pPr>
    </w:p>
    <w:p>
      <w:pPr>
        <w:spacing w:before="0"/>
        <w:ind w:left="1280" w:right="797" w:hanging="720"/>
        <w:jc w:val="both"/>
        <w:rPr>
          <w:sz w:val="24"/>
        </w:rPr>
      </w:pPr>
      <w:r>
        <w:rPr>
          <w:sz w:val="24"/>
        </w:rPr>
        <w:t>Baynes, R.D., Shih, Y.J., Hudson, B.G. and Cook, J.D. (1993).Production of the serum form of the transferrin receptor by a cell membrane-associated serine protease.</w:t>
      </w:r>
      <w:r>
        <w:rPr>
          <w:i/>
          <w:sz w:val="24"/>
        </w:rPr>
        <w:t>Proceedings of theSociety for Experimental Biology and Medicine; </w:t>
      </w:r>
      <w:r>
        <w:rPr>
          <w:sz w:val="24"/>
        </w:rPr>
        <w:t>204(</w:t>
      </w:r>
      <w:r>
        <w:rPr>
          <w:b/>
          <w:sz w:val="24"/>
        </w:rPr>
        <w:t>1</w:t>
      </w:r>
      <w:r>
        <w:rPr>
          <w:sz w:val="24"/>
        </w:rPr>
        <w:t>): 65 – 69.</w:t>
      </w:r>
    </w:p>
    <w:p>
      <w:pPr>
        <w:pStyle w:val="BodyText"/>
        <w:spacing w:before="1"/>
      </w:pPr>
    </w:p>
    <w:p>
      <w:pPr>
        <w:pStyle w:val="BodyText"/>
        <w:ind w:left="560"/>
        <w:jc w:val="both"/>
      </w:pPr>
      <w:r>
        <w:rPr/>
        <w:t>Bayoumi, N.</w:t>
      </w:r>
      <w:r>
        <w:rPr>
          <w:spacing w:val="3"/>
        </w:rPr>
        <w:t> </w:t>
      </w:r>
      <w:r>
        <w:rPr/>
        <w:t>K.,</w:t>
      </w:r>
      <w:r>
        <w:rPr>
          <w:spacing w:val="3"/>
        </w:rPr>
        <w:t> </w:t>
      </w:r>
      <w:r>
        <w:rPr/>
        <w:t>Bakhet,</w:t>
      </w:r>
      <w:r>
        <w:rPr>
          <w:spacing w:val="4"/>
        </w:rPr>
        <w:t> </w:t>
      </w:r>
      <w:r>
        <w:rPr/>
        <w:t>H.</w:t>
      </w:r>
      <w:r>
        <w:rPr>
          <w:spacing w:val="3"/>
        </w:rPr>
        <w:t> </w:t>
      </w:r>
      <w:r>
        <w:rPr/>
        <w:t>K.,</w:t>
      </w:r>
      <w:r>
        <w:rPr>
          <w:spacing w:val="3"/>
        </w:rPr>
        <w:t> </w:t>
      </w:r>
      <w:r>
        <w:rPr/>
        <w:t>Mohammed,</w:t>
      </w:r>
      <w:r>
        <w:rPr>
          <w:spacing w:val="3"/>
        </w:rPr>
        <w:t> </w:t>
      </w:r>
      <w:r>
        <w:rPr/>
        <w:t>A.</w:t>
      </w:r>
      <w:r>
        <w:rPr>
          <w:spacing w:val="-1"/>
        </w:rPr>
        <w:t> </w:t>
      </w:r>
      <w:r>
        <w:rPr/>
        <w:t>A.,</w:t>
      </w:r>
      <w:r>
        <w:rPr>
          <w:spacing w:val="3"/>
        </w:rPr>
        <w:t> </w:t>
      </w:r>
      <w:r>
        <w:rPr/>
        <w:t>Eltom,</w:t>
      </w:r>
      <w:r>
        <w:rPr>
          <w:spacing w:val="3"/>
        </w:rPr>
        <w:t> </w:t>
      </w:r>
      <w:r>
        <w:rPr/>
        <w:t>M.</w:t>
      </w:r>
      <w:r>
        <w:rPr>
          <w:spacing w:val="1"/>
        </w:rPr>
        <w:t> </w:t>
      </w:r>
      <w:r>
        <w:rPr/>
        <w:t>A.,</w:t>
      </w:r>
      <w:r>
        <w:rPr>
          <w:spacing w:val="3"/>
        </w:rPr>
        <w:t> </w:t>
      </w:r>
      <w:r>
        <w:rPr/>
        <w:t>Elashir,</w:t>
      </w:r>
      <w:r>
        <w:rPr>
          <w:spacing w:val="3"/>
        </w:rPr>
        <w:t> </w:t>
      </w:r>
      <w:r>
        <w:rPr/>
        <w:t>M.</w:t>
      </w:r>
      <w:r>
        <w:rPr>
          <w:spacing w:val="3"/>
        </w:rPr>
        <w:t> </w:t>
      </w:r>
      <w:r>
        <w:rPr/>
        <w:t>I.,</w:t>
      </w:r>
      <w:r>
        <w:rPr>
          <w:spacing w:val="3"/>
        </w:rPr>
        <w:t> </w:t>
      </w:r>
      <w:r>
        <w:rPr>
          <w:spacing w:val="-2"/>
        </w:rPr>
        <w:t>Marouagou,</w:t>
      </w:r>
    </w:p>
    <w:p>
      <w:pPr>
        <w:pStyle w:val="BodyText"/>
        <w:ind w:left="1280" w:right="796"/>
        <w:jc w:val="both"/>
      </w:pPr>
      <w:r>
        <w:rPr/>
        <w:t>E. and Adam, I. (2008). Cytokine profiles in peripheral, placental and cord blood in</w:t>
      </w:r>
      <w:r>
        <w:rPr>
          <w:spacing w:val="80"/>
        </w:rPr>
        <w:t> </w:t>
      </w:r>
      <w:r>
        <w:rPr/>
        <w:t>an area of unstable malaria transmission in Eastern Sudan. </w:t>
      </w:r>
      <w:r>
        <w:rPr>
          <w:i/>
        </w:rPr>
        <w:t>Journal of Tropical Pediatrics</w:t>
      </w:r>
      <w:r>
        <w:rPr/>
        <w:t>; 54(</w:t>
      </w:r>
      <w:r>
        <w:rPr>
          <w:b/>
        </w:rPr>
        <w:t>4</w:t>
      </w:r>
      <w:r>
        <w:rPr/>
        <w:t>): 202-204.</w:t>
      </w:r>
    </w:p>
    <w:p>
      <w:pPr>
        <w:spacing w:after="0"/>
        <w:jc w:val="both"/>
        <w:sectPr>
          <w:pgSz w:w="11910" w:h="16840"/>
          <w:pgMar w:header="0" w:footer="1067" w:top="1060" w:bottom="1260" w:left="880" w:right="640"/>
        </w:sectPr>
      </w:pPr>
    </w:p>
    <w:p>
      <w:pPr>
        <w:spacing w:before="70"/>
        <w:ind w:left="1280" w:right="793" w:hanging="720"/>
        <w:jc w:val="both"/>
        <w:rPr>
          <w:sz w:val="24"/>
        </w:rPr>
      </w:pPr>
      <w:r>
        <w:rPr>
          <w:sz w:val="24"/>
        </w:rPr>
        <w:t>Bayoumi, N. K., Elhassan, E. M., Elbashir, M. I. and Adam, I. (2009).Cortisol, prolactin, cytokines and the susceptibility of pregnant Sudanese women to </w:t>
      </w:r>
      <w:r>
        <w:rPr>
          <w:i/>
          <w:sz w:val="24"/>
        </w:rPr>
        <w:t>plasmodium falciparum </w:t>
      </w:r>
      <w:r>
        <w:rPr>
          <w:sz w:val="24"/>
        </w:rPr>
        <w:t>malaria. </w:t>
      </w:r>
      <w:r>
        <w:rPr>
          <w:i/>
          <w:sz w:val="24"/>
        </w:rPr>
        <w:t>Annals of Tropical Medicine and Parasitology</w:t>
      </w:r>
      <w:r>
        <w:rPr>
          <w:sz w:val="24"/>
        </w:rPr>
        <w:t>; 103(</w:t>
      </w:r>
      <w:r>
        <w:rPr>
          <w:b/>
          <w:sz w:val="24"/>
        </w:rPr>
        <w:t>2</w:t>
      </w:r>
      <w:r>
        <w:rPr>
          <w:sz w:val="24"/>
        </w:rPr>
        <w:t>): 111-117.</w:t>
      </w:r>
    </w:p>
    <w:p>
      <w:pPr>
        <w:pStyle w:val="BodyText"/>
      </w:pPr>
    </w:p>
    <w:p>
      <w:pPr>
        <w:pStyle w:val="BodyText"/>
        <w:spacing w:before="1"/>
        <w:ind w:left="1280" w:right="793" w:hanging="720"/>
        <w:jc w:val="both"/>
      </w:pPr>
      <w:r>
        <w:rPr/>
        <w:t>Beeson, J. G., Rogerson, S. J., Cooke, B. M., Reeder, J. C., Chai, W., Lawson, A. M., Molyneux, M. E. and Brown, G. V. (2000). Adhesion of </w:t>
      </w:r>
      <w:r>
        <w:rPr>
          <w:i/>
        </w:rPr>
        <w:t>plasmodium falciparum</w:t>
      </w:r>
      <w:r>
        <w:rPr/>
        <w:t>- infected erythrocytes to hyaluronic acid in placental malaria.</w:t>
      </w:r>
      <w:r>
        <w:rPr>
          <w:i/>
        </w:rPr>
        <w:t>Nature Medicine</w:t>
      </w:r>
      <w:r>
        <w:rPr/>
        <w:t>; 6(</w:t>
      </w:r>
      <w:r>
        <w:rPr>
          <w:b/>
        </w:rPr>
        <w:t>1</w:t>
      </w:r>
      <w:r>
        <w:rPr/>
        <w:t>): </w:t>
      </w:r>
      <w:r>
        <w:rPr>
          <w:spacing w:val="-2"/>
        </w:rPr>
        <w:t>86-90.</w:t>
      </w:r>
    </w:p>
    <w:p>
      <w:pPr>
        <w:spacing w:before="276"/>
        <w:ind w:left="1280" w:right="800" w:hanging="720"/>
        <w:jc w:val="both"/>
        <w:rPr>
          <w:sz w:val="24"/>
        </w:rPr>
      </w:pPr>
      <w:r>
        <w:rPr>
          <w:sz w:val="24"/>
        </w:rPr>
        <w:t>Beguin, Y., Huebars, H. A., Josepson, B. and Finch, C. A. (1988).Transferrin receptors in rat plasma.</w:t>
      </w:r>
      <w:r>
        <w:rPr>
          <w:i/>
          <w:sz w:val="24"/>
        </w:rPr>
        <w:t>Proceedings of the National Academy of Sciences of the United States of America</w:t>
      </w:r>
      <w:r>
        <w:rPr>
          <w:sz w:val="24"/>
        </w:rPr>
        <w:t>; 85(</w:t>
      </w:r>
      <w:r>
        <w:rPr>
          <w:b/>
          <w:sz w:val="24"/>
        </w:rPr>
        <w:t>2</w:t>
      </w:r>
      <w:r>
        <w:rPr>
          <w:sz w:val="24"/>
        </w:rPr>
        <w:t>): 637 – 640.</w:t>
      </w:r>
    </w:p>
    <w:p>
      <w:pPr>
        <w:pStyle w:val="BodyText"/>
      </w:pPr>
    </w:p>
    <w:p>
      <w:pPr>
        <w:spacing w:before="0"/>
        <w:ind w:left="1280" w:right="805" w:hanging="720"/>
        <w:jc w:val="both"/>
        <w:rPr>
          <w:sz w:val="24"/>
        </w:rPr>
      </w:pPr>
      <w:r>
        <w:rPr>
          <w:sz w:val="24"/>
        </w:rPr>
        <w:t>Beguin, Y. (2003). Soluble transferrin receptor for the evaluation of erythropoiesis and iron status.</w:t>
      </w:r>
      <w:r>
        <w:rPr>
          <w:i/>
          <w:sz w:val="24"/>
        </w:rPr>
        <w:t>International Journal of Clinical Chemistry</w:t>
      </w:r>
      <w:r>
        <w:rPr>
          <w:sz w:val="24"/>
        </w:rPr>
        <w:t>; 329 (1-2): 9- 22.</w:t>
      </w:r>
    </w:p>
    <w:p>
      <w:pPr>
        <w:pStyle w:val="BodyText"/>
      </w:pPr>
    </w:p>
    <w:p>
      <w:pPr>
        <w:pStyle w:val="BodyText"/>
        <w:ind w:left="1280" w:right="796" w:hanging="720"/>
        <w:jc w:val="both"/>
      </w:pPr>
      <w:r>
        <w:rPr/>
        <w:t>Bennet, W. A., Lagoo, D. S., Whitworth, N. S., Stopple, J. A., Barber, W. H., Hale, E., Brackin, M. N. and Cowan, B. D. (1999). First-trimester human chorionic villi</w:t>
      </w:r>
      <w:r>
        <w:rPr>
          <w:spacing w:val="40"/>
        </w:rPr>
        <w:t> </w:t>
      </w:r>
      <w:r>
        <w:rPr/>
        <w:t>express both immunoregulatory and inflammatory cytokines: a role for interleukin-10 in regulating the cytokine network of pregnancy. </w:t>
      </w:r>
      <w:r>
        <w:rPr>
          <w:i/>
        </w:rPr>
        <w:t>American Journal of Reproductive Immunology</w:t>
      </w:r>
      <w:r>
        <w:rPr/>
        <w:t>; 41(</w:t>
      </w:r>
      <w:r>
        <w:rPr>
          <w:b/>
        </w:rPr>
        <w:t>1</w:t>
      </w:r>
      <w:r>
        <w:rPr/>
        <w:t>): 70-78.</w:t>
      </w:r>
    </w:p>
    <w:p>
      <w:pPr>
        <w:pStyle w:val="BodyText"/>
      </w:pPr>
    </w:p>
    <w:p>
      <w:pPr>
        <w:pStyle w:val="BodyText"/>
        <w:spacing w:before="1"/>
        <w:ind w:left="560"/>
      </w:pPr>
      <w:r>
        <w:rPr/>
        <w:t>Bettelli</w:t>
      </w:r>
      <w:r>
        <w:rPr>
          <w:spacing w:val="-2"/>
        </w:rPr>
        <w:t> </w:t>
      </w:r>
      <w:r>
        <w:rPr/>
        <w:t>S.</w:t>
      </w:r>
      <w:r>
        <w:rPr>
          <w:spacing w:val="-1"/>
        </w:rPr>
        <w:t> </w:t>
      </w:r>
      <w:r>
        <w:rPr/>
        <w:t>L.</w:t>
      </w:r>
      <w:r>
        <w:rPr>
          <w:spacing w:val="-1"/>
        </w:rPr>
        <w:t> </w:t>
      </w:r>
      <w:r>
        <w:rPr/>
        <w:t>(2007).</w:t>
      </w:r>
      <w:r>
        <w:rPr>
          <w:spacing w:val="-1"/>
        </w:rPr>
        <w:t> </w:t>
      </w:r>
      <w:r>
        <w:rPr/>
        <w:t>Development</w:t>
      </w:r>
      <w:r>
        <w:rPr>
          <w:spacing w:val="-1"/>
        </w:rPr>
        <w:t> </w:t>
      </w:r>
      <w:r>
        <w:rPr/>
        <w:t>in</w:t>
      </w:r>
      <w:r>
        <w:rPr>
          <w:spacing w:val="-1"/>
        </w:rPr>
        <w:t> </w:t>
      </w:r>
      <w:r>
        <w:rPr/>
        <w:t>motion:</w:t>
      </w:r>
      <w:r>
        <w:rPr>
          <w:spacing w:val="-2"/>
        </w:rPr>
        <w:t> </w:t>
      </w:r>
      <w:r>
        <w:rPr/>
        <w:t>helper T-cells</w:t>
      </w:r>
      <w:r>
        <w:rPr>
          <w:spacing w:val="-1"/>
        </w:rPr>
        <w:t> </w:t>
      </w:r>
      <w:r>
        <w:rPr/>
        <w:t>at</w:t>
      </w:r>
      <w:r>
        <w:rPr>
          <w:spacing w:val="-1"/>
        </w:rPr>
        <w:t> </w:t>
      </w:r>
      <w:r>
        <w:rPr/>
        <w:t>work.</w:t>
      </w:r>
      <w:r>
        <w:rPr>
          <w:spacing w:val="-1"/>
        </w:rPr>
        <w:t> </w:t>
      </w:r>
      <w:r>
        <w:rPr>
          <w:i/>
        </w:rPr>
        <w:t>Cell </w:t>
      </w:r>
      <w:r>
        <w:rPr/>
        <w:t>129:</w:t>
      </w:r>
      <w:r>
        <w:rPr>
          <w:spacing w:val="-1"/>
        </w:rPr>
        <w:t> </w:t>
      </w:r>
      <w:r>
        <w:rPr/>
        <w:t>33-</w:t>
      </w:r>
      <w:r>
        <w:rPr>
          <w:spacing w:val="-5"/>
        </w:rPr>
        <w:t>37.</w:t>
      </w:r>
    </w:p>
    <w:p>
      <w:pPr>
        <w:pStyle w:val="BodyText"/>
      </w:pPr>
    </w:p>
    <w:p>
      <w:pPr>
        <w:spacing w:before="0"/>
        <w:ind w:left="1280" w:right="794" w:hanging="720"/>
        <w:jc w:val="both"/>
        <w:rPr>
          <w:sz w:val="24"/>
        </w:rPr>
      </w:pPr>
      <w:r>
        <w:rPr>
          <w:sz w:val="24"/>
        </w:rPr>
        <w:t>Bleyere, M. N., Amonkan, A. K., Kone, M., Sawadogo, D. and Yapo, P. A. (2013).High variability of iron status in adolescent during pregnancy in Cote D‟ivoire.</w:t>
      </w:r>
      <w:r>
        <w:rPr>
          <w:i/>
          <w:sz w:val="24"/>
        </w:rPr>
        <w:t>Journal of Blood Disorders and Transfusion</w:t>
      </w:r>
      <w:r>
        <w:rPr>
          <w:sz w:val="24"/>
        </w:rPr>
        <w:t>; 4(</w:t>
      </w:r>
      <w:r>
        <w:rPr>
          <w:b/>
          <w:sz w:val="24"/>
        </w:rPr>
        <w:t>2</w:t>
      </w:r>
      <w:r>
        <w:rPr>
          <w:sz w:val="24"/>
        </w:rPr>
        <w:t>): 1-6.</w:t>
      </w:r>
    </w:p>
    <w:p>
      <w:pPr>
        <w:pStyle w:val="BodyText"/>
      </w:pPr>
    </w:p>
    <w:p>
      <w:pPr>
        <w:pStyle w:val="BodyText"/>
        <w:ind w:left="1280" w:right="795" w:hanging="720"/>
        <w:jc w:val="both"/>
      </w:pPr>
      <w:r>
        <w:rPr/>
        <w:t>Bloland, P. B., Wirima, J. J., Steketee, R. W., Chilima, B., Hightower, A. and Breman, J. G. (1995). Maternal HIV infection and infant mortality in Malawi: Evidence for increased mortality due to placental malaria infection. </w:t>
      </w:r>
      <w:r>
        <w:rPr>
          <w:i/>
        </w:rPr>
        <w:t>AIDS</w:t>
      </w:r>
      <w:r>
        <w:rPr/>
        <w:t>; 9(</w:t>
      </w:r>
      <w:r>
        <w:rPr>
          <w:b/>
        </w:rPr>
        <w:t>7</w:t>
      </w:r>
      <w:r>
        <w:rPr/>
        <w:t>): 721-726.</w:t>
      </w:r>
    </w:p>
    <w:p>
      <w:pPr>
        <w:pStyle w:val="BodyText"/>
      </w:pPr>
    </w:p>
    <w:p>
      <w:pPr>
        <w:pStyle w:val="BodyText"/>
        <w:ind w:left="1280" w:right="797" w:hanging="720"/>
        <w:jc w:val="both"/>
      </w:pPr>
      <w:r>
        <w:rPr/>
        <w:t>Boston, S., Ibitokou, S., Oesterholt, M., Schmiegelow, C., Persson, J., Minja, D., Lusingu, J., Lemnge, M., Fievet, N., Deloron, P., Luty, A. J. F. and Troye-Blomberg, M. (2012).Biomarkers of </w:t>
      </w:r>
      <w:r>
        <w:rPr>
          <w:i/>
        </w:rPr>
        <w:t>plasmodium falciparum</w:t>
      </w:r>
      <w:r>
        <w:rPr/>
        <w:t>.Infection during pregnancy in women living in Northeastern Tanzania.7(</w:t>
      </w:r>
      <w:r>
        <w:rPr>
          <w:b/>
        </w:rPr>
        <w:t>11</w:t>
      </w:r>
      <w:r>
        <w:rPr/>
        <w:t>): e48763.</w:t>
      </w:r>
    </w:p>
    <w:p>
      <w:pPr>
        <w:pStyle w:val="BodyText"/>
        <w:spacing w:before="1"/>
      </w:pPr>
    </w:p>
    <w:p>
      <w:pPr>
        <w:pStyle w:val="BodyText"/>
        <w:ind w:left="560"/>
      </w:pPr>
      <w:r>
        <w:rPr/>
        <w:t>Bothwell,</w:t>
      </w:r>
      <w:r>
        <w:rPr>
          <w:spacing w:val="74"/>
        </w:rPr>
        <w:t> </w:t>
      </w:r>
      <w:r>
        <w:rPr/>
        <w:t>T.</w:t>
      </w:r>
      <w:r>
        <w:rPr>
          <w:spacing w:val="77"/>
        </w:rPr>
        <w:t> </w:t>
      </w:r>
      <w:r>
        <w:rPr/>
        <w:t>H.</w:t>
      </w:r>
      <w:r>
        <w:rPr>
          <w:spacing w:val="77"/>
        </w:rPr>
        <w:t> </w:t>
      </w:r>
      <w:r>
        <w:rPr/>
        <w:t>(2000).</w:t>
      </w:r>
      <w:r>
        <w:rPr>
          <w:spacing w:val="79"/>
        </w:rPr>
        <w:t> </w:t>
      </w:r>
      <w:r>
        <w:rPr/>
        <w:t>Iron</w:t>
      </w:r>
      <w:r>
        <w:rPr>
          <w:spacing w:val="79"/>
        </w:rPr>
        <w:t> </w:t>
      </w:r>
      <w:r>
        <w:rPr/>
        <w:t>requirements</w:t>
      </w:r>
      <w:r>
        <w:rPr>
          <w:spacing w:val="77"/>
        </w:rPr>
        <w:t> </w:t>
      </w:r>
      <w:r>
        <w:rPr/>
        <w:t>in</w:t>
      </w:r>
      <w:r>
        <w:rPr>
          <w:spacing w:val="78"/>
        </w:rPr>
        <w:t> </w:t>
      </w:r>
      <w:r>
        <w:rPr/>
        <w:t>pregnancy</w:t>
      </w:r>
      <w:r>
        <w:rPr>
          <w:spacing w:val="75"/>
        </w:rPr>
        <w:t> </w:t>
      </w:r>
      <w:r>
        <w:rPr/>
        <w:t>and</w:t>
      </w:r>
      <w:r>
        <w:rPr>
          <w:spacing w:val="77"/>
        </w:rPr>
        <w:t> </w:t>
      </w:r>
      <w:r>
        <w:rPr/>
        <w:t>strategies</w:t>
      </w:r>
      <w:r>
        <w:rPr>
          <w:spacing w:val="78"/>
        </w:rPr>
        <w:t> </w:t>
      </w:r>
      <w:r>
        <w:rPr/>
        <w:t>to</w:t>
      </w:r>
      <w:r>
        <w:rPr>
          <w:spacing w:val="78"/>
        </w:rPr>
        <w:t> </w:t>
      </w:r>
      <w:r>
        <w:rPr/>
        <w:t>meet</w:t>
      </w:r>
      <w:r>
        <w:rPr>
          <w:spacing w:val="78"/>
        </w:rPr>
        <w:t> </w:t>
      </w:r>
      <w:r>
        <w:rPr>
          <w:spacing w:val="-2"/>
        </w:rPr>
        <w:t>them.</w:t>
      </w:r>
    </w:p>
    <w:p>
      <w:pPr>
        <w:spacing w:before="0"/>
        <w:ind w:left="1280" w:right="0" w:firstLine="0"/>
        <w:jc w:val="left"/>
        <w:rPr>
          <w:sz w:val="24"/>
        </w:rPr>
      </w:pPr>
      <w:r>
        <w:rPr>
          <w:i/>
          <w:sz w:val="24"/>
        </w:rPr>
        <w:t>American</w:t>
      </w:r>
      <w:r>
        <w:rPr>
          <w:i/>
          <w:spacing w:val="-4"/>
          <w:sz w:val="24"/>
        </w:rPr>
        <w:t> </w:t>
      </w:r>
      <w:r>
        <w:rPr>
          <w:i/>
          <w:sz w:val="24"/>
        </w:rPr>
        <w:t>Journal</w:t>
      </w:r>
      <w:r>
        <w:rPr>
          <w:i/>
          <w:spacing w:val="-1"/>
          <w:sz w:val="24"/>
        </w:rPr>
        <w:t> </w:t>
      </w:r>
      <w:r>
        <w:rPr>
          <w:i/>
          <w:sz w:val="24"/>
        </w:rPr>
        <w:t>of</w:t>
      </w:r>
      <w:r>
        <w:rPr>
          <w:i/>
          <w:spacing w:val="-1"/>
          <w:sz w:val="24"/>
        </w:rPr>
        <w:t> </w:t>
      </w:r>
      <w:r>
        <w:rPr>
          <w:i/>
          <w:sz w:val="24"/>
        </w:rPr>
        <w:t>Clinical Nutrition.</w:t>
      </w:r>
      <w:r>
        <w:rPr>
          <w:i/>
          <w:spacing w:val="-1"/>
          <w:sz w:val="24"/>
        </w:rPr>
        <w:t> </w:t>
      </w:r>
      <w:r>
        <w:rPr>
          <w:sz w:val="24"/>
        </w:rPr>
        <w:t>72(</w:t>
      </w:r>
      <w:r>
        <w:rPr>
          <w:b/>
          <w:sz w:val="24"/>
        </w:rPr>
        <w:t>1</w:t>
      </w:r>
      <w:r>
        <w:rPr>
          <w:sz w:val="24"/>
        </w:rPr>
        <w:t>)</w:t>
      </w:r>
      <w:r>
        <w:rPr>
          <w:b/>
          <w:sz w:val="24"/>
        </w:rPr>
        <w:t>:</w:t>
      </w:r>
      <w:r>
        <w:rPr>
          <w:b/>
          <w:spacing w:val="-2"/>
          <w:sz w:val="24"/>
        </w:rPr>
        <w:t> </w:t>
      </w:r>
      <w:r>
        <w:rPr>
          <w:sz w:val="24"/>
        </w:rPr>
        <w:t>257-</w:t>
      </w:r>
      <w:r>
        <w:rPr>
          <w:spacing w:val="-4"/>
          <w:sz w:val="24"/>
        </w:rPr>
        <w:t>264.</w:t>
      </w:r>
    </w:p>
    <w:p>
      <w:pPr>
        <w:pStyle w:val="BodyText"/>
      </w:pPr>
    </w:p>
    <w:p>
      <w:pPr>
        <w:spacing w:before="0"/>
        <w:ind w:left="1280" w:right="797" w:hanging="720"/>
        <w:jc w:val="both"/>
        <w:rPr>
          <w:sz w:val="24"/>
        </w:rPr>
      </w:pPr>
      <w:r>
        <w:rPr>
          <w:sz w:val="24"/>
        </w:rPr>
        <w:t>Bottius, E., Guanzirolli, A., Trape, J. F., Rogier, C., Konate. L. and Druilhe, P. (1996). Malaria: even more chronic in nature than previously thought; evidence for subpatent parasitaemia detectable by the polymerase chain reaction. </w:t>
      </w:r>
      <w:r>
        <w:rPr>
          <w:i/>
          <w:sz w:val="24"/>
        </w:rPr>
        <w:t>Transactions of the Royal Society of Tropical Medicine and Hygiene</w:t>
      </w:r>
      <w:r>
        <w:rPr>
          <w:sz w:val="24"/>
        </w:rPr>
        <w:t>; 90(</w:t>
      </w:r>
      <w:r>
        <w:rPr>
          <w:b/>
          <w:sz w:val="24"/>
        </w:rPr>
        <w:t>1</w:t>
      </w:r>
      <w:r>
        <w:rPr>
          <w:sz w:val="24"/>
        </w:rPr>
        <w:t>): 15-19.</w:t>
      </w:r>
    </w:p>
    <w:p>
      <w:pPr>
        <w:pStyle w:val="BodyText"/>
      </w:pPr>
    </w:p>
    <w:p>
      <w:pPr>
        <w:pStyle w:val="BodyText"/>
        <w:ind w:left="1280" w:right="796" w:hanging="720"/>
        <w:jc w:val="both"/>
      </w:pPr>
      <w:r>
        <w:rPr/>
        <w:t>Bouyou-Akotet, M. K., Kombila, M., Kremsner, P. G. and Marrungou, E. (2004). Cytokine profiles in peripheral, placental and cord blood in pregnant women from an area endemic for </w:t>
      </w:r>
      <w:r>
        <w:rPr>
          <w:i/>
        </w:rPr>
        <w:t>plasmodium falciparum</w:t>
      </w:r>
      <w:r>
        <w:rPr/>
        <w:t>. </w:t>
      </w:r>
      <w:r>
        <w:rPr>
          <w:i/>
        </w:rPr>
        <w:t>European Cytokine Network</w:t>
      </w:r>
      <w:r>
        <w:rPr/>
        <w:t>; 15(</w:t>
      </w:r>
      <w:r>
        <w:rPr>
          <w:b/>
        </w:rPr>
        <w:t>2</w:t>
      </w:r>
      <w:r>
        <w:rPr/>
        <w:t>): 120-125.</w:t>
      </w:r>
    </w:p>
    <w:p>
      <w:pPr>
        <w:pStyle w:val="BodyText"/>
      </w:pPr>
    </w:p>
    <w:p>
      <w:pPr>
        <w:spacing w:before="1"/>
        <w:ind w:left="1280" w:right="801" w:hanging="720"/>
        <w:jc w:val="both"/>
        <w:rPr>
          <w:sz w:val="24"/>
        </w:rPr>
      </w:pPr>
      <w:r>
        <w:rPr>
          <w:sz w:val="24"/>
        </w:rPr>
        <w:t>Brabin, B. J. (1983). An analysis of malaria in pregnancy in Africa.</w:t>
      </w:r>
      <w:r>
        <w:rPr>
          <w:i/>
          <w:sz w:val="24"/>
        </w:rPr>
        <w:t>Bulletin of the World Health Organization</w:t>
      </w:r>
      <w:r>
        <w:rPr>
          <w:sz w:val="24"/>
        </w:rPr>
        <w:t>; 61(</w:t>
      </w:r>
      <w:r>
        <w:rPr>
          <w:b/>
          <w:sz w:val="24"/>
        </w:rPr>
        <w:t>6</w:t>
      </w:r>
      <w:r>
        <w:rPr>
          <w:sz w:val="24"/>
        </w:rPr>
        <w:t>): 1005-1016.</w:t>
      </w:r>
    </w:p>
    <w:p>
      <w:pPr>
        <w:spacing w:after="0"/>
        <w:jc w:val="both"/>
        <w:rPr>
          <w:sz w:val="24"/>
        </w:rPr>
        <w:sectPr>
          <w:pgSz w:w="11910" w:h="16840"/>
          <w:pgMar w:header="0" w:footer="1067" w:top="1060" w:bottom="1260" w:left="880" w:right="640"/>
        </w:sectPr>
      </w:pPr>
    </w:p>
    <w:p>
      <w:pPr>
        <w:pStyle w:val="BodyText"/>
        <w:spacing w:before="66"/>
        <w:ind w:left="1280" w:right="795" w:hanging="720"/>
        <w:jc w:val="both"/>
      </w:pPr>
      <w:r>
        <w:rPr/>
        <w:t>Brabin BJ, Rogerson SJ (2001). The epidemiology and outcomes of maternal malaria. In: Malaria in Pregnancy Deadly Parasite.Duffy PE, Fried M, (editors.), Susceptible</w:t>
      </w:r>
      <w:r>
        <w:rPr>
          <w:spacing w:val="80"/>
        </w:rPr>
        <w:t> </w:t>
      </w:r>
      <w:r>
        <w:rPr/>
        <w:t>Host. London and New York: Taylor and Francis; pp. 27–52.</w:t>
      </w:r>
    </w:p>
    <w:p>
      <w:pPr>
        <w:pStyle w:val="BodyText"/>
      </w:pPr>
    </w:p>
    <w:p>
      <w:pPr>
        <w:pStyle w:val="BodyText"/>
        <w:spacing w:before="1"/>
        <w:ind w:left="1371" w:right="951" w:hanging="812"/>
      </w:pPr>
      <w:r>
        <w:rPr/>
        <w:t>Braga,</w:t>
      </w:r>
      <w:r>
        <w:rPr>
          <w:spacing w:val="-3"/>
        </w:rPr>
        <w:t> </w:t>
      </w:r>
      <w:r>
        <w:rPr/>
        <w:t>A.</w:t>
      </w:r>
      <w:r>
        <w:rPr>
          <w:spacing w:val="-3"/>
        </w:rPr>
        <w:t> </w:t>
      </w:r>
      <w:r>
        <w:rPr/>
        <w:t>C.,</w:t>
      </w:r>
      <w:r>
        <w:rPr>
          <w:spacing w:val="-3"/>
        </w:rPr>
        <w:t> </w:t>
      </w:r>
      <w:r>
        <w:rPr/>
        <w:t>Oliveira,</w:t>
      </w:r>
      <w:r>
        <w:rPr>
          <w:spacing w:val="-3"/>
        </w:rPr>
        <w:t> </w:t>
      </w:r>
      <w:r>
        <w:rPr/>
        <w:t>M.</w:t>
      </w:r>
      <w:r>
        <w:rPr>
          <w:spacing w:val="-3"/>
        </w:rPr>
        <w:t> </w:t>
      </w:r>
      <w:r>
        <w:rPr/>
        <w:t>B.</w:t>
      </w:r>
      <w:r>
        <w:rPr>
          <w:spacing w:val="-3"/>
        </w:rPr>
        <w:t> </w:t>
      </w:r>
      <w:r>
        <w:rPr/>
        <w:t>N.,</w:t>
      </w:r>
      <w:r>
        <w:rPr>
          <w:spacing w:val="-3"/>
        </w:rPr>
        <w:t> </w:t>
      </w:r>
      <w:r>
        <w:rPr/>
        <w:t>Feliciano,</w:t>
      </w:r>
      <w:r>
        <w:rPr>
          <w:spacing w:val="-3"/>
        </w:rPr>
        <w:t> </w:t>
      </w:r>
      <w:r>
        <w:rPr/>
        <w:t>G.</w:t>
      </w:r>
      <w:r>
        <w:rPr>
          <w:spacing w:val="-3"/>
        </w:rPr>
        <w:t> </w:t>
      </w:r>
      <w:r>
        <w:rPr/>
        <w:t>D.,</w:t>
      </w:r>
      <w:r>
        <w:rPr>
          <w:spacing w:val="-2"/>
        </w:rPr>
        <w:t> </w:t>
      </w:r>
      <w:r>
        <w:rPr/>
        <w:t>Reininger,</w:t>
      </w:r>
      <w:r>
        <w:rPr>
          <w:spacing w:val="-3"/>
        </w:rPr>
        <w:t> </w:t>
      </w:r>
      <w:r>
        <w:rPr/>
        <w:t>J.</w:t>
      </w:r>
      <w:r>
        <w:rPr>
          <w:spacing w:val="-3"/>
        </w:rPr>
        <w:t> </w:t>
      </w:r>
      <w:r>
        <w:rPr/>
        <w:t>W.,</w:t>
      </w:r>
      <w:r>
        <w:rPr>
          <w:spacing w:val="-3"/>
        </w:rPr>
        <w:t> </w:t>
      </w:r>
      <w:r>
        <w:rPr/>
        <w:t>Oliveira,</w:t>
      </w:r>
      <w:r>
        <w:rPr>
          <w:spacing w:val="-3"/>
        </w:rPr>
        <w:t> </w:t>
      </w:r>
      <w:r>
        <w:rPr/>
        <w:t>J.</w:t>
      </w:r>
      <w:r>
        <w:rPr>
          <w:spacing w:val="-3"/>
        </w:rPr>
        <w:t> </w:t>
      </w:r>
      <w:r>
        <w:rPr/>
        <w:t>F.,</w:t>
      </w:r>
      <w:r>
        <w:rPr>
          <w:spacing w:val="-3"/>
        </w:rPr>
        <w:t> </w:t>
      </w:r>
      <w:r>
        <w:rPr/>
        <w:t>Silva,</w:t>
      </w:r>
      <w:r>
        <w:rPr>
          <w:spacing w:val="-3"/>
        </w:rPr>
        <w:t> </w:t>
      </w:r>
      <w:r>
        <w:rPr/>
        <w:t>C. R., Bernardo- Filho, M. (2000). The effect of drugs on labeling of blood elements with technetium.</w:t>
      </w:r>
      <w:r>
        <w:rPr>
          <w:i/>
        </w:rPr>
        <w:t>Current Pharmaceutical Design</w:t>
      </w:r>
      <w:r>
        <w:rPr/>
        <w:t>; 6(</w:t>
      </w:r>
      <w:r>
        <w:rPr>
          <w:b/>
        </w:rPr>
        <w:t>11</w:t>
      </w:r>
      <w:r>
        <w:rPr/>
        <w:t>): 1179-1191.</w:t>
      </w:r>
    </w:p>
    <w:p>
      <w:pPr>
        <w:pStyle w:val="BodyText"/>
        <w:spacing w:before="276"/>
        <w:ind w:left="1280" w:hanging="720"/>
      </w:pPr>
      <w:r>
        <w:rPr/>
        <w:t>Brugnara,</w:t>
      </w:r>
      <w:r>
        <w:rPr>
          <w:spacing w:val="-4"/>
        </w:rPr>
        <w:t> </w:t>
      </w:r>
      <w:r>
        <w:rPr/>
        <w:t>C.</w:t>
      </w:r>
      <w:r>
        <w:rPr>
          <w:spacing w:val="-4"/>
        </w:rPr>
        <w:t> </w:t>
      </w:r>
      <w:r>
        <w:rPr/>
        <w:t>(2003).</w:t>
      </w:r>
      <w:r>
        <w:rPr>
          <w:spacing w:val="-1"/>
        </w:rPr>
        <w:t> </w:t>
      </w:r>
      <w:r>
        <w:rPr/>
        <w:t>Iron</w:t>
      </w:r>
      <w:r>
        <w:rPr>
          <w:spacing w:val="-3"/>
        </w:rPr>
        <w:t> </w:t>
      </w:r>
      <w:r>
        <w:rPr/>
        <w:t>Deficiency</w:t>
      </w:r>
      <w:r>
        <w:rPr>
          <w:spacing w:val="-9"/>
        </w:rPr>
        <w:t> </w:t>
      </w:r>
      <w:r>
        <w:rPr/>
        <w:t>and</w:t>
      </w:r>
      <w:r>
        <w:rPr>
          <w:spacing w:val="-3"/>
        </w:rPr>
        <w:t> </w:t>
      </w:r>
      <w:r>
        <w:rPr/>
        <w:t>Erythropoiesis:</w:t>
      </w:r>
      <w:r>
        <w:rPr>
          <w:spacing w:val="-4"/>
        </w:rPr>
        <w:t> </w:t>
      </w:r>
      <w:r>
        <w:rPr/>
        <w:t>New</w:t>
      </w:r>
      <w:r>
        <w:rPr>
          <w:spacing w:val="-4"/>
        </w:rPr>
        <w:t> </w:t>
      </w:r>
      <w:r>
        <w:rPr/>
        <w:t>Diagnostic</w:t>
      </w:r>
      <w:r>
        <w:rPr>
          <w:spacing w:val="-2"/>
        </w:rPr>
        <w:t> </w:t>
      </w:r>
      <w:r>
        <w:rPr/>
        <w:t>Approach.</w:t>
      </w:r>
      <w:r>
        <w:rPr>
          <w:spacing w:val="-4"/>
        </w:rPr>
        <w:t> </w:t>
      </w:r>
      <w:r>
        <w:rPr>
          <w:i/>
        </w:rPr>
        <w:t>Clinical Chemistry</w:t>
      </w:r>
      <w:r>
        <w:rPr/>
        <w:t>.</w:t>
      </w:r>
      <w:r>
        <w:rPr>
          <w:b/>
        </w:rPr>
        <w:t>49</w:t>
      </w:r>
      <w:r>
        <w:rPr/>
        <w:t>(10): 1573 – 1578.</w:t>
      </w:r>
    </w:p>
    <w:p>
      <w:pPr>
        <w:pStyle w:val="BodyText"/>
      </w:pPr>
    </w:p>
    <w:p>
      <w:pPr>
        <w:pStyle w:val="BodyText"/>
        <w:ind w:left="1280" w:right="797" w:hanging="720"/>
        <w:jc w:val="both"/>
      </w:pPr>
      <w:r>
        <w:rPr/>
        <w:t>Brattig, N. W., Kowalsky, K., Liu, X., Burchard, G. D., Kamena, F. and Seeberger, P. H. (2008).</w:t>
      </w:r>
      <w:r>
        <w:rPr>
          <w:i/>
        </w:rPr>
        <w:t>Plasmodium falciparum </w:t>
      </w:r>
      <w:r>
        <w:rPr/>
        <w:t>glycosylphosphatidylinositol toxin interacts with the membrane of non-parasitized red blood cells: a putative mechanism contributing to malaria anaemia. </w:t>
      </w:r>
      <w:r>
        <w:rPr>
          <w:i/>
        </w:rPr>
        <w:t>Microbes and Infection</w:t>
      </w:r>
      <w:r>
        <w:rPr/>
        <w:t>; 10(</w:t>
      </w:r>
      <w:r>
        <w:rPr>
          <w:b/>
        </w:rPr>
        <w:t>8</w:t>
      </w:r>
      <w:r>
        <w:rPr/>
        <w:t>): 885-891.</w:t>
      </w:r>
    </w:p>
    <w:p>
      <w:pPr>
        <w:pStyle w:val="BodyText"/>
      </w:pPr>
    </w:p>
    <w:p>
      <w:pPr>
        <w:pStyle w:val="BodyText"/>
        <w:ind w:left="1280" w:right="795" w:hanging="720"/>
      </w:pPr>
      <w:r>
        <w:rPr/>
        <w:t>Burrow, N. G., Duffy, T. P. and Copel, J. A (2004).Medical complications during pregnancy, 6th Edition, Elsevier Inc.</w:t>
      </w:r>
    </w:p>
    <w:p>
      <w:pPr>
        <w:pStyle w:val="BodyText"/>
      </w:pPr>
    </w:p>
    <w:p>
      <w:pPr>
        <w:pStyle w:val="BodyText"/>
        <w:ind w:left="1280" w:right="794" w:hanging="720"/>
        <w:jc w:val="both"/>
      </w:pPr>
      <w:r>
        <w:rPr/>
        <w:t>Buseri, F. I., Uko, E. K., Jeremiah, Z. A. and Usanga, E. A. (2008).Prevalence and risk</w:t>
      </w:r>
      <w:r>
        <w:rPr>
          <w:spacing w:val="40"/>
        </w:rPr>
        <w:t> </w:t>
      </w:r>
      <w:r>
        <w:rPr/>
        <w:t>factors of anaemia among pregnant women in Nigeria.</w:t>
      </w:r>
      <w:r>
        <w:rPr>
          <w:i/>
        </w:rPr>
        <w:t>The Open Haematology Journal</w:t>
      </w:r>
      <w:r>
        <w:rPr/>
        <w:t>; 2: 14-19.</w:t>
      </w:r>
    </w:p>
    <w:p>
      <w:pPr>
        <w:pStyle w:val="BodyText"/>
        <w:spacing w:before="183"/>
        <w:ind w:left="1280" w:right="795" w:hanging="720"/>
        <w:jc w:val="both"/>
      </w:pPr>
      <w:r>
        <w:rPr/>
        <w:t>Carl, A.B., Edward, A. A. and David, E. B. (2006). Cytokines, In: Tietz Textbook of Clinical Chemistry and Molecular Diagnostics. 4thEdn. Elsevier Saunders Publisher Pp. 645- </w:t>
      </w:r>
      <w:r>
        <w:rPr>
          <w:spacing w:val="-4"/>
        </w:rPr>
        <w:t>744.</w:t>
      </w:r>
    </w:p>
    <w:p>
      <w:pPr>
        <w:pStyle w:val="BodyText"/>
        <w:spacing w:before="185"/>
        <w:ind w:left="1280" w:right="802" w:hanging="720"/>
        <w:jc w:val="both"/>
      </w:pPr>
      <w:r>
        <w:rPr/>
        <w:t>Carl, A.B., Edward, A. A. and David, E. B. (2006). Cytokines, In: Tietz Textbook of Clinical Chemistry and Molecular Diagnostics. Lipids, Lipoprotein and other cardiovascular risk factors.4thEdn.Elsevier Saunders Publisher.Pp 903- 967.</w:t>
      </w:r>
    </w:p>
    <w:p>
      <w:pPr>
        <w:pStyle w:val="BodyText"/>
      </w:pPr>
    </w:p>
    <w:p>
      <w:pPr>
        <w:pStyle w:val="BodyText"/>
        <w:ind w:left="1280" w:right="798" w:hanging="720"/>
        <w:jc w:val="both"/>
      </w:pPr>
      <w:r>
        <w:rPr/>
        <w:t>Carriaga, M.T., Skikne, B.S., Finley, B., Cutler, B. and Cook, J.D. (1991).Serum transferrin receptor for the detection of iron deficiency in pregnancy.</w:t>
      </w:r>
      <w:r>
        <w:rPr>
          <w:i/>
        </w:rPr>
        <w:t>American Journal of Clinical Nutrition</w:t>
      </w:r>
      <w:r>
        <w:rPr/>
        <w:t>; 54(</w:t>
      </w:r>
      <w:r>
        <w:rPr>
          <w:b/>
        </w:rPr>
        <w:t>6</w:t>
      </w:r>
      <w:r>
        <w:rPr/>
        <w:t>): 1077 – 1081.</w:t>
      </w:r>
    </w:p>
    <w:p>
      <w:pPr>
        <w:pStyle w:val="BodyText"/>
        <w:spacing w:before="1"/>
      </w:pPr>
    </w:p>
    <w:p>
      <w:pPr>
        <w:pStyle w:val="BodyText"/>
        <w:ind w:left="1280" w:right="793" w:hanging="720"/>
        <w:jc w:val="both"/>
      </w:pPr>
      <w:r>
        <w:rPr/>
        <w:t>Carvalho, P. A., Diez-Silva, M. Chen, H., Dao, M. and Suresh S. (2013). Cytoadherence of erythrocytes invaded by plasmodium falciparum: Quantitative contact-probing of a human malaria receptor. </w:t>
      </w:r>
      <w:r>
        <w:rPr>
          <w:i/>
        </w:rPr>
        <w:t>Acta Biomaterialia</w:t>
      </w:r>
      <w:r>
        <w:rPr/>
        <w:t>; 9 (</w:t>
      </w:r>
      <w:r>
        <w:rPr>
          <w:b/>
        </w:rPr>
        <w:t>5</w:t>
      </w:r>
      <w:r>
        <w:rPr/>
        <w:t>): 6349-6359</w:t>
      </w:r>
    </w:p>
    <w:p>
      <w:pPr>
        <w:pStyle w:val="BodyText"/>
      </w:pPr>
    </w:p>
    <w:p>
      <w:pPr>
        <w:spacing w:before="0"/>
        <w:ind w:left="1280" w:right="794" w:hanging="720"/>
        <w:jc w:val="both"/>
        <w:rPr>
          <w:sz w:val="24"/>
        </w:rPr>
      </w:pPr>
      <w:r>
        <w:rPr>
          <w:sz w:val="24"/>
        </w:rPr>
        <w:t>Castell, J. V., Gomez-Lechon, M. J. and David, M. (1989) Interleukin-6 is the major</w:t>
      </w:r>
      <w:r>
        <w:rPr>
          <w:spacing w:val="80"/>
          <w:sz w:val="24"/>
        </w:rPr>
        <w:t> </w:t>
      </w:r>
      <w:r>
        <w:rPr>
          <w:sz w:val="24"/>
        </w:rPr>
        <w:t>regulator of acute phase protein synthesis in adult human hepatocytes. </w:t>
      </w:r>
      <w:r>
        <w:rPr>
          <w:i/>
          <w:sz w:val="24"/>
        </w:rPr>
        <w:t>Federation of European Biochemical Societies Letters. </w:t>
      </w:r>
      <w:r>
        <w:rPr>
          <w:sz w:val="24"/>
        </w:rPr>
        <w:t>242(</w:t>
      </w:r>
      <w:r>
        <w:rPr>
          <w:b/>
          <w:sz w:val="24"/>
        </w:rPr>
        <w:t>2</w:t>
      </w:r>
      <w:r>
        <w:rPr>
          <w:sz w:val="24"/>
        </w:rPr>
        <w:t>)</w:t>
      </w:r>
      <w:r>
        <w:rPr>
          <w:b/>
          <w:sz w:val="24"/>
        </w:rPr>
        <w:t>: </w:t>
      </w:r>
      <w:r>
        <w:rPr>
          <w:sz w:val="24"/>
        </w:rPr>
        <w:t>237-239</w:t>
      </w:r>
    </w:p>
    <w:p>
      <w:pPr>
        <w:pStyle w:val="BodyText"/>
      </w:pPr>
    </w:p>
    <w:p>
      <w:pPr>
        <w:pStyle w:val="BodyText"/>
        <w:ind w:left="1280" w:hanging="720"/>
      </w:pPr>
      <w:r>
        <w:rPr/>
        <w:t>Cazzola,</w:t>
      </w:r>
      <w:r>
        <w:rPr>
          <w:spacing w:val="80"/>
          <w:w w:val="150"/>
        </w:rPr>
        <w:t> </w:t>
      </w:r>
      <w:r>
        <w:rPr/>
        <w:t>M.,</w:t>
      </w:r>
      <w:r>
        <w:rPr>
          <w:spacing w:val="80"/>
          <w:w w:val="150"/>
        </w:rPr>
        <w:t> </w:t>
      </w:r>
      <w:r>
        <w:rPr/>
        <w:t>Mercuriall,</w:t>
      </w:r>
      <w:r>
        <w:rPr>
          <w:spacing w:val="80"/>
          <w:w w:val="150"/>
        </w:rPr>
        <w:t> </w:t>
      </w:r>
      <w:r>
        <w:rPr/>
        <w:t>F.</w:t>
      </w:r>
      <w:r>
        <w:rPr>
          <w:spacing w:val="80"/>
          <w:w w:val="150"/>
        </w:rPr>
        <w:t> </w:t>
      </w:r>
      <w:r>
        <w:rPr/>
        <w:t>and</w:t>
      </w:r>
      <w:r>
        <w:rPr>
          <w:spacing w:val="80"/>
          <w:w w:val="150"/>
        </w:rPr>
        <w:t> </w:t>
      </w:r>
      <w:r>
        <w:rPr/>
        <w:t>Bruguara,</w:t>
      </w:r>
      <w:r>
        <w:rPr>
          <w:spacing w:val="80"/>
          <w:w w:val="150"/>
        </w:rPr>
        <w:t> </w:t>
      </w:r>
      <w:r>
        <w:rPr/>
        <w:t>C.</w:t>
      </w:r>
      <w:r>
        <w:rPr>
          <w:spacing w:val="80"/>
          <w:w w:val="150"/>
        </w:rPr>
        <w:t> </w:t>
      </w:r>
      <w:r>
        <w:rPr/>
        <w:t>(1997).Use</w:t>
      </w:r>
      <w:r>
        <w:rPr>
          <w:spacing w:val="80"/>
          <w:w w:val="150"/>
        </w:rPr>
        <w:t> </w:t>
      </w:r>
      <w:r>
        <w:rPr/>
        <w:t>of</w:t>
      </w:r>
      <w:r>
        <w:rPr>
          <w:spacing w:val="80"/>
          <w:w w:val="150"/>
        </w:rPr>
        <w:t> </w:t>
      </w:r>
      <w:r>
        <w:rPr/>
        <w:t>recombinant</w:t>
      </w:r>
      <w:r>
        <w:rPr>
          <w:spacing w:val="80"/>
          <w:w w:val="150"/>
        </w:rPr>
        <w:t> </w:t>
      </w:r>
      <w:r>
        <w:rPr/>
        <w:t>human</w:t>
      </w:r>
      <w:r>
        <w:rPr>
          <w:spacing w:val="40"/>
        </w:rPr>
        <w:t> </w:t>
      </w:r>
      <w:r>
        <w:rPr/>
        <w:t>erythropoietin</w:t>
      </w:r>
      <w:r>
        <w:rPr>
          <w:spacing w:val="40"/>
        </w:rPr>
        <w:t> </w:t>
      </w:r>
      <w:r>
        <w:rPr/>
        <w:t>outside the setting of uremia.</w:t>
      </w:r>
      <w:r>
        <w:rPr>
          <w:i/>
        </w:rPr>
        <w:t>Blood</w:t>
      </w:r>
      <w:r>
        <w:rPr/>
        <w:t>; 89(</w:t>
      </w:r>
      <w:r>
        <w:rPr>
          <w:b/>
        </w:rPr>
        <w:t>12</w:t>
      </w:r>
      <w:r>
        <w:rPr/>
        <w:t>): 4248-4287.</w:t>
      </w:r>
    </w:p>
    <w:p>
      <w:pPr>
        <w:pStyle w:val="BodyText"/>
      </w:pPr>
    </w:p>
    <w:p>
      <w:pPr>
        <w:pStyle w:val="BodyText"/>
        <w:spacing w:before="1"/>
        <w:ind w:left="1280" w:hanging="720"/>
      </w:pPr>
      <w:r>
        <w:rPr/>
        <w:t>Ceciliani,</w:t>
      </w:r>
      <w:r>
        <w:rPr>
          <w:spacing w:val="80"/>
        </w:rPr>
        <w:t> </w:t>
      </w:r>
      <w:r>
        <w:rPr/>
        <w:t>F.,</w:t>
      </w:r>
      <w:r>
        <w:rPr>
          <w:spacing w:val="80"/>
        </w:rPr>
        <w:t> </w:t>
      </w:r>
      <w:r>
        <w:rPr/>
        <w:t>Giordano,</w:t>
      </w:r>
      <w:r>
        <w:rPr>
          <w:spacing w:val="80"/>
        </w:rPr>
        <w:t> </w:t>
      </w:r>
      <w:r>
        <w:rPr/>
        <w:t>A.</w:t>
      </w:r>
      <w:r>
        <w:rPr>
          <w:spacing w:val="80"/>
        </w:rPr>
        <w:t> </w:t>
      </w:r>
      <w:r>
        <w:rPr/>
        <w:t>and</w:t>
      </w:r>
      <w:r>
        <w:rPr>
          <w:spacing w:val="80"/>
        </w:rPr>
        <w:t> </w:t>
      </w:r>
      <w:r>
        <w:rPr/>
        <w:t>Spagnolo,</w:t>
      </w:r>
      <w:r>
        <w:rPr>
          <w:spacing w:val="80"/>
        </w:rPr>
        <w:t> </w:t>
      </w:r>
      <w:r>
        <w:rPr/>
        <w:t>V.</w:t>
      </w:r>
      <w:r>
        <w:rPr>
          <w:spacing w:val="80"/>
        </w:rPr>
        <w:t> </w:t>
      </w:r>
      <w:r>
        <w:rPr/>
        <w:t>(2002).</w:t>
      </w:r>
      <w:r>
        <w:rPr>
          <w:spacing w:val="80"/>
        </w:rPr>
        <w:t> </w:t>
      </w:r>
      <w:r>
        <w:rPr/>
        <w:t>The</w:t>
      </w:r>
      <w:r>
        <w:rPr>
          <w:spacing w:val="80"/>
        </w:rPr>
        <w:t> </w:t>
      </w:r>
      <w:r>
        <w:rPr/>
        <w:t>systemic</w:t>
      </w:r>
      <w:r>
        <w:rPr>
          <w:spacing w:val="80"/>
        </w:rPr>
        <w:t> </w:t>
      </w:r>
      <w:r>
        <w:rPr/>
        <w:t>reaction</w:t>
      </w:r>
      <w:r>
        <w:rPr>
          <w:spacing w:val="80"/>
        </w:rPr>
        <w:t> </w:t>
      </w:r>
      <w:r>
        <w:rPr/>
        <w:t>during</w:t>
      </w:r>
      <w:r>
        <w:rPr>
          <w:spacing w:val="40"/>
        </w:rPr>
        <w:t> </w:t>
      </w:r>
      <w:r>
        <w:rPr/>
        <w:t>inflammation: the acute phase proteins. </w:t>
      </w:r>
      <w:r>
        <w:rPr>
          <w:i/>
        </w:rPr>
        <w:t>Proteins and Peptide letters; </w:t>
      </w:r>
      <w:r>
        <w:rPr/>
        <w:t>9(</w:t>
      </w:r>
      <w:r>
        <w:rPr>
          <w:b/>
        </w:rPr>
        <w:t>3</w:t>
      </w:r>
      <w:r>
        <w:rPr/>
        <w:t>): 211 - 223</w:t>
      </w:r>
    </w:p>
    <w:p>
      <w:pPr>
        <w:spacing w:after="0"/>
        <w:sectPr>
          <w:pgSz w:w="11910" w:h="16840"/>
          <w:pgMar w:header="0" w:footer="1067" w:top="1340" w:bottom="1260" w:left="880" w:right="640"/>
        </w:sectPr>
      </w:pPr>
    </w:p>
    <w:p>
      <w:pPr>
        <w:pStyle w:val="BodyText"/>
        <w:spacing w:before="70"/>
        <w:ind w:left="1280" w:right="799" w:hanging="720"/>
        <w:jc w:val="both"/>
      </w:pPr>
      <w:r>
        <w:rPr/>
        <w:t>Cheesbrough, M. (2010). Examination of blood for malaria parasite, In: District Laboratory Practice in Tropical Countries 2</w:t>
      </w:r>
      <w:r>
        <w:rPr>
          <w:vertAlign w:val="superscript"/>
        </w:rPr>
        <w:t>nd</w:t>
      </w:r>
      <w:r>
        <w:rPr>
          <w:vertAlign w:val="baseline"/>
        </w:rPr>
        <w:t> edn 5th printing Cambridge University Press Pepro India. Pp 239-258.</w:t>
      </w:r>
    </w:p>
    <w:p>
      <w:pPr>
        <w:pStyle w:val="BodyText"/>
      </w:pPr>
    </w:p>
    <w:p>
      <w:pPr>
        <w:spacing w:before="1"/>
        <w:ind w:left="1280" w:right="803" w:hanging="720"/>
        <w:jc w:val="both"/>
        <w:rPr>
          <w:sz w:val="24"/>
        </w:rPr>
      </w:pPr>
      <w:r>
        <w:rPr>
          <w:sz w:val="24"/>
        </w:rPr>
        <w:t>Chen, Q., Schlichtherle, M. and Wahlgren, M. (2000).Molecular aspects of severe malaria.</w:t>
      </w:r>
      <w:r>
        <w:rPr>
          <w:i/>
          <w:sz w:val="24"/>
        </w:rPr>
        <w:t>Clinical Microbiology Reviews</w:t>
      </w:r>
      <w:r>
        <w:rPr>
          <w:sz w:val="24"/>
        </w:rPr>
        <w:t>; 13(</w:t>
      </w:r>
      <w:r>
        <w:rPr>
          <w:b/>
          <w:sz w:val="24"/>
        </w:rPr>
        <w:t>3</w:t>
      </w:r>
      <w:r>
        <w:rPr>
          <w:sz w:val="24"/>
        </w:rPr>
        <w:t>): 439-450.</w:t>
      </w:r>
    </w:p>
    <w:p>
      <w:pPr>
        <w:pStyle w:val="BodyText"/>
        <w:spacing w:before="276"/>
        <w:ind w:left="1280" w:right="797" w:hanging="720"/>
        <w:jc w:val="both"/>
      </w:pPr>
      <w:r>
        <w:rPr/>
        <w:t>Chen, H. S.,Yang, Y., Hu, L., Yelavarthi, K. K., Fishback, J. L., Hunt, J. S. (1991). Tumor necrosis factor alpha mRNA and protein are present in human placental and uterine cells at early and late stages of gestation. </w:t>
      </w:r>
      <w:r>
        <w:rPr>
          <w:i/>
        </w:rPr>
        <w:t>American Journal of Pathology; </w:t>
      </w:r>
      <w:r>
        <w:rPr/>
        <w:t>139: 327</w:t>
      </w:r>
    </w:p>
    <w:p>
      <w:pPr>
        <w:pStyle w:val="BodyText"/>
        <w:spacing w:before="276"/>
        <w:ind w:left="1280" w:right="798" w:hanging="720"/>
        <w:jc w:val="both"/>
      </w:pPr>
      <w:r>
        <w:rPr/>
        <w:t>Chua, E., Chua, Q. and Lombard, M. (1995). Transferrin in RNA receptor is quantitatively different in crypt and trip cell population of the small intestine and parallels histochemistry expression. </w:t>
      </w:r>
      <w:r>
        <w:rPr>
          <w:i/>
        </w:rPr>
        <w:t>Gastroenterology</w:t>
      </w:r>
      <w:r>
        <w:rPr/>
        <w:t>; 108(</w:t>
      </w:r>
      <w:r>
        <w:rPr>
          <w:b/>
        </w:rPr>
        <w:t>4</w:t>
      </w:r>
      <w:r>
        <w:rPr/>
        <w:t>): AF21.</w:t>
      </w:r>
    </w:p>
    <w:p>
      <w:pPr>
        <w:pStyle w:val="BodyText"/>
      </w:pPr>
    </w:p>
    <w:p>
      <w:pPr>
        <w:pStyle w:val="BodyText"/>
        <w:ind w:left="1280" w:right="794" w:hanging="720"/>
        <w:jc w:val="both"/>
      </w:pPr>
      <w:r>
        <w:rPr/>
        <w:t>Chua,</w:t>
      </w:r>
      <w:r>
        <w:rPr>
          <w:spacing w:val="-5"/>
        </w:rPr>
        <w:t> </w:t>
      </w:r>
      <w:r>
        <w:rPr/>
        <w:t>E.,</w:t>
      </w:r>
      <w:r>
        <w:rPr>
          <w:spacing w:val="-5"/>
        </w:rPr>
        <w:t> </w:t>
      </w:r>
      <w:r>
        <w:rPr/>
        <w:t>Wang,</w:t>
      </w:r>
      <w:r>
        <w:rPr>
          <w:spacing w:val="-5"/>
        </w:rPr>
        <w:t> </w:t>
      </w:r>
      <w:r>
        <w:rPr/>
        <w:t>Q.,</w:t>
      </w:r>
      <w:r>
        <w:rPr>
          <w:spacing w:val="-5"/>
        </w:rPr>
        <w:t> </w:t>
      </w:r>
      <w:r>
        <w:rPr/>
        <w:t>O‟loole,</w:t>
      </w:r>
      <w:r>
        <w:rPr>
          <w:spacing w:val="-5"/>
        </w:rPr>
        <w:t> </w:t>
      </w:r>
      <w:r>
        <w:rPr/>
        <w:t>P.</w:t>
      </w:r>
      <w:r>
        <w:rPr>
          <w:spacing w:val="-5"/>
        </w:rPr>
        <w:t> </w:t>
      </w:r>
      <w:r>
        <w:rPr/>
        <w:t>and</w:t>
      </w:r>
      <w:r>
        <w:rPr>
          <w:spacing w:val="-4"/>
        </w:rPr>
        <w:t> </w:t>
      </w:r>
      <w:r>
        <w:rPr/>
        <w:t>Lambard,</w:t>
      </w:r>
      <w:r>
        <w:rPr>
          <w:spacing w:val="-5"/>
        </w:rPr>
        <w:t> </w:t>
      </w:r>
      <w:r>
        <w:rPr/>
        <w:t>M.</w:t>
      </w:r>
      <w:r>
        <w:rPr>
          <w:spacing w:val="-4"/>
        </w:rPr>
        <w:t> </w:t>
      </w:r>
      <w:r>
        <w:rPr/>
        <w:t>(1998).A</w:t>
      </w:r>
      <w:r>
        <w:rPr>
          <w:spacing w:val="-7"/>
        </w:rPr>
        <w:t> </w:t>
      </w:r>
      <w:r>
        <w:rPr/>
        <w:t>method</w:t>
      </w:r>
      <w:r>
        <w:rPr>
          <w:spacing w:val="-5"/>
        </w:rPr>
        <w:t> </w:t>
      </w:r>
      <w:r>
        <w:rPr/>
        <w:t>for</w:t>
      </w:r>
      <w:r>
        <w:rPr>
          <w:spacing w:val="-3"/>
        </w:rPr>
        <w:t> </w:t>
      </w:r>
      <w:r>
        <w:rPr/>
        <w:t>examining</w:t>
      </w:r>
      <w:r>
        <w:rPr>
          <w:spacing w:val="-5"/>
        </w:rPr>
        <w:t> </w:t>
      </w:r>
      <w:r>
        <w:rPr/>
        <w:t>differential in RNA Expression along the crypt-vollus axis of the human small intestine.</w:t>
      </w:r>
      <w:r>
        <w:rPr>
          <w:i/>
        </w:rPr>
        <w:t>Clinical Sciences</w:t>
      </w:r>
      <w:r>
        <w:rPr/>
        <w:t>; 95(</w:t>
      </w:r>
      <w:r>
        <w:rPr>
          <w:b/>
        </w:rPr>
        <w:t>2</w:t>
      </w:r>
      <w:r>
        <w:rPr/>
        <w:t>): 171 – 177.</w:t>
      </w:r>
    </w:p>
    <w:p>
      <w:pPr>
        <w:pStyle w:val="BodyText"/>
      </w:pPr>
    </w:p>
    <w:p>
      <w:pPr>
        <w:spacing w:before="0"/>
        <w:ind w:left="1280" w:right="794" w:hanging="720"/>
        <w:jc w:val="both"/>
        <w:rPr>
          <w:sz w:val="24"/>
        </w:rPr>
      </w:pPr>
      <w:r>
        <w:rPr>
          <w:sz w:val="24"/>
        </w:rPr>
        <w:t>Chukudebelu W. O. and Obi G. O., (1979).Anaemia in pregnancy in Nigerians.</w:t>
      </w:r>
      <w:r>
        <w:rPr>
          <w:spacing w:val="40"/>
          <w:sz w:val="24"/>
        </w:rPr>
        <w:t> </w:t>
      </w:r>
      <w:r>
        <w:rPr>
          <w:i/>
          <w:sz w:val="24"/>
        </w:rPr>
        <w:t>Nigerian Medical journal </w:t>
      </w:r>
      <w:r>
        <w:rPr>
          <w:b/>
          <w:i/>
          <w:sz w:val="24"/>
        </w:rPr>
        <w:t>9</w:t>
      </w:r>
      <w:r>
        <w:rPr>
          <w:b/>
          <w:sz w:val="24"/>
        </w:rPr>
        <w:t>: </w:t>
      </w:r>
      <w:r>
        <w:rPr>
          <w:sz w:val="24"/>
        </w:rPr>
        <w:t>221-223.</w:t>
      </w:r>
    </w:p>
    <w:p>
      <w:pPr>
        <w:pStyle w:val="BodyText"/>
      </w:pPr>
    </w:p>
    <w:p>
      <w:pPr>
        <w:pStyle w:val="BodyText"/>
        <w:spacing w:before="1"/>
        <w:ind w:left="1280" w:right="799" w:hanging="720"/>
        <w:jc w:val="both"/>
      </w:pPr>
      <w:r>
        <w:rPr/>
        <w:t>Clark,</w:t>
      </w:r>
      <w:r>
        <w:rPr>
          <w:spacing w:val="-1"/>
        </w:rPr>
        <w:t> </w:t>
      </w:r>
      <w:r>
        <w:rPr/>
        <w:t>I.</w:t>
      </w:r>
      <w:r>
        <w:rPr>
          <w:spacing w:val="-3"/>
        </w:rPr>
        <w:t> </w:t>
      </w:r>
      <w:r>
        <w:rPr/>
        <w:t>A.,</w:t>
      </w:r>
      <w:r>
        <w:rPr>
          <w:spacing w:val="-3"/>
        </w:rPr>
        <w:t> </w:t>
      </w:r>
      <w:r>
        <w:rPr/>
        <w:t>Budd,</w:t>
      </w:r>
      <w:r>
        <w:rPr>
          <w:spacing w:val="-3"/>
        </w:rPr>
        <w:t> </w:t>
      </w:r>
      <w:r>
        <w:rPr/>
        <w:t>A.</w:t>
      </w:r>
      <w:r>
        <w:rPr>
          <w:spacing w:val="-3"/>
        </w:rPr>
        <w:t> </w:t>
      </w:r>
      <w:r>
        <w:rPr/>
        <w:t>C.,</w:t>
      </w:r>
      <w:r>
        <w:rPr>
          <w:spacing w:val="-1"/>
        </w:rPr>
        <w:t> </w:t>
      </w:r>
      <w:r>
        <w:rPr/>
        <w:t>Alleva,</w:t>
      </w:r>
      <w:r>
        <w:rPr>
          <w:spacing w:val="-1"/>
        </w:rPr>
        <w:t> </w:t>
      </w:r>
      <w:r>
        <w:rPr/>
        <w:t>L.</w:t>
      </w:r>
      <w:r>
        <w:rPr>
          <w:spacing w:val="-3"/>
        </w:rPr>
        <w:t> </w:t>
      </w:r>
      <w:r>
        <w:rPr/>
        <w:t>M.</w:t>
      </w:r>
      <w:r>
        <w:rPr>
          <w:spacing w:val="-3"/>
        </w:rPr>
        <w:t> </w:t>
      </w:r>
      <w:r>
        <w:rPr/>
        <w:t>and</w:t>
      </w:r>
      <w:r>
        <w:rPr>
          <w:spacing w:val="-1"/>
        </w:rPr>
        <w:t> </w:t>
      </w:r>
      <w:r>
        <w:rPr/>
        <w:t>Cowden,</w:t>
      </w:r>
      <w:r>
        <w:rPr>
          <w:spacing w:val="-3"/>
        </w:rPr>
        <w:t> </w:t>
      </w:r>
      <w:r>
        <w:rPr/>
        <w:t>W.</w:t>
      </w:r>
      <w:r>
        <w:rPr>
          <w:spacing w:val="-3"/>
        </w:rPr>
        <w:t> </w:t>
      </w:r>
      <w:r>
        <w:rPr/>
        <w:t>B.</w:t>
      </w:r>
      <w:r>
        <w:rPr>
          <w:spacing w:val="-3"/>
        </w:rPr>
        <w:t> </w:t>
      </w:r>
      <w:r>
        <w:rPr/>
        <w:t>(2006).</w:t>
      </w:r>
      <w:r>
        <w:rPr>
          <w:spacing w:val="-4"/>
        </w:rPr>
        <w:t> </w:t>
      </w:r>
      <w:r>
        <w:rPr/>
        <w:t>Human</w:t>
      </w:r>
      <w:r>
        <w:rPr>
          <w:spacing w:val="-1"/>
        </w:rPr>
        <w:t> </w:t>
      </w:r>
      <w:r>
        <w:rPr/>
        <w:t>malaria</w:t>
      </w:r>
      <w:r>
        <w:rPr>
          <w:spacing w:val="-5"/>
        </w:rPr>
        <w:t> </w:t>
      </w:r>
      <w:r>
        <w:rPr/>
        <w:t>disease:</w:t>
      </w:r>
      <w:r>
        <w:rPr>
          <w:spacing w:val="-3"/>
        </w:rPr>
        <w:t> </w:t>
      </w:r>
      <w:r>
        <w:rPr/>
        <w:t>a consequence of inflammatory cytokine release. </w:t>
      </w:r>
      <w:r>
        <w:rPr>
          <w:i/>
        </w:rPr>
        <w:t>Malaria journal</w:t>
      </w:r>
      <w:r>
        <w:rPr/>
        <w:t>; 5: 85-117.</w:t>
      </w:r>
    </w:p>
    <w:p>
      <w:pPr>
        <w:pStyle w:val="BodyText"/>
      </w:pPr>
    </w:p>
    <w:p>
      <w:pPr>
        <w:spacing w:before="0"/>
        <w:ind w:left="1280" w:right="805" w:hanging="720"/>
        <w:jc w:val="both"/>
        <w:rPr>
          <w:sz w:val="24"/>
        </w:rPr>
      </w:pPr>
      <w:r>
        <w:rPr>
          <w:sz w:val="24"/>
        </w:rPr>
        <w:t>Clegg, J. B. and Weatherall, D. J. (1999). Thalassemia and malaria: new insights into an old problem. </w:t>
      </w:r>
      <w:r>
        <w:rPr>
          <w:i/>
          <w:sz w:val="24"/>
        </w:rPr>
        <w:t>Proceedings of the Association of American Physicians</w:t>
      </w:r>
      <w:r>
        <w:rPr>
          <w:sz w:val="24"/>
        </w:rPr>
        <w:t>; 111(</w:t>
      </w:r>
      <w:r>
        <w:rPr>
          <w:b/>
          <w:sz w:val="24"/>
        </w:rPr>
        <w:t>4</w:t>
      </w:r>
      <w:r>
        <w:rPr>
          <w:sz w:val="24"/>
        </w:rPr>
        <w:t>): 278-282.</w:t>
      </w:r>
    </w:p>
    <w:p>
      <w:pPr>
        <w:pStyle w:val="BodyText"/>
      </w:pPr>
    </w:p>
    <w:p>
      <w:pPr>
        <w:pStyle w:val="BodyText"/>
        <w:ind w:left="560"/>
      </w:pPr>
      <w:r>
        <w:rPr/>
        <w:t>Cline,</w:t>
      </w:r>
      <w:r>
        <w:rPr>
          <w:spacing w:val="-2"/>
        </w:rPr>
        <w:t> </w:t>
      </w:r>
      <w:r>
        <w:rPr/>
        <w:t>M.</w:t>
      </w:r>
      <w:r>
        <w:rPr>
          <w:spacing w:val="-1"/>
        </w:rPr>
        <w:t> </w:t>
      </w:r>
      <w:r>
        <w:rPr/>
        <w:t>J.</w:t>
      </w:r>
      <w:r>
        <w:rPr>
          <w:spacing w:val="-1"/>
        </w:rPr>
        <w:t> </w:t>
      </w:r>
      <w:r>
        <w:rPr/>
        <w:t>(1994).Histocytes</w:t>
      </w:r>
      <w:r>
        <w:rPr>
          <w:spacing w:val="-1"/>
        </w:rPr>
        <w:t> </w:t>
      </w:r>
      <w:r>
        <w:rPr/>
        <w:t>and</w:t>
      </w:r>
      <w:r>
        <w:rPr>
          <w:spacing w:val="-2"/>
        </w:rPr>
        <w:t> </w:t>
      </w:r>
      <w:r>
        <w:rPr/>
        <w:t>histocytosis.</w:t>
      </w:r>
      <w:r>
        <w:rPr>
          <w:i/>
        </w:rPr>
        <w:t>Blood</w:t>
      </w:r>
      <w:r>
        <w:rPr/>
        <w:t>.</w:t>
      </w:r>
      <w:r>
        <w:rPr>
          <w:b/>
        </w:rPr>
        <w:t>84:</w:t>
      </w:r>
      <w:r>
        <w:rPr>
          <w:b/>
          <w:spacing w:val="-2"/>
        </w:rPr>
        <w:t> </w:t>
      </w:r>
      <w:r>
        <w:rPr/>
        <w:t>2840-</w:t>
      </w:r>
      <w:r>
        <w:rPr>
          <w:spacing w:val="-2"/>
        </w:rPr>
        <w:t>2853.</w:t>
      </w:r>
    </w:p>
    <w:p>
      <w:pPr>
        <w:pStyle w:val="BodyText"/>
      </w:pPr>
    </w:p>
    <w:p>
      <w:pPr>
        <w:spacing w:before="0"/>
        <w:ind w:left="1280" w:right="795" w:hanging="720"/>
        <w:jc w:val="left"/>
        <w:rPr>
          <w:sz w:val="24"/>
        </w:rPr>
      </w:pPr>
      <w:r>
        <w:rPr>
          <w:sz w:val="24"/>
        </w:rPr>
        <w:t>Cook,</w:t>
      </w:r>
      <w:r>
        <w:rPr>
          <w:spacing w:val="-3"/>
          <w:sz w:val="24"/>
        </w:rPr>
        <w:t> </w:t>
      </w:r>
      <w:r>
        <w:rPr>
          <w:sz w:val="24"/>
        </w:rPr>
        <w:t>J.</w:t>
      </w:r>
      <w:r>
        <w:rPr>
          <w:spacing w:val="-3"/>
          <w:sz w:val="24"/>
        </w:rPr>
        <w:t> </w:t>
      </w:r>
      <w:r>
        <w:rPr>
          <w:sz w:val="24"/>
        </w:rPr>
        <w:t>D.</w:t>
      </w:r>
      <w:r>
        <w:rPr>
          <w:spacing w:val="-3"/>
          <w:sz w:val="24"/>
        </w:rPr>
        <w:t> </w:t>
      </w:r>
      <w:r>
        <w:rPr>
          <w:sz w:val="24"/>
        </w:rPr>
        <w:t>and</w:t>
      </w:r>
      <w:r>
        <w:rPr>
          <w:spacing w:val="-3"/>
          <w:sz w:val="24"/>
        </w:rPr>
        <w:t> </w:t>
      </w:r>
      <w:r>
        <w:rPr>
          <w:sz w:val="24"/>
        </w:rPr>
        <w:t>Skikne,</w:t>
      </w:r>
      <w:r>
        <w:rPr>
          <w:spacing w:val="-6"/>
          <w:sz w:val="24"/>
        </w:rPr>
        <w:t> </w:t>
      </w:r>
      <w:r>
        <w:rPr>
          <w:sz w:val="24"/>
        </w:rPr>
        <w:t>B.</w:t>
      </w:r>
      <w:r>
        <w:rPr>
          <w:spacing w:val="-3"/>
          <w:sz w:val="24"/>
        </w:rPr>
        <w:t> </w:t>
      </w:r>
      <w:r>
        <w:rPr>
          <w:sz w:val="24"/>
        </w:rPr>
        <w:t>S.</w:t>
      </w:r>
      <w:r>
        <w:rPr>
          <w:spacing w:val="-3"/>
          <w:sz w:val="24"/>
        </w:rPr>
        <w:t> </w:t>
      </w:r>
      <w:r>
        <w:rPr>
          <w:sz w:val="24"/>
        </w:rPr>
        <w:t>(1989).</w:t>
      </w:r>
      <w:r>
        <w:rPr>
          <w:spacing w:val="-1"/>
          <w:sz w:val="24"/>
        </w:rPr>
        <w:t> </w:t>
      </w:r>
      <w:r>
        <w:rPr>
          <w:sz w:val="24"/>
        </w:rPr>
        <w:t>Iron</w:t>
      </w:r>
      <w:r>
        <w:rPr>
          <w:spacing w:val="-3"/>
          <w:sz w:val="24"/>
        </w:rPr>
        <w:t> </w:t>
      </w:r>
      <w:r>
        <w:rPr>
          <w:sz w:val="24"/>
        </w:rPr>
        <w:t>deficiency:</w:t>
      </w:r>
      <w:r>
        <w:rPr>
          <w:spacing w:val="-3"/>
          <w:sz w:val="24"/>
        </w:rPr>
        <w:t> </w:t>
      </w:r>
      <w:r>
        <w:rPr>
          <w:sz w:val="24"/>
        </w:rPr>
        <w:t>definition</w:t>
      </w:r>
      <w:r>
        <w:rPr>
          <w:spacing w:val="-3"/>
          <w:sz w:val="24"/>
        </w:rPr>
        <w:t> </w:t>
      </w:r>
      <w:r>
        <w:rPr>
          <w:sz w:val="24"/>
        </w:rPr>
        <w:t>and</w:t>
      </w:r>
      <w:r>
        <w:rPr>
          <w:spacing w:val="-3"/>
          <w:sz w:val="24"/>
        </w:rPr>
        <w:t> </w:t>
      </w:r>
      <w:r>
        <w:rPr>
          <w:sz w:val="24"/>
        </w:rPr>
        <w:t>diagnosis. </w:t>
      </w:r>
      <w:r>
        <w:rPr>
          <w:i/>
          <w:sz w:val="24"/>
        </w:rPr>
        <w:t>Journal</w:t>
      </w:r>
      <w:r>
        <w:rPr>
          <w:i/>
          <w:spacing w:val="-3"/>
          <w:sz w:val="24"/>
        </w:rPr>
        <w:t> </w:t>
      </w:r>
      <w:r>
        <w:rPr>
          <w:i/>
          <w:sz w:val="24"/>
        </w:rPr>
        <w:t>of Internal Medicine</w:t>
      </w:r>
      <w:r>
        <w:rPr>
          <w:sz w:val="24"/>
        </w:rPr>
        <w:t>. 226</w:t>
      </w:r>
      <w:r>
        <w:rPr>
          <w:b/>
          <w:sz w:val="24"/>
        </w:rPr>
        <w:t>(5): </w:t>
      </w:r>
      <w:r>
        <w:rPr>
          <w:sz w:val="24"/>
        </w:rPr>
        <w:t>349 – 355</w:t>
      </w:r>
    </w:p>
    <w:p>
      <w:pPr>
        <w:pStyle w:val="BodyText"/>
      </w:pPr>
    </w:p>
    <w:p>
      <w:pPr>
        <w:spacing w:before="0"/>
        <w:ind w:left="1280" w:right="796" w:hanging="720"/>
        <w:jc w:val="both"/>
        <w:rPr>
          <w:sz w:val="24"/>
        </w:rPr>
      </w:pPr>
      <w:r>
        <w:rPr>
          <w:sz w:val="24"/>
        </w:rPr>
        <w:t>Cottrell, G., Mary, J. Y., Barro, D. and Cot, M. (2007).The importance of the period of malaria infection during pregnancy on birth weight in tropical Africa.</w:t>
      </w:r>
      <w:r>
        <w:rPr>
          <w:i/>
          <w:sz w:val="24"/>
        </w:rPr>
        <w:t>American Journal of Tropical Medicine and Hygiene</w:t>
      </w:r>
      <w:r>
        <w:rPr>
          <w:sz w:val="24"/>
        </w:rPr>
        <w:t>; 76(</w:t>
      </w:r>
      <w:r>
        <w:rPr>
          <w:b/>
          <w:sz w:val="24"/>
        </w:rPr>
        <w:t>5</w:t>
      </w:r>
      <w:r>
        <w:rPr>
          <w:sz w:val="24"/>
        </w:rPr>
        <w:t>): 849-854.</w:t>
      </w:r>
    </w:p>
    <w:p>
      <w:pPr>
        <w:pStyle w:val="BodyText"/>
        <w:spacing w:before="1"/>
      </w:pPr>
    </w:p>
    <w:p>
      <w:pPr>
        <w:spacing w:before="0"/>
        <w:ind w:left="1280" w:right="798" w:hanging="720"/>
        <w:jc w:val="both"/>
        <w:rPr>
          <w:sz w:val="24"/>
        </w:rPr>
      </w:pPr>
      <w:r>
        <w:rPr>
          <w:sz w:val="24"/>
        </w:rPr>
        <w:t>Coulibaly, S. O., Gies, S. and D‟Alessandro, U. (2007).Malaria burden among pregnant pregnant women living in the rural district of Boromo, Burkina Faso.</w:t>
      </w:r>
      <w:r>
        <w:rPr>
          <w:i/>
          <w:sz w:val="24"/>
        </w:rPr>
        <w:t>American Journal of Tropical Medicine and Hygiene</w:t>
      </w:r>
      <w:r>
        <w:rPr>
          <w:sz w:val="24"/>
        </w:rPr>
        <w:t>; 77(</w:t>
      </w:r>
      <w:r>
        <w:rPr>
          <w:b/>
          <w:sz w:val="24"/>
        </w:rPr>
        <w:t>6</w:t>
      </w:r>
      <w:r>
        <w:rPr>
          <w:sz w:val="24"/>
        </w:rPr>
        <w:t>): 56-60.</w:t>
      </w:r>
    </w:p>
    <w:p>
      <w:pPr>
        <w:pStyle w:val="BodyText"/>
      </w:pPr>
    </w:p>
    <w:p>
      <w:pPr>
        <w:spacing w:before="0"/>
        <w:ind w:left="1280" w:right="0" w:hanging="720"/>
        <w:jc w:val="left"/>
        <w:rPr>
          <w:sz w:val="24"/>
        </w:rPr>
      </w:pPr>
      <w:r>
        <w:rPr>
          <w:sz w:val="24"/>
        </w:rPr>
        <w:t>Crichton,</w:t>
      </w:r>
      <w:r>
        <w:rPr>
          <w:spacing w:val="40"/>
          <w:sz w:val="24"/>
        </w:rPr>
        <w:t> </w:t>
      </w:r>
      <w:r>
        <w:rPr>
          <w:sz w:val="24"/>
        </w:rPr>
        <w:t>R.R.</w:t>
      </w:r>
      <w:r>
        <w:rPr>
          <w:spacing w:val="40"/>
          <w:sz w:val="24"/>
        </w:rPr>
        <w:t> </w:t>
      </w:r>
      <w:r>
        <w:rPr>
          <w:sz w:val="24"/>
        </w:rPr>
        <w:t>(1973).</w:t>
      </w:r>
      <w:r>
        <w:rPr>
          <w:spacing w:val="40"/>
          <w:sz w:val="24"/>
        </w:rPr>
        <w:t> </w:t>
      </w:r>
      <w:r>
        <w:rPr>
          <w:sz w:val="24"/>
        </w:rPr>
        <w:t>A</w:t>
      </w:r>
      <w:r>
        <w:rPr>
          <w:spacing w:val="40"/>
          <w:sz w:val="24"/>
        </w:rPr>
        <w:t> </w:t>
      </w:r>
      <w:r>
        <w:rPr>
          <w:sz w:val="24"/>
        </w:rPr>
        <w:t>role</w:t>
      </w:r>
      <w:r>
        <w:rPr>
          <w:spacing w:val="40"/>
          <w:sz w:val="24"/>
        </w:rPr>
        <w:t> </w:t>
      </w:r>
      <w:r>
        <w:rPr>
          <w:sz w:val="24"/>
        </w:rPr>
        <w:t>for</w:t>
      </w:r>
      <w:r>
        <w:rPr>
          <w:spacing w:val="40"/>
          <w:sz w:val="24"/>
        </w:rPr>
        <w:t> </w:t>
      </w:r>
      <w:r>
        <w:rPr>
          <w:sz w:val="24"/>
        </w:rPr>
        <w:t>Ferritin</w:t>
      </w:r>
      <w:r>
        <w:rPr>
          <w:spacing w:val="40"/>
          <w:sz w:val="24"/>
        </w:rPr>
        <w:t> </w:t>
      </w:r>
      <w:r>
        <w:rPr>
          <w:sz w:val="24"/>
        </w:rPr>
        <w:t>in</w:t>
      </w:r>
      <w:r>
        <w:rPr>
          <w:spacing w:val="40"/>
          <w:sz w:val="24"/>
        </w:rPr>
        <w:t> </w:t>
      </w:r>
      <w:r>
        <w:rPr>
          <w:sz w:val="24"/>
        </w:rPr>
        <w:t>regulation</w:t>
      </w:r>
      <w:r>
        <w:rPr>
          <w:spacing w:val="40"/>
          <w:sz w:val="24"/>
        </w:rPr>
        <w:t> </w:t>
      </w:r>
      <w:r>
        <w:rPr>
          <w:sz w:val="24"/>
        </w:rPr>
        <w:t>of</w:t>
      </w:r>
      <w:r>
        <w:rPr>
          <w:spacing w:val="40"/>
          <w:sz w:val="24"/>
        </w:rPr>
        <w:t> </w:t>
      </w:r>
      <w:r>
        <w:rPr>
          <w:sz w:val="24"/>
        </w:rPr>
        <w:t>iron</w:t>
      </w:r>
      <w:r>
        <w:rPr>
          <w:spacing w:val="40"/>
          <w:sz w:val="24"/>
        </w:rPr>
        <w:t> </w:t>
      </w:r>
      <w:r>
        <w:rPr>
          <w:sz w:val="24"/>
        </w:rPr>
        <w:t>metabolism.</w:t>
      </w:r>
      <w:r>
        <w:rPr>
          <w:i/>
          <w:sz w:val="24"/>
        </w:rPr>
        <w:t>Federation</w:t>
      </w:r>
      <w:r>
        <w:rPr>
          <w:i/>
          <w:spacing w:val="40"/>
          <w:sz w:val="24"/>
        </w:rPr>
        <w:t> </w:t>
      </w:r>
      <w:r>
        <w:rPr>
          <w:i/>
          <w:sz w:val="24"/>
        </w:rPr>
        <w:t>of European Biochemical Societies Letters</w:t>
      </w:r>
      <w:r>
        <w:rPr>
          <w:sz w:val="24"/>
        </w:rPr>
        <w:t>; 34(</w:t>
      </w:r>
      <w:r>
        <w:rPr>
          <w:b/>
          <w:sz w:val="24"/>
        </w:rPr>
        <w:t>2</w:t>
      </w:r>
      <w:r>
        <w:rPr>
          <w:sz w:val="24"/>
        </w:rPr>
        <w:t>): 125 – 128.</w:t>
      </w:r>
    </w:p>
    <w:p>
      <w:pPr>
        <w:pStyle w:val="BodyText"/>
      </w:pPr>
    </w:p>
    <w:p>
      <w:pPr>
        <w:pStyle w:val="BodyText"/>
        <w:ind w:left="1280" w:right="800" w:hanging="720"/>
        <w:jc w:val="both"/>
      </w:pPr>
      <w:r>
        <w:rPr/>
        <w:t>Crook, M. A. (2012). Disorders of haem metabolism: Iron and Porphyrias. In Clinical biochemistry and metabolic medicine.8</w:t>
      </w:r>
      <w:r>
        <w:rPr>
          <w:vertAlign w:val="superscript"/>
        </w:rPr>
        <w:t>th</w:t>
      </w:r>
      <w:r>
        <w:rPr>
          <w:vertAlign w:val="baseline"/>
        </w:rPr>
        <w:t> Edition. Hodder and Stoughton Ltd. Uk pp. 310 – 324</w:t>
      </w:r>
    </w:p>
    <w:p>
      <w:pPr>
        <w:pStyle w:val="BodyText"/>
      </w:pPr>
    </w:p>
    <w:p>
      <w:pPr>
        <w:pStyle w:val="BodyText"/>
        <w:spacing w:before="1"/>
        <w:ind w:left="1280" w:right="803" w:hanging="720"/>
        <w:jc w:val="both"/>
      </w:pPr>
      <w:r>
        <w:rPr/>
        <w:t>Croy, B. A., Van den Heurel, M. J., Brozychowski, A. M. and Tayade, C. (2006). Uterine natural killer cells: a specialized differentiation regulated by ovarian hormones. </w:t>
      </w:r>
      <w:r>
        <w:rPr>
          <w:i/>
        </w:rPr>
        <w:t>Immunology Reviews</w:t>
      </w:r>
      <w:r>
        <w:rPr/>
        <w:t>; </w:t>
      </w:r>
      <w:r>
        <w:rPr>
          <w:b/>
        </w:rPr>
        <w:t>214(1): </w:t>
      </w:r>
      <w:r>
        <w:rPr/>
        <w:t>161-185</w:t>
      </w:r>
    </w:p>
    <w:p>
      <w:pPr>
        <w:spacing w:after="0"/>
        <w:jc w:val="both"/>
        <w:sectPr>
          <w:pgSz w:w="11910" w:h="16840"/>
          <w:pgMar w:header="0" w:footer="1067" w:top="1060" w:bottom="1260" w:left="880" w:right="640"/>
        </w:sectPr>
      </w:pPr>
    </w:p>
    <w:p>
      <w:pPr>
        <w:spacing w:before="66"/>
        <w:ind w:left="1280" w:right="796" w:hanging="720"/>
        <w:jc w:val="both"/>
        <w:rPr>
          <w:sz w:val="24"/>
        </w:rPr>
      </w:pPr>
      <w:r>
        <w:rPr>
          <w:sz w:val="24"/>
        </w:rPr>
        <w:t>Cullis, J. O. (2011).Diagnosis and Management of Anaemia of Chronic Disease.Current Status.</w:t>
      </w:r>
      <w:r>
        <w:rPr>
          <w:i/>
          <w:sz w:val="24"/>
        </w:rPr>
        <w:t>British Journal of Haematology</w:t>
      </w:r>
      <w:r>
        <w:rPr>
          <w:sz w:val="24"/>
        </w:rPr>
        <w:t>.</w:t>
      </w:r>
      <w:r>
        <w:rPr>
          <w:b/>
          <w:sz w:val="24"/>
        </w:rPr>
        <w:t>154 </w:t>
      </w:r>
      <w:r>
        <w:rPr>
          <w:sz w:val="24"/>
        </w:rPr>
        <w:t>(3): 289 – 300.</w:t>
      </w:r>
    </w:p>
    <w:p>
      <w:pPr>
        <w:pStyle w:val="BodyText"/>
      </w:pPr>
    </w:p>
    <w:p>
      <w:pPr>
        <w:pStyle w:val="BodyText"/>
        <w:spacing w:before="1"/>
        <w:ind w:left="1280" w:right="797" w:hanging="720"/>
        <w:jc w:val="both"/>
      </w:pPr>
      <w:r>
        <w:rPr/>
        <w:t>D‟Ombrain, M. C., Robinson, L. J., Stanisic, D. I., Taraika, J., Bernard, N., Michon, P., Mueller, I. and Schofield, L. (2008). Association of early interferon-gamma production with immunity to clinical malaria: a longitudinal study among Papua New Guinean children. </w:t>
      </w:r>
      <w:r>
        <w:rPr>
          <w:i/>
        </w:rPr>
        <w:t>Clinical Infectious Diseases</w:t>
      </w:r>
      <w:r>
        <w:rPr/>
        <w:t>; 47(</w:t>
      </w:r>
      <w:r>
        <w:rPr>
          <w:b/>
        </w:rPr>
        <w:t>11</w:t>
      </w:r>
      <w:r>
        <w:rPr/>
        <w:t>): 1380-1387.</w:t>
      </w:r>
    </w:p>
    <w:p>
      <w:pPr>
        <w:pStyle w:val="BodyText"/>
        <w:spacing w:before="276"/>
        <w:ind w:left="1280" w:right="795" w:hanging="720"/>
        <w:jc w:val="both"/>
      </w:pPr>
      <w:r>
        <w:rPr/>
        <w:t>Daily, J. P., Scanfeld, D., Pochet, N., Le Roch, K., Plouffe, D., Kamal, M., Sarr, O., Mboup, S., Ndir, O., Wypij, D., Levasseur, K., Thomas, E., Tamayo, P., Dong, C., Zhou, T., Lander, E. S., Ndiaye, D., Wirth, D., Winzeler, E. A., Mesirox, J. P. and Reger, A. (2007). Distinct physiological states of </w:t>
      </w:r>
      <w:r>
        <w:rPr>
          <w:i/>
        </w:rPr>
        <w:t>plasmodium falciparum </w:t>
      </w:r>
      <w:r>
        <w:rPr/>
        <w:t>in malaria-infected patients.</w:t>
      </w:r>
      <w:r>
        <w:rPr>
          <w:i/>
        </w:rPr>
        <w:t>Nature</w:t>
      </w:r>
      <w:r>
        <w:rPr/>
        <w:t>; 450(</w:t>
      </w:r>
      <w:r>
        <w:rPr>
          <w:b/>
        </w:rPr>
        <w:t>7172</w:t>
      </w:r>
      <w:r>
        <w:rPr/>
        <w:t>): 1091-1095.</w:t>
      </w:r>
    </w:p>
    <w:p>
      <w:pPr>
        <w:pStyle w:val="BodyText"/>
      </w:pPr>
    </w:p>
    <w:p>
      <w:pPr>
        <w:pStyle w:val="BodyText"/>
        <w:ind w:left="1280" w:right="794" w:hanging="720"/>
        <w:jc w:val="both"/>
      </w:pPr>
      <w:r>
        <w:rPr/>
        <w:t>Dalla Martha, R. C., Tada, M. S., Ferreira, R. G., Da Silva, L. H. and Wunderlich, G. (2007). Microsatellite characterization of </w:t>
      </w:r>
      <w:r>
        <w:rPr>
          <w:i/>
        </w:rPr>
        <w:t>plasmodium falciparum </w:t>
      </w:r>
      <w:r>
        <w:rPr/>
        <w:t>from symptomatic and non- symptomatic infections from the Western Amazon reveals the existence of non- symptomatic infection associated genotypes. </w:t>
      </w:r>
      <w:r>
        <w:rPr>
          <w:i/>
        </w:rPr>
        <w:t>Memórias do instituto oswaldo cruz</w:t>
      </w:r>
      <w:r>
        <w:rPr/>
        <w:t>; 102(</w:t>
      </w:r>
      <w:r>
        <w:rPr>
          <w:b/>
        </w:rPr>
        <w:t>3</w:t>
      </w:r>
      <w:r>
        <w:rPr/>
        <w:t>): 293-298.</w:t>
      </w:r>
    </w:p>
    <w:p>
      <w:pPr>
        <w:pStyle w:val="BodyText"/>
      </w:pPr>
    </w:p>
    <w:p>
      <w:pPr>
        <w:pStyle w:val="BodyText"/>
        <w:ind w:left="1280" w:right="796" w:hanging="720"/>
        <w:jc w:val="both"/>
      </w:pPr>
      <w:r>
        <w:rPr/>
        <w:t>Daniel, W.W. (1999). Biostatistics; A foundation for analysis in the Health Sciences.7</w:t>
      </w:r>
      <w:r>
        <w:rPr>
          <w:vertAlign w:val="superscript"/>
        </w:rPr>
        <w:t>th</w:t>
      </w:r>
      <w:r>
        <w:rPr>
          <w:vertAlign w:val="baseline"/>
        </w:rPr>
        <w:t> edition. John Wiley &amp; Sons, New York: Pp 42.</w:t>
      </w:r>
    </w:p>
    <w:p>
      <w:pPr>
        <w:pStyle w:val="BodyText"/>
        <w:spacing w:before="1"/>
      </w:pPr>
    </w:p>
    <w:p>
      <w:pPr>
        <w:spacing w:before="0"/>
        <w:ind w:left="560" w:right="0" w:firstLine="0"/>
        <w:jc w:val="left"/>
        <w:rPr>
          <w:sz w:val="24"/>
        </w:rPr>
      </w:pPr>
      <w:r>
        <w:rPr>
          <w:sz w:val="24"/>
        </w:rPr>
        <w:t>Das,</w:t>
      </w:r>
      <w:r>
        <w:rPr>
          <w:spacing w:val="-3"/>
          <w:sz w:val="24"/>
        </w:rPr>
        <w:t> </w:t>
      </w:r>
      <w:r>
        <w:rPr>
          <w:sz w:val="24"/>
        </w:rPr>
        <w:t>B.</w:t>
      </w:r>
      <w:r>
        <w:rPr>
          <w:spacing w:val="-1"/>
          <w:sz w:val="24"/>
        </w:rPr>
        <w:t> </w:t>
      </w:r>
      <w:r>
        <w:rPr>
          <w:sz w:val="24"/>
        </w:rPr>
        <w:t>S.</w:t>
      </w:r>
      <w:r>
        <w:rPr>
          <w:spacing w:val="-1"/>
          <w:sz w:val="24"/>
        </w:rPr>
        <w:t> </w:t>
      </w:r>
      <w:r>
        <w:rPr>
          <w:sz w:val="24"/>
        </w:rPr>
        <w:t>(2008).</w:t>
      </w:r>
      <w:r>
        <w:rPr>
          <w:spacing w:val="-1"/>
          <w:sz w:val="24"/>
        </w:rPr>
        <w:t> </w:t>
      </w:r>
      <w:r>
        <w:rPr>
          <w:sz w:val="24"/>
        </w:rPr>
        <w:t>Renal</w:t>
      </w:r>
      <w:r>
        <w:rPr>
          <w:spacing w:val="1"/>
          <w:sz w:val="24"/>
        </w:rPr>
        <w:t> </w:t>
      </w:r>
      <w:r>
        <w:rPr>
          <w:sz w:val="24"/>
        </w:rPr>
        <w:t>failure</w:t>
      </w:r>
      <w:r>
        <w:rPr>
          <w:spacing w:val="-2"/>
          <w:sz w:val="24"/>
        </w:rPr>
        <w:t> </w:t>
      </w:r>
      <w:r>
        <w:rPr>
          <w:sz w:val="24"/>
        </w:rPr>
        <w:t>in</w:t>
      </w:r>
      <w:r>
        <w:rPr>
          <w:spacing w:val="-1"/>
          <w:sz w:val="24"/>
        </w:rPr>
        <w:t> </w:t>
      </w:r>
      <w:r>
        <w:rPr>
          <w:sz w:val="24"/>
        </w:rPr>
        <w:t>malaria.</w:t>
      </w:r>
      <w:r>
        <w:rPr>
          <w:i/>
          <w:sz w:val="24"/>
        </w:rPr>
        <w:t>Journal</w:t>
      </w:r>
      <w:r>
        <w:rPr>
          <w:i/>
          <w:spacing w:val="-1"/>
          <w:sz w:val="24"/>
        </w:rPr>
        <w:t> </w:t>
      </w:r>
      <w:r>
        <w:rPr>
          <w:i/>
          <w:sz w:val="24"/>
        </w:rPr>
        <w:t>of</w:t>
      </w:r>
      <w:r>
        <w:rPr>
          <w:i/>
          <w:spacing w:val="-1"/>
          <w:sz w:val="24"/>
        </w:rPr>
        <w:t> </w:t>
      </w:r>
      <w:r>
        <w:rPr>
          <w:i/>
          <w:sz w:val="24"/>
        </w:rPr>
        <w:t>Vector</w:t>
      </w:r>
      <w:r>
        <w:rPr>
          <w:i/>
          <w:spacing w:val="-1"/>
          <w:sz w:val="24"/>
        </w:rPr>
        <w:t> </w:t>
      </w:r>
      <w:r>
        <w:rPr>
          <w:i/>
          <w:sz w:val="24"/>
        </w:rPr>
        <w:t>Borne</w:t>
      </w:r>
      <w:r>
        <w:rPr>
          <w:i/>
          <w:spacing w:val="-2"/>
          <w:sz w:val="24"/>
        </w:rPr>
        <w:t> </w:t>
      </w:r>
      <w:r>
        <w:rPr>
          <w:i/>
          <w:sz w:val="24"/>
        </w:rPr>
        <w:t>Diseases</w:t>
      </w:r>
      <w:r>
        <w:rPr>
          <w:sz w:val="24"/>
        </w:rPr>
        <w:t>;</w:t>
      </w:r>
      <w:r>
        <w:rPr>
          <w:spacing w:val="-1"/>
          <w:sz w:val="24"/>
        </w:rPr>
        <w:t> </w:t>
      </w:r>
      <w:r>
        <w:rPr>
          <w:sz w:val="24"/>
        </w:rPr>
        <w:t>45(</w:t>
      </w:r>
      <w:r>
        <w:rPr>
          <w:b/>
          <w:sz w:val="24"/>
        </w:rPr>
        <w:t>2</w:t>
      </w:r>
      <w:r>
        <w:rPr>
          <w:sz w:val="24"/>
        </w:rPr>
        <w:t>): 83-</w:t>
      </w:r>
      <w:r>
        <w:rPr>
          <w:spacing w:val="-5"/>
          <w:sz w:val="24"/>
        </w:rPr>
        <w:t>97.</w:t>
      </w:r>
    </w:p>
    <w:p>
      <w:pPr>
        <w:pStyle w:val="BodyText"/>
      </w:pPr>
    </w:p>
    <w:p>
      <w:pPr>
        <w:spacing w:before="0"/>
        <w:ind w:left="1371" w:right="795" w:hanging="812"/>
        <w:jc w:val="left"/>
        <w:rPr>
          <w:sz w:val="24"/>
        </w:rPr>
      </w:pPr>
      <w:r>
        <w:rPr>
          <w:sz w:val="24"/>
        </w:rPr>
        <w:t>Das,</w:t>
      </w:r>
      <w:r>
        <w:rPr>
          <w:spacing w:val="-3"/>
          <w:sz w:val="24"/>
        </w:rPr>
        <w:t> </w:t>
      </w:r>
      <w:r>
        <w:rPr>
          <w:sz w:val="24"/>
        </w:rPr>
        <w:t>B.</w:t>
      </w:r>
      <w:r>
        <w:rPr>
          <w:spacing w:val="-3"/>
          <w:sz w:val="24"/>
        </w:rPr>
        <w:t> </w:t>
      </w:r>
      <w:r>
        <w:rPr>
          <w:sz w:val="24"/>
        </w:rPr>
        <w:t>S.</w:t>
      </w:r>
      <w:r>
        <w:rPr>
          <w:spacing w:val="-3"/>
          <w:sz w:val="24"/>
        </w:rPr>
        <w:t> </w:t>
      </w:r>
      <w:r>
        <w:rPr>
          <w:sz w:val="24"/>
        </w:rPr>
        <w:t>and</w:t>
      </w:r>
      <w:r>
        <w:rPr>
          <w:spacing w:val="-3"/>
          <w:sz w:val="24"/>
        </w:rPr>
        <w:t> </w:t>
      </w:r>
      <w:r>
        <w:rPr>
          <w:sz w:val="24"/>
        </w:rPr>
        <w:t>Nanda,</w:t>
      </w:r>
      <w:r>
        <w:rPr>
          <w:spacing w:val="-3"/>
          <w:sz w:val="24"/>
        </w:rPr>
        <w:t> </w:t>
      </w:r>
      <w:r>
        <w:rPr>
          <w:sz w:val="24"/>
        </w:rPr>
        <w:t>N.</w:t>
      </w:r>
      <w:r>
        <w:rPr>
          <w:spacing w:val="-2"/>
          <w:sz w:val="24"/>
        </w:rPr>
        <w:t> </w:t>
      </w:r>
      <w:r>
        <w:rPr>
          <w:sz w:val="24"/>
        </w:rPr>
        <w:t>K.</w:t>
      </w:r>
      <w:r>
        <w:rPr>
          <w:spacing w:val="-3"/>
          <w:sz w:val="24"/>
        </w:rPr>
        <w:t> </w:t>
      </w:r>
      <w:r>
        <w:rPr>
          <w:sz w:val="24"/>
        </w:rPr>
        <w:t>(1999).</w:t>
      </w:r>
      <w:r>
        <w:rPr>
          <w:spacing w:val="-3"/>
          <w:sz w:val="24"/>
        </w:rPr>
        <w:t> </w:t>
      </w:r>
      <w:r>
        <w:rPr>
          <w:sz w:val="24"/>
        </w:rPr>
        <w:t>Evidence</w:t>
      </w:r>
      <w:r>
        <w:rPr>
          <w:spacing w:val="-4"/>
          <w:sz w:val="24"/>
        </w:rPr>
        <w:t> </w:t>
      </w:r>
      <w:r>
        <w:rPr>
          <w:sz w:val="24"/>
        </w:rPr>
        <w:t>for</w:t>
      </w:r>
      <w:r>
        <w:rPr>
          <w:spacing w:val="-2"/>
          <w:sz w:val="24"/>
        </w:rPr>
        <w:t> </w:t>
      </w:r>
      <w:r>
        <w:rPr>
          <w:sz w:val="24"/>
        </w:rPr>
        <w:t>erythrocyte</w:t>
      </w:r>
      <w:r>
        <w:rPr>
          <w:spacing w:val="-3"/>
          <w:sz w:val="24"/>
        </w:rPr>
        <w:t> </w:t>
      </w:r>
      <w:r>
        <w:rPr>
          <w:sz w:val="24"/>
        </w:rPr>
        <w:t>lipid</w:t>
      </w:r>
      <w:r>
        <w:rPr>
          <w:spacing w:val="-3"/>
          <w:sz w:val="24"/>
        </w:rPr>
        <w:t> </w:t>
      </w:r>
      <w:r>
        <w:rPr>
          <w:sz w:val="24"/>
        </w:rPr>
        <w:t>peroxidation</w:t>
      </w:r>
      <w:r>
        <w:rPr>
          <w:spacing w:val="-3"/>
          <w:sz w:val="24"/>
        </w:rPr>
        <w:t> </w:t>
      </w:r>
      <w:r>
        <w:rPr>
          <w:sz w:val="24"/>
        </w:rPr>
        <w:t>in</w:t>
      </w:r>
      <w:r>
        <w:rPr>
          <w:spacing w:val="-3"/>
          <w:sz w:val="24"/>
        </w:rPr>
        <w:t> </w:t>
      </w:r>
      <w:r>
        <w:rPr>
          <w:sz w:val="24"/>
        </w:rPr>
        <w:t>a</w:t>
      </w:r>
      <w:r>
        <w:rPr>
          <w:spacing w:val="-3"/>
          <w:sz w:val="24"/>
        </w:rPr>
        <w:t> </w:t>
      </w:r>
      <w:r>
        <w:rPr>
          <w:sz w:val="24"/>
        </w:rPr>
        <w:t>acute falciparum malaria. </w:t>
      </w:r>
      <w:r>
        <w:rPr>
          <w:i/>
          <w:sz w:val="24"/>
        </w:rPr>
        <w:t>Transactions of the Royal Society of Tropical Medicine and Hygiene</w:t>
      </w:r>
      <w:r>
        <w:rPr>
          <w:sz w:val="24"/>
        </w:rPr>
        <w:t>; 93: 58- 62.</w:t>
      </w:r>
    </w:p>
    <w:p>
      <w:pPr>
        <w:pStyle w:val="BodyText"/>
      </w:pPr>
    </w:p>
    <w:p>
      <w:pPr>
        <w:pStyle w:val="BodyText"/>
        <w:ind w:left="1280" w:right="951" w:hanging="720"/>
      </w:pPr>
      <w:r>
        <w:rPr/>
        <w:t>Davis, T. M., Binh, T. Q., Thu le, T. A., Long, T. T., Johnston, W., Robertson, K. and Barrett,</w:t>
      </w:r>
      <w:r>
        <w:rPr>
          <w:spacing w:val="-4"/>
        </w:rPr>
        <w:t> </w:t>
      </w:r>
      <w:r>
        <w:rPr/>
        <w:t>P.</w:t>
      </w:r>
      <w:r>
        <w:rPr>
          <w:spacing w:val="-4"/>
        </w:rPr>
        <w:t> </w:t>
      </w:r>
      <w:r>
        <w:rPr/>
        <w:t>H.</w:t>
      </w:r>
      <w:r>
        <w:rPr>
          <w:spacing w:val="40"/>
        </w:rPr>
        <w:t> </w:t>
      </w:r>
      <w:r>
        <w:rPr/>
        <w:t>(2003)</w:t>
      </w:r>
      <w:r>
        <w:rPr>
          <w:spacing w:val="-4"/>
        </w:rPr>
        <w:t> </w:t>
      </w:r>
      <w:r>
        <w:rPr/>
        <w:t>Glucose</w:t>
      </w:r>
      <w:r>
        <w:rPr>
          <w:spacing w:val="-4"/>
        </w:rPr>
        <w:t> </w:t>
      </w:r>
      <w:r>
        <w:rPr/>
        <w:t>and</w:t>
      </w:r>
      <w:r>
        <w:rPr>
          <w:spacing w:val="-4"/>
        </w:rPr>
        <w:t> </w:t>
      </w:r>
      <w:r>
        <w:rPr/>
        <w:t>lactate</w:t>
      </w:r>
      <w:r>
        <w:rPr>
          <w:spacing w:val="-4"/>
        </w:rPr>
        <w:t> </w:t>
      </w:r>
      <w:r>
        <w:rPr/>
        <w:t>turnover</w:t>
      </w:r>
      <w:r>
        <w:rPr>
          <w:spacing w:val="-3"/>
        </w:rPr>
        <w:t> </w:t>
      </w:r>
      <w:r>
        <w:rPr/>
        <w:t>in</w:t>
      </w:r>
      <w:r>
        <w:rPr>
          <w:spacing w:val="-4"/>
        </w:rPr>
        <w:t> </w:t>
      </w:r>
      <w:r>
        <w:rPr/>
        <w:t>adults</w:t>
      </w:r>
      <w:r>
        <w:rPr>
          <w:spacing w:val="-4"/>
        </w:rPr>
        <w:t> </w:t>
      </w:r>
      <w:r>
        <w:rPr/>
        <w:t>with</w:t>
      </w:r>
      <w:r>
        <w:rPr>
          <w:spacing w:val="-4"/>
        </w:rPr>
        <w:t> </w:t>
      </w:r>
      <w:r>
        <w:rPr/>
        <w:t>falciparum</w:t>
      </w:r>
      <w:r>
        <w:rPr>
          <w:spacing w:val="-3"/>
        </w:rPr>
        <w:t> </w:t>
      </w:r>
      <w:r>
        <w:rPr/>
        <w:t>malaria: effect of complications and antimalarial therapy. </w:t>
      </w:r>
      <w:r>
        <w:rPr>
          <w:i/>
        </w:rPr>
        <w:t>Society Tropical Medical Hygiene</w:t>
      </w:r>
      <w:r>
        <w:rPr/>
        <w:t>, </w:t>
      </w:r>
      <w:r>
        <w:rPr>
          <w:spacing w:val="-2"/>
        </w:rPr>
        <w:t>96:411-417.</w:t>
      </w:r>
    </w:p>
    <w:p>
      <w:pPr>
        <w:pStyle w:val="BodyText"/>
        <w:spacing w:before="1"/>
      </w:pPr>
    </w:p>
    <w:p>
      <w:pPr>
        <w:pStyle w:val="BodyText"/>
        <w:ind w:left="1280" w:right="795" w:hanging="720"/>
        <w:jc w:val="both"/>
      </w:pPr>
      <w:r>
        <w:rPr/>
        <w:t>De</w:t>
      </w:r>
      <w:r>
        <w:rPr>
          <w:spacing w:val="-1"/>
        </w:rPr>
        <w:t> </w:t>
      </w:r>
      <w:r>
        <w:rPr/>
        <w:t>Mast, Q., Syafruddin, D., Keijmel, S., Olde, R. T., Deky, O., Asih, P. B., Swinkels, D. W. and Van der Ven, A. J. (2010). Increased serum hepcidin and alterations in blood iron parameters associated with asymptomatic </w:t>
      </w:r>
      <w:r>
        <w:rPr>
          <w:i/>
        </w:rPr>
        <w:t>plasmodium falciparum </w:t>
      </w:r>
      <w:r>
        <w:rPr/>
        <w:t>and </w:t>
      </w:r>
      <w:r>
        <w:rPr>
          <w:i/>
        </w:rPr>
        <w:t>plasmodium vivax </w:t>
      </w:r>
      <w:r>
        <w:rPr/>
        <w:t>malaria. </w:t>
      </w:r>
      <w:r>
        <w:rPr>
          <w:i/>
        </w:rPr>
        <w:t>Haematologica</w:t>
      </w:r>
      <w:r>
        <w:rPr/>
        <w:t>; 95(</w:t>
      </w:r>
      <w:r>
        <w:rPr>
          <w:b/>
        </w:rPr>
        <w:t>7</w:t>
      </w:r>
      <w:r>
        <w:rPr/>
        <w:t>): 1068-1074.</w:t>
      </w:r>
    </w:p>
    <w:p>
      <w:pPr>
        <w:pStyle w:val="BodyText"/>
      </w:pPr>
    </w:p>
    <w:p>
      <w:pPr>
        <w:pStyle w:val="BodyText"/>
        <w:ind w:left="1280" w:right="795" w:hanging="720"/>
        <w:jc w:val="both"/>
      </w:pPr>
      <w:r>
        <w:rPr/>
        <w:t>Diagne, N., Rogier, C., Sokhna, C. S., Tail, A., Fontenille, D., Roussilhon, C., Spiegel, A.</w:t>
      </w:r>
      <w:r>
        <w:rPr>
          <w:spacing w:val="40"/>
        </w:rPr>
        <w:t> </w:t>
      </w:r>
      <w:r>
        <w:rPr/>
        <w:t>and Trape, J. F. (2000).Increased susceptibility to malaria during early postpartum period.</w:t>
      </w:r>
      <w:r>
        <w:rPr>
          <w:i/>
        </w:rPr>
        <w:t>New England Journal of Medicine</w:t>
      </w:r>
      <w:r>
        <w:rPr/>
        <w:t>; 343(</w:t>
      </w:r>
      <w:r>
        <w:rPr>
          <w:b/>
        </w:rPr>
        <w:t>9</w:t>
      </w:r>
      <w:r>
        <w:rPr/>
        <w:t>): 598-603.</w:t>
      </w:r>
    </w:p>
    <w:p>
      <w:pPr>
        <w:pStyle w:val="BodyText"/>
      </w:pPr>
    </w:p>
    <w:p>
      <w:pPr>
        <w:pStyle w:val="BodyText"/>
        <w:ind w:left="1280" w:right="795" w:hanging="720"/>
      </w:pPr>
      <w:r>
        <w:rPr/>
        <w:t>Dinarello, C. A. (2007). Historical Review of cytokines. European Journal of Immunology;</w:t>
      </w:r>
      <w:r>
        <w:rPr>
          <w:spacing w:val="40"/>
        </w:rPr>
        <w:t> </w:t>
      </w:r>
      <w:r>
        <w:rPr/>
        <w:t>37(</w:t>
      </w:r>
      <w:r>
        <w:rPr>
          <w:b/>
        </w:rPr>
        <w:t>suppl 1</w:t>
      </w:r>
      <w:r>
        <w:rPr/>
        <w:t>): s34-s45</w:t>
      </w:r>
    </w:p>
    <w:p>
      <w:pPr>
        <w:pStyle w:val="BodyText"/>
      </w:pPr>
    </w:p>
    <w:p>
      <w:pPr>
        <w:pStyle w:val="BodyText"/>
        <w:ind w:left="560"/>
      </w:pPr>
      <w:r>
        <w:rPr/>
        <w:t>Dondrop,</w:t>
      </w:r>
      <w:r>
        <w:rPr>
          <w:spacing w:val="13"/>
        </w:rPr>
        <w:t> </w:t>
      </w:r>
      <w:r>
        <w:rPr/>
        <w:t>A.</w:t>
      </w:r>
      <w:r>
        <w:rPr>
          <w:spacing w:val="12"/>
        </w:rPr>
        <w:t> </w:t>
      </w:r>
      <w:r>
        <w:rPr/>
        <w:t>M.,</w:t>
      </w:r>
      <w:r>
        <w:rPr>
          <w:spacing w:val="15"/>
        </w:rPr>
        <w:t> </w:t>
      </w:r>
      <w:r>
        <w:rPr/>
        <w:t>Lee,</w:t>
      </w:r>
      <w:r>
        <w:rPr>
          <w:spacing w:val="13"/>
        </w:rPr>
        <w:t> </w:t>
      </w:r>
      <w:r>
        <w:rPr/>
        <w:t>S.</w:t>
      </w:r>
      <w:r>
        <w:rPr>
          <w:spacing w:val="14"/>
        </w:rPr>
        <w:t> </w:t>
      </w:r>
      <w:r>
        <w:rPr/>
        <w:t>J.,</w:t>
      </w:r>
      <w:r>
        <w:rPr>
          <w:spacing w:val="10"/>
        </w:rPr>
        <w:t> </w:t>
      </w:r>
      <w:r>
        <w:rPr/>
        <w:t>Faiz,</w:t>
      </w:r>
      <w:r>
        <w:rPr>
          <w:spacing w:val="10"/>
        </w:rPr>
        <w:t> </w:t>
      </w:r>
      <w:r>
        <w:rPr/>
        <w:t>M.</w:t>
      </w:r>
      <w:r>
        <w:rPr>
          <w:spacing w:val="13"/>
        </w:rPr>
        <w:t> </w:t>
      </w:r>
      <w:r>
        <w:rPr/>
        <w:t>A.,</w:t>
      </w:r>
      <w:r>
        <w:rPr>
          <w:spacing w:val="13"/>
        </w:rPr>
        <w:t> </w:t>
      </w:r>
      <w:r>
        <w:rPr/>
        <w:t>Mishra,</w:t>
      </w:r>
      <w:r>
        <w:rPr>
          <w:spacing w:val="10"/>
        </w:rPr>
        <w:t> </w:t>
      </w:r>
      <w:r>
        <w:rPr/>
        <w:t>S.,</w:t>
      </w:r>
      <w:r>
        <w:rPr>
          <w:spacing w:val="13"/>
        </w:rPr>
        <w:t> </w:t>
      </w:r>
      <w:r>
        <w:rPr/>
        <w:t>Price,</w:t>
      </w:r>
      <w:r>
        <w:rPr>
          <w:spacing w:val="13"/>
        </w:rPr>
        <w:t> </w:t>
      </w:r>
      <w:r>
        <w:rPr/>
        <w:t>R.,</w:t>
      </w:r>
      <w:r>
        <w:rPr>
          <w:spacing w:val="13"/>
        </w:rPr>
        <w:t> </w:t>
      </w:r>
      <w:r>
        <w:rPr/>
        <w:t>Tjitra,</w:t>
      </w:r>
      <w:r>
        <w:rPr>
          <w:spacing w:val="14"/>
        </w:rPr>
        <w:t> </w:t>
      </w:r>
      <w:r>
        <w:rPr/>
        <w:t>E.,</w:t>
      </w:r>
      <w:r>
        <w:rPr>
          <w:spacing w:val="10"/>
        </w:rPr>
        <w:t> </w:t>
      </w:r>
      <w:r>
        <w:rPr/>
        <w:t>Than,</w:t>
      </w:r>
      <w:r>
        <w:rPr>
          <w:spacing w:val="13"/>
        </w:rPr>
        <w:t> </w:t>
      </w:r>
      <w:r>
        <w:rPr/>
        <w:t>M.,</w:t>
      </w:r>
      <w:r>
        <w:rPr>
          <w:spacing w:val="13"/>
        </w:rPr>
        <w:t> </w:t>
      </w:r>
      <w:r>
        <w:rPr/>
        <w:t>Htut,</w:t>
      </w:r>
      <w:r>
        <w:rPr>
          <w:spacing w:val="14"/>
        </w:rPr>
        <w:t> </w:t>
      </w:r>
      <w:r>
        <w:rPr>
          <w:spacing w:val="-5"/>
        </w:rPr>
        <w:t>Y.,</w:t>
      </w:r>
    </w:p>
    <w:p>
      <w:pPr>
        <w:pStyle w:val="BodyText"/>
        <w:spacing w:before="1"/>
        <w:ind w:left="1280" w:right="795"/>
      </w:pPr>
      <w:r>
        <w:rPr/>
        <w:t>Mohanty,</w:t>
      </w:r>
      <w:r>
        <w:rPr>
          <w:spacing w:val="23"/>
        </w:rPr>
        <w:t> </w:t>
      </w:r>
      <w:r>
        <w:rPr/>
        <w:t>S.,</w:t>
      </w:r>
      <w:r>
        <w:rPr>
          <w:spacing w:val="23"/>
        </w:rPr>
        <w:t> </w:t>
      </w:r>
      <w:r>
        <w:rPr/>
        <w:t>Yunus,</w:t>
      </w:r>
      <w:r>
        <w:rPr>
          <w:spacing w:val="22"/>
        </w:rPr>
        <w:t> </w:t>
      </w:r>
      <w:r>
        <w:rPr/>
        <w:t>E.</w:t>
      </w:r>
      <w:r>
        <w:rPr>
          <w:spacing w:val="20"/>
        </w:rPr>
        <w:t> </w:t>
      </w:r>
      <w:r>
        <w:rPr/>
        <w:t>B.,</w:t>
      </w:r>
      <w:r>
        <w:rPr>
          <w:spacing w:val="23"/>
        </w:rPr>
        <w:t> </w:t>
      </w:r>
      <w:r>
        <w:rPr/>
        <w:t>Rahman,</w:t>
      </w:r>
      <w:r>
        <w:rPr>
          <w:spacing w:val="22"/>
        </w:rPr>
        <w:t> </w:t>
      </w:r>
      <w:r>
        <w:rPr/>
        <w:t>R.,</w:t>
      </w:r>
      <w:r>
        <w:rPr>
          <w:spacing w:val="23"/>
        </w:rPr>
        <w:t> </w:t>
      </w:r>
      <w:r>
        <w:rPr/>
        <w:t>Nosten,</w:t>
      </w:r>
      <w:r>
        <w:rPr>
          <w:spacing w:val="20"/>
        </w:rPr>
        <w:t> </w:t>
      </w:r>
      <w:r>
        <w:rPr/>
        <w:t>F.,</w:t>
      </w:r>
      <w:r>
        <w:rPr>
          <w:spacing w:val="23"/>
        </w:rPr>
        <w:t> </w:t>
      </w:r>
      <w:r>
        <w:rPr/>
        <w:t>Anstey,</w:t>
      </w:r>
      <w:r>
        <w:rPr>
          <w:spacing w:val="23"/>
        </w:rPr>
        <w:t> </w:t>
      </w:r>
      <w:r>
        <w:rPr/>
        <w:t>N.</w:t>
      </w:r>
      <w:r>
        <w:rPr>
          <w:spacing w:val="22"/>
        </w:rPr>
        <w:t> </w:t>
      </w:r>
      <w:r>
        <w:rPr/>
        <w:t>M.,</w:t>
      </w:r>
      <w:r>
        <w:rPr>
          <w:spacing w:val="23"/>
        </w:rPr>
        <w:t> </w:t>
      </w:r>
      <w:r>
        <w:rPr/>
        <w:t>Day,</w:t>
      </w:r>
      <w:r>
        <w:rPr>
          <w:spacing w:val="25"/>
        </w:rPr>
        <w:t> </w:t>
      </w:r>
      <w:r>
        <w:rPr/>
        <w:t>N.</w:t>
      </w:r>
      <w:r>
        <w:rPr>
          <w:spacing w:val="22"/>
        </w:rPr>
        <w:t> </w:t>
      </w:r>
      <w:r>
        <w:rPr/>
        <w:t>P.</w:t>
      </w:r>
      <w:r>
        <w:rPr>
          <w:spacing w:val="23"/>
        </w:rPr>
        <w:t> </w:t>
      </w:r>
      <w:r>
        <w:rPr/>
        <w:t>and White,</w:t>
      </w:r>
      <w:r>
        <w:rPr>
          <w:spacing w:val="49"/>
        </w:rPr>
        <w:t> </w:t>
      </w:r>
      <w:r>
        <w:rPr/>
        <w:t>N.</w:t>
      </w:r>
      <w:r>
        <w:rPr>
          <w:spacing w:val="49"/>
        </w:rPr>
        <w:t> </w:t>
      </w:r>
      <w:r>
        <w:rPr/>
        <w:t>J.</w:t>
      </w:r>
      <w:r>
        <w:rPr>
          <w:spacing w:val="52"/>
        </w:rPr>
        <w:t> </w:t>
      </w:r>
      <w:r>
        <w:rPr/>
        <w:t>(2008).</w:t>
      </w:r>
      <w:r>
        <w:rPr>
          <w:spacing w:val="51"/>
        </w:rPr>
        <w:t> </w:t>
      </w:r>
      <w:r>
        <w:rPr/>
        <w:t>The</w:t>
      </w:r>
      <w:r>
        <w:rPr>
          <w:spacing w:val="51"/>
        </w:rPr>
        <w:t> </w:t>
      </w:r>
      <w:r>
        <w:rPr/>
        <w:t>relationship</w:t>
      </w:r>
      <w:r>
        <w:rPr>
          <w:spacing w:val="52"/>
        </w:rPr>
        <w:t> </w:t>
      </w:r>
      <w:r>
        <w:rPr/>
        <w:t>between</w:t>
      </w:r>
      <w:r>
        <w:rPr>
          <w:spacing w:val="54"/>
        </w:rPr>
        <w:t> </w:t>
      </w:r>
      <w:r>
        <w:rPr/>
        <w:t>age</w:t>
      </w:r>
      <w:r>
        <w:rPr>
          <w:spacing w:val="51"/>
        </w:rPr>
        <w:t> </w:t>
      </w:r>
      <w:r>
        <w:rPr/>
        <w:t>and</w:t>
      </w:r>
      <w:r>
        <w:rPr>
          <w:spacing w:val="52"/>
        </w:rPr>
        <w:t> </w:t>
      </w:r>
      <w:r>
        <w:rPr/>
        <w:t>the</w:t>
      </w:r>
      <w:r>
        <w:rPr>
          <w:spacing w:val="52"/>
        </w:rPr>
        <w:t> </w:t>
      </w:r>
      <w:r>
        <w:rPr/>
        <w:t>manifestations</w:t>
      </w:r>
      <w:r>
        <w:rPr>
          <w:spacing w:val="52"/>
        </w:rPr>
        <w:t> </w:t>
      </w:r>
      <w:r>
        <w:rPr/>
        <w:t>of</w:t>
      </w:r>
      <w:r>
        <w:rPr>
          <w:spacing w:val="51"/>
        </w:rPr>
        <w:t> </w:t>
      </w:r>
      <w:r>
        <w:rPr>
          <w:spacing w:val="-5"/>
        </w:rPr>
        <w:t>and</w:t>
      </w:r>
    </w:p>
    <w:p>
      <w:pPr>
        <w:spacing w:after="0"/>
        <w:sectPr>
          <w:pgSz w:w="11910" w:h="16840"/>
          <w:pgMar w:header="0" w:footer="1067" w:top="1340" w:bottom="1260" w:left="880" w:right="640"/>
        </w:sectPr>
      </w:pPr>
    </w:p>
    <w:p>
      <w:pPr>
        <w:spacing w:before="70"/>
        <w:ind w:left="1280" w:right="795" w:firstLine="0"/>
        <w:jc w:val="left"/>
        <w:rPr>
          <w:sz w:val="24"/>
        </w:rPr>
      </w:pPr>
      <w:r>
        <w:rPr>
          <w:sz w:val="24"/>
        </w:rPr>
        <w:t>mortality</w:t>
      </w:r>
      <w:r>
        <w:rPr>
          <w:spacing w:val="37"/>
          <w:sz w:val="24"/>
        </w:rPr>
        <w:t> </w:t>
      </w:r>
      <w:r>
        <w:rPr>
          <w:sz w:val="24"/>
        </w:rPr>
        <w:t>associated</w:t>
      </w:r>
      <w:r>
        <w:rPr>
          <w:spacing w:val="40"/>
          <w:sz w:val="24"/>
        </w:rPr>
        <w:t> </w:t>
      </w:r>
      <w:r>
        <w:rPr>
          <w:sz w:val="24"/>
        </w:rPr>
        <w:t>with</w:t>
      </w:r>
      <w:r>
        <w:rPr>
          <w:spacing w:val="40"/>
          <w:sz w:val="24"/>
        </w:rPr>
        <w:t> </w:t>
      </w:r>
      <w:r>
        <w:rPr>
          <w:sz w:val="24"/>
        </w:rPr>
        <w:t>severe</w:t>
      </w:r>
      <w:r>
        <w:rPr>
          <w:spacing w:val="40"/>
          <w:sz w:val="24"/>
        </w:rPr>
        <w:t> </w:t>
      </w:r>
      <w:r>
        <w:rPr>
          <w:sz w:val="24"/>
        </w:rPr>
        <w:t>malaria.</w:t>
      </w:r>
      <w:r>
        <w:rPr>
          <w:spacing w:val="40"/>
          <w:sz w:val="24"/>
        </w:rPr>
        <w:t> </w:t>
      </w:r>
      <w:r>
        <w:rPr>
          <w:i/>
          <w:sz w:val="24"/>
        </w:rPr>
        <w:t>Clinical</w:t>
      </w:r>
      <w:r>
        <w:rPr>
          <w:i/>
          <w:spacing w:val="40"/>
          <w:sz w:val="24"/>
        </w:rPr>
        <w:t> </w:t>
      </w:r>
      <w:r>
        <w:rPr>
          <w:i/>
          <w:sz w:val="24"/>
        </w:rPr>
        <w:t>Infectious</w:t>
      </w:r>
      <w:r>
        <w:rPr>
          <w:i/>
          <w:spacing w:val="40"/>
          <w:sz w:val="24"/>
        </w:rPr>
        <w:t> </w:t>
      </w:r>
      <w:r>
        <w:rPr>
          <w:i/>
          <w:sz w:val="24"/>
        </w:rPr>
        <w:t>Diseases</w:t>
      </w:r>
      <w:r>
        <w:rPr>
          <w:sz w:val="24"/>
        </w:rPr>
        <w:t>;</w:t>
      </w:r>
      <w:r>
        <w:rPr>
          <w:spacing w:val="40"/>
          <w:sz w:val="24"/>
        </w:rPr>
        <w:t> </w:t>
      </w:r>
      <w:r>
        <w:rPr>
          <w:sz w:val="24"/>
        </w:rPr>
        <w:t>47(</w:t>
      </w:r>
      <w:r>
        <w:rPr>
          <w:b/>
          <w:sz w:val="24"/>
        </w:rPr>
        <w:t>2</w:t>
      </w:r>
      <w:r>
        <w:rPr>
          <w:sz w:val="24"/>
        </w:rPr>
        <w:t>):</w:t>
      </w:r>
      <w:r>
        <w:rPr>
          <w:spacing w:val="40"/>
          <w:sz w:val="24"/>
        </w:rPr>
        <w:t> </w:t>
      </w:r>
      <w:r>
        <w:rPr>
          <w:sz w:val="24"/>
        </w:rPr>
        <w:t>151- </w:t>
      </w:r>
      <w:r>
        <w:rPr>
          <w:spacing w:val="-4"/>
          <w:sz w:val="24"/>
        </w:rPr>
        <w:t>157.</w:t>
      </w:r>
    </w:p>
    <w:p>
      <w:pPr>
        <w:pStyle w:val="BodyText"/>
      </w:pPr>
    </w:p>
    <w:p>
      <w:pPr>
        <w:spacing w:before="1"/>
        <w:ind w:left="1280" w:right="796" w:hanging="720"/>
        <w:jc w:val="both"/>
        <w:rPr>
          <w:sz w:val="24"/>
        </w:rPr>
      </w:pPr>
      <w:r>
        <w:rPr>
          <w:sz w:val="24"/>
        </w:rPr>
        <w:t>Doolan, D. L., Dobaño, C. and Baird, J. K. (2009).Acquired immunity to malaria.</w:t>
      </w:r>
      <w:r>
        <w:rPr>
          <w:i/>
          <w:sz w:val="24"/>
        </w:rPr>
        <w:t>Clinical Microbiology Reviews</w:t>
      </w:r>
      <w:r>
        <w:rPr>
          <w:sz w:val="24"/>
        </w:rPr>
        <w:t>; 22(</w:t>
      </w:r>
      <w:r>
        <w:rPr>
          <w:b/>
          <w:sz w:val="24"/>
        </w:rPr>
        <w:t>1</w:t>
      </w:r>
      <w:r>
        <w:rPr>
          <w:sz w:val="24"/>
        </w:rPr>
        <w:t>): 13-36.</w:t>
      </w:r>
    </w:p>
    <w:p>
      <w:pPr>
        <w:pStyle w:val="BodyText"/>
        <w:spacing w:before="276"/>
        <w:ind w:left="1280" w:right="797" w:hanging="720"/>
        <w:jc w:val="both"/>
      </w:pPr>
      <w:r>
        <w:rPr/>
        <w:t>Douamba, Z., Bisseye, C., Djigma, F. W. Compaore, T. R., Bazie, V. J. T., Pietra, V., Nikiema,</w:t>
      </w:r>
      <w:r>
        <w:rPr>
          <w:spacing w:val="-1"/>
        </w:rPr>
        <w:t> </w:t>
      </w:r>
      <w:r>
        <w:rPr/>
        <w:t>J.</w:t>
      </w:r>
      <w:r>
        <w:rPr>
          <w:spacing w:val="-1"/>
        </w:rPr>
        <w:t> </w:t>
      </w:r>
      <w:r>
        <w:rPr/>
        <w:t>B.</w:t>
      </w:r>
      <w:r>
        <w:rPr>
          <w:spacing w:val="-1"/>
        </w:rPr>
        <w:t> </w:t>
      </w:r>
      <w:r>
        <w:rPr/>
        <w:t>and</w:t>
      </w:r>
      <w:r>
        <w:rPr>
          <w:spacing w:val="-1"/>
        </w:rPr>
        <w:t> </w:t>
      </w:r>
      <w:r>
        <w:rPr/>
        <w:t>Simpore,</w:t>
      </w:r>
      <w:r>
        <w:rPr>
          <w:spacing w:val="-1"/>
        </w:rPr>
        <w:t> </w:t>
      </w:r>
      <w:r>
        <w:rPr/>
        <w:t>J.</w:t>
      </w:r>
      <w:r>
        <w:rPr>
          <w:spacing w:val="-1"/>
        </w:rPr>
        <w:t> </w:t>
      </w:r>
      <w:r>
        <w:rPr/>
        <w:t>(2012).</w:t>
      </w:r>
      <w:r>
        <w:rPr>
          <w:spacing w:val="-2"/>
        </w:rPr>
        <w:t> </w:t>
      </w:r>
      <w:r>
        <w:rPr/>
        <w:t>Asymptomatic</w:t>
      </w:r>
      <w:r>
        <w:rPr>
          <w:spacing w:val="-2"/>
        </w:rPr>
        <w:t> </w:t>
      </w:r>
      <w:r>
        <w:rPr/>
        <w:t>malaria</w:t>
      </w:r>
      <w:r>
        <w:rPr>
          <w:spacing w:val="-3"/>
        </w:rPr>
        <w:t> </w:t>
      </w:r>
      <w:r>
        <w:rPr/>
        <w:t>correlates</w:t>
      </w:r>
      <w:r>
        <w:rPr>
          <w:spacing w:val="-1"/>
        </w:rPr>
        <w:t> </w:t>
      </w:r>
      <w:r>
        <w:rPr/>
        <w:t>with</w:t>
      </w:r>
      <w:r>
        <w:rPr>
          <w:spacing w:val="-1"/>
        </w:rPr>
        <w:t> </w:t>
      </w:r>
      <w:r>
        <w:rPr/>
        <w:t>anaemia in pregnant women at Ouagadougou, Burkina Faso. </w:t>
      </w:r>
      <w:r>
        <w:rPr>
          <w:i/>
        </w:rPr>
        <w:t>Journal of Biomedicine and Biotechnology</w:t>
      </w:r>
      <w:r>
        <w:rPr/>
        <w:t>; 2012: 198317.</w:t>
      </w:r>
    </w:p>
    <w:p>
      <w:pPr>
        <w:pStyle w:val="BodyText"/>
        <w:spacing w:before="276"/>
        <w:ind w:left="1280" w:right="800" w:hanging="720"/>
        <w:jc w:val="both"/>
      </w:pPr>
      <w:r>
        <w:rPr/>
        <w:t>Dreyfuss, M.L., Stoltzful, R.J., Shrestha, J.B., Pradhan, E. K., LeClerg, S. C., Khatry, S.K., Shrestha, S.R., Katz, J., Albonico, M. and West, K. P. Jr. (2000). Hookworms,</w:t>
      </w:r>
      <w:r>
        <w:rPr>
          <w:spacing w:val="40"/>
        </w:rPr>
        <w:t> </w:t>
      </w:r>
      <w:r>
        <w:rPr/>
        <w:t>malaria and vitamin A deficiency contribute to anaemia and Iron deficiency among pregnant women in the plains of Nepal. </w:t>
      </w:r>
      <w:r>
        <w:rPr>
          <w:i/>
        </w:rPr>
        <w:t>Journal of Nutrition. </w:t>
      </w:r>
      <w:r>
        <w:rPr/>
        <w:t>130(</w:t>
      </w:r>
      <w:r>
        <w:rPr>
          <w:b/>
        </w:rPr>
        <w:t>10</w:t>
      </w:r>
      <w:r>
        <w:rPr/>
        <w:t>)</w:t>
      </w:r>
      <w:r>
        <w:rPr>
          <w:b/>
        </w:rPr>
        <w:t>: </w:t>
      </w:r>
      <w:r>
        <w:rPr/>
        <w:t>2527-2536.</w:t>
      </w:r>
    </w:p>
    <w:p>
      <w:pPr>
        <w:pStyle w:val="BodyText"/>
      </w:pPr>
    </w:p>
    <w:p>
      <w:pPr>
        <w:pStyle w:val="BodyText"/>
        <w:ind w:left="1280" w:right="800" w:hanging="720"/>
        <w:jc w:val="both"/>
      </w:pPr>
      <w:r>
        <w:rPr/>
        <w:t>Duarte,</w:t>
      </w:r>
      <w:r>
        <w:rPr>
          <w:spacing w:val="-3"/>
        </w:rPr>
        <w:t> </w:t>
      </w:r>
      <w:r>
        <w:rPr/>
        <w:t>J.,</w:t>
      </w:r>
      <w:r>
        <w:rPr>
          <w:spacing w:val="-3"/>
        </w:rPr>
        <w:t> </w:t>
      </w:r>
      <w:r>
        <w:rPr/>
        <w:t>Deshpande,</w:t>
      </w:r>
      <w:r>
        <w:rPr>
          <w:spacing w:val="-3"/>
        </w:rPr>
        <w:t> </w:t>
      </w:r>
      <w:r>
        <w:rPr/>
        <w:t>P.,</w:t>
      </w:r>
      <w:r>
        <w:rPr>
          <w:spacing w:val="-3"/>
        </w:rPr>
        <w:t> </w:t>
      </w:r>
      <w:r>
        <w:rPr/>
        <w:t>Guiyedi,</w:t>
      </w:r>
      <w:r>
        <w:rPr>
          <w:spacing w:val="-3"/>
        </w:rPr>
        <w:t> </w:t>
      </w:r>
      <w:r>
        <w:rPr/>
        <w:t>V.,</w:t>
      </w:r>
      <w:r>
        <w:rPr>
          <w:spacing w:val="-3"/>
        </w:rPr>
        <w:t> </w:t>
      </w:r>
      <w:r>
        <w:rPr/>
        <w:t>Mecheri,</w:t>
      </w:r>
      <w:r>
        <w:rPr>
          <w:spacing w:val="-3"/>
        </w:rPr>
        <w:t> </w:t>
      </w:r>
      <w:r>
        <w:rPr/>
        <w:t>S.,</w:t>
      </w:r>
      <w:r>
        <w:rPr>
          <w:spacing w:val="-3"/>
        </w:rPr>
        <w:t> </w:t>
      </w:r>
      <w:r>
        <w:rPr/>
        <w:t>Fesel,</w:t>
      </w:r>
      <w:r>
        <w:rPr>
          <w:spacing w:val="-3"/>
        </w:rPr>
        <w:t> </w:t>
      </w:r>
      <w:r>
        <w:rPr/>
        <w:t>C.,</w:t>
      </w:r>
      <w:r>
        <w:rPr>
          <w:spacing w:val="-3"/>
        </w:rPr>
        <w:t> </w:t>
      </w:r>
      <w:r>
        <w:rPr/>
        <w:t>Cazenave,</w:t>
      </w:r>
      <w:r>
        <w:rPr>
          <w:spacing w:val="-3"/>
        </w:rPr>
        <w:t> </w:t>
      </w:r>
      <w:r>
        <w:rPr/>
        <w:t>P.</w:t>
      </w:r>
      <w:r>
        <w:rPr>
          <w:spacing w:val="-1"/>
        </w:rPr>
        <w:t> </w:t>
      </w:r>
      <w:r>
        <w:rPr/>
        <w:t>A.,</w:t>
      </w:r>
      <w:r>
        <w:rPr>
          <w:spacing w:val="-3"/>
        </w:rPr>
        <w:t> </w:t>
      </w:r>
      <w:r>
        <w:rPr/>
        <w:t>Mishra,</w:t>
      </w:r>
      <w:r>
        <w:rPr>
          <w:spacing w:val="-3"/>
        </w:rPr>
        <w:t> </w:t>
      </w:r>
      <w:r>
        <w:rPr/>
        <w:t>G.</w:t>
      </w:r>
      <w:r>
        <w:rPr>
          <w:spacing w:val="-3"/>
        </w:rPr>
        <w:t> </w:t>
      </w:r>
      <w:r>
        <w:rPr/>
        <w:t>C., Kombila, M. and Pied, S. (2007). Total and functional parasite specific IgE response in </w:t>
      </w:r>
      <w:r>
        <w:rPr>
          <w:i/>
        </w:rPr>
        <w:t>plasmodium falciparum</w:t>
      </w:r>
      <w:r>
        <w:rPr/>
        <w:t>-infected patients exhibiting different clinical status. </w:t>
      </w:r>
      <w:r>
        <w:rPr>
          <w:i/>
        </w:rPr>
        <w:t>Malaria Journal</w:t>
      </w:r>
      <w:r>
        <w:rPr/>
        <w:t>; 6: 1-13.</w:t>
      </w:r>
    </w:p>
    <w:p>
      <w:pPr>
        <w:pStyle w:val="BodyText"/>
      </w:pPr>
    </w:p>
    <w:p>
      <w:pPr>
        <w:pStyle w:val="BodyText"/>
        <w:ind w:left="1280" w:right="793" w:hanging="720"/>
        <w:jc w:val="both"/>
      </w:pPr>
      <w:r>
        <w:rPr/>
        <w:t>Duffy, E. M., Bonham, M. P., Wallace, J. M. W., Chang, C. K., Robson, P. J., Myers, G. J., Davidson, P. W., Clarkson, T. W., Shamlaye, C. F. and Strain, J.</w:t>
      </w:r>
      <w:r>
        <w:rPr>
          <w:spacing w:val="-3"/>
        </w:rPr>
        <w:t> </w:t>
      </w:r>
      <w:r>
        <w:rPr/>
        <w:t>J. (2009). Iron status in pregnant women in the Republic of Seychelles. </w:t>
      </w:r>
      <w:r>
        <w:rPr>
          <w:i/>
        </w:rPr>
        <w:t>Public Health Nutrition</w:t>
      </w:r>
      <w:r>
        <w:rPr/>
        <w:t>; 13(</w:t>
      </w:r>
      <w:r>
        <w:rPr>
          <w:b/>
        </w:rPr>
        <w:t>3</w:t>
      </w:r>
      <w:r>
        <w:rPr/>
        <w:t>):</w:t>
      </w:r>
      <w:r>
        <w:rPr>
          <w:spacing w:val="40"/>
        </w:rPr>
        <w:t> </w:t>
      </w:r>
      <w:r>
        <w:rPr>
          <w:spacing w:val="-2"/>
        </w:rPr>
        <w:t>331-337.</w:t>
      </w:r>
    </w:p>
    <w:p>
      <w:pPr>
        <w:pStyle w:val="BodyText"/>
        <w:spacing w:before="1"/>
      </w:pPr>
    </w:p>
    <w:p>
      <w:pPr>
        <w:pStyle w:val="BodyText"/>
        <w:ind w:left="1371" w:right="772" w:hanging="812"/>
      </w:pPr>
      <w:r>
        <w:rPr/>
        <w:t>Edward, C. G. (2001). Erythropoiesis.In Post Graduate Haematology. Eds Hoffbrand A. V., Lewis</w:t>
      </w:r>
      <w:r>
        <w:rPr>
          <w:spacing w:val="-3"/>
        </w:rPr>
        <w:t> </w:t>
      </w:r>
      <w:r>
        <w:rPr/>
        <w:t>S.</w:t>
      </w:r>
      <w:r>
        <w:rPr>
          <w:spacing w:val="-3"/>
        </w:rPr>
        <w:t> </w:t>
      </w:r>
      <w:r>
        <w:rPr/>
        <w:t>M.</w:t>
      </w:r>
      <w:r>
        <w:rPr>
          <w:spacing w:val="-3"/>
        </w:rPr>
        <w:t> </w:t>
      </w:r>
      <w:r>
        <w:rPr/>
        <w:t>and</w:t>
      </w:r>
      <w:r>
        <w:rPr>
          <w:spacing w:val="-3"/>
        </w:rPr>
        <w:t> </w:t>
      </w:r>
      <w:r>
        <w:rPr/>
        <w:t>Tuddenham</w:t>
      </w:r>
      <w:r>
        <w:rPr>
          <w:spacing w:val="-3"/>
        </w:rPr>
        <w:t> </w:t>
      </w:r>
      <w:r>
        <w:rPr/>
        <w:t>E.G.D.</w:t>
      </w:r>
      <w:r>
        <w:rPr>
          <w:spacing w:val="-3"/>
        </w:rPr>
        <w:t> </w:t>
      </w:r>
      <w:r>
        <w:rPr/>
        <w:t>4</w:t>
      </w:r>
      <w:r>
        <w:rPr>
          <w:vertAlign w:val="superscript"/>
        </w:rPr>
        <w:t>th</w:t>
      </w:r>
      <w:r>
        <w:rPr>
          <w:vertAlign w:val="baseline"/>
        </w:rPr>
        <w:t>edn.</w:t>
      </w:r>
      <w:r>
        <w:rPr>
          <w:spacing w:val="-3"/>
          <w:vertAlign w:val="baseline"/>
        </w:rPr>
        <w:t> </w:t>
      </w:r>
      <w:r>
        <w:rPr>
          <w:vertAlign w:val="baseline"/>
        </w:rPr>
        <w:t>OxfordUniversity</w:t>
      </w:r>
      <w:r>
        <w:rPr>
          <w:spacing w:val="-8"/>
          <w:vertAlign w:val="baseline"/>
        </w:rPr>
        <w:t> </w:t>
      </w:r>
      <w:r>
        <w:rPr>
          <w:vertAlign w:val="baseline"/>
        </w:rPr>
        <w:t>Press.</w:t>
      </w:r>
      <w:r>
        <w:rPr>
          <w:spacing w:val="-3"/>
          <w:vertAlign w:val="baseline"/>
        </w:rPr>
        <w:t> </w:t>
      </w:r>
      <w:r>
        <w:rPr>
          <w:vertAlign w:val="baseline"/>
        </w:rPr>
        <w:t>United</w:t>
      </w:r>
      <w:r>
        <w:rPr>
          <w:spacing w:val="-3"/>
          <w:vertAlign w:val="baseline"/>
        </w:rPr>
        <w:t> </w:t>
      </w:r>
      <w:r>
        <w:rPr>
          <w:vertAlign w:val="baseline"/>
        </w:rPr>
        <w:t>States</w:t>
      </w:r>
      <w:r>
        <w:rPr>
          <w:spacing w:val="-3"/>
          <w:vertAlign w:val="baseline"/>
        </w:rPr>
        <w:t> </w:t>
      </w:r>
      <w:r>
        <w:rPr>
          <w:vertAlign w:val="baseline"/>
        </w:rPr>
        <w:t>of America Pp: 13- 22</w:t>
      </w:r>
    </w:p>
    <w:p>
      <w:pPr>
        <w:pStyle w:val="BodyText"/>
      </w:pPr>
    </w:p>
    <w:p>
      <w:pPr>
        <w:spacing w:before="0"/>
        <w:ind w:left="1371" w:right="254" w:hanging="812"/>
        <w:jc w:val="left"/>
        <w:rPr>
          <w:sz w:val="24"/>
        </w:rPr>
      </w:pPr>
      <w:r>
        <w:rPr>
          <w:sz w:val="24"/>
        </w:rPr>
        <w:t>Egwunyenga,</w:t>
      </w:r>
      <w:r>
        <w:rPr>
          <w:spacing w:val="-3"/>
          <w:sz w:val="24"/>
        </w:rPr>
        <w:t> </w:t>
      </w:r>
      <w:r>
        <w:rPr>
          <w:sz w:val="24"/>
        </w:rPr>
        <w:t>A.</w:t>
      </w:r>
      <w:r>
        <w:rPr>
          <w:spacing w:val="-2"/>
          <w:sz w:val="24"/>
        </w:rPr>
        <w:t> </w:t>
      </w:r>
      <w:r>
        <w:rPr>
          <w:sz w:val="24"/>
        </w:rPr>
        <w:t>O.,</w:t>
      </w:r>
      <w:r>
        <w:rPr>
          <w:spacing w:val="-2"/>
          <w:sz w:val="24"/>
        </w:rPr>
        <w:t> </w:t>
      </w:r>
      <w:r>
        <w:rPr>
          <w:sz w:val="24"/>
        </w:rPr>
        <w:t>Isamah,</w:t>
      </w:r>
      <w:r>
        <w:rPr>
          <w:spacing w:val="-3"/>
          <w:sz w:val="24"/>
        </w:rPr>
        <w:t> </w:t>
      </w:r>
      <w:r>
        <w:rPr>
          <w:sz w:val="24"/>
        </w:rPr>
        <w:t>G.</w:t>
      </w:r>
      <w:r>
        <w:rPr>
          <w:spacing w:val="40"/>
          <w:sz w:val="24"/>
        </w:rPr>
        <w:t> </w:t>
      </w:r>
      <w:r>
        <w:rPr>
          <w:sz w:val="24"/>
        </w:rPr>
        <w:t>and</w:t>
      </w:r>
      <w:r>
        <w:rPr>
          <w:spacing w:val="-3"/>
          <w:sz w:val="24"/>
        </w:rPr>
        <w:t> </w:t>
      </w:r>
      <w:r>
        <w:rPr>
          <w:sz w:val="24"/>
        </w:rPr>
        <w:t>Nmosi,</w:t>
      </w:r>
      <w:r>
        <w:rPr>
          <w:spacing w:val="-3"/>
          <w:sz w:val="24"/>
        </w:rPr>
        <w:t> </w:t>
      </w:r>
      <w:r>
        <w:rPr>
          <w:sz w:val="24"/>
        </w:rPr>
        <w:t>O.</w:t>
      </w:r>
      <w:r>
        <w:rPr>
          <w:spacing w:val="-2"/>
          <w:sz w:val="24"/>
        </w:rPr>
        <w:t> </w:t>
      </w:r>
      <w:r>
        <w:rPr>
          <w:sz w:val="24"/>
        </w:rPr>
        <w:t>P.</w:t>
      </w:r>
      <w:r>
        <w:rPr>
          <w:spacing w:val="40"/>
          <w:sz w:val="24"/>
        </w:rPr>
        <w:t> </w:t>
      </w:r>
      <w:r>
        <w:rPr>
          <w:sz w:val="24"/>
        </w:rPr>
        <w:t>(2004).</w:t>
      </w:r>
      <w:r>
        <w:rPr>
          <w:spacing w:val="-2"/>
          <w:sz w:val="24"/>
        </w:rPr>
        <w:t> </w:t>
      </w:r>
      <w:r>
        <w:rPr>
          <w:sz w:val="24"/>
        </w:rPr>
        <w:t>Lipid</w:t>
      </w:r>
      <w:r>
        <w:rPr>
          <w:spacing w:val="-3"/>
          <w:sz w:val="24"/>
        </w:rPr>
        <w:t> </w:t>
      </w:r>
      <w:r>
        <w:rPr>
          <w:sz w:val="24"/>
        </w:rPr>
        <w:t>peroxidation</w:t>
      </w:r>
      <w:r>
        <w:rPr>
          <w:spacing w:val="-3"/>
          <w:sz w:val="24"/>
        </w:rPr>
        <w:t> </w:t>
      </w:r>
      <w:r>
        <w:rPr>
          <w:sz w:val="24"/>
        </w:rPr>
        <w:t>and</w:t>
      </w:r>
      <w:r>
        <w:rPr>
          <w:spacing w:val="-3"/>
          <w:sz w:val="24"/>
        </w:rPr>
        <w:t> </w:t>
      </w:r>
      <w:r>
        <w:rPr>
          <w:sz w:val="24"/>
        </w:rPr>
        <w:t>ascorbic</w:t>
      </w:r>
      <w:r>
        <w:rPr>
          <w:spacing w:val="-4"/>
          <w:sz w:val="24"/>
        </w:rPr>
        <w:t> </w:t>
      </w:r>
      <w:r>
        <w:rPr>
          <w:sz w:val="24"/>
        </w:rPr>
        <w:t>acid levels in Nigerian children with acute </w:t>
      </w:r>
      <w:r>
        <w:rPr>
          <w:i/>
          <w:sz w:val="24"/>
        </w:rPr>
        <w:t>falciparum </w:t>
      </w:r>
      <w:r>
        <w:rPr>
          <w:sz w:val="24"/>
        </w:rPr>
        <w:t>malaria.</w:t>
      </w:r>
      <w:r>
        <w:rPr>
          <w:i/>
          <w:sz w:val="24"/>
        </w:rPr>
        <w:t>African Journal of Biotechnology</w:t>
      </w:r>
      <w:r>
        <w:rPr>
          <w:sz w:val="24"/>
        </w:rPr>
        <w:t>; 3; 560- 563.</w:t>
      </w:r>
    </w:p>
    <w:p>
      <w:pPr>
        <w:pStyle w:val="BodyText"/>
      </w:pPr>
    </w:p>
    <w:p>
      <w:pPr>
        <w:spacing w:before="0"/>
        <w:ind w:left="1280" w:right="0" w:hanging="720"/>
        <w:jc w:val="left"/>
        <w:rPr>
          <w:sz w:val="24"/>
        </w:rPr>
      </w:pPr>
      <w:r>
        <w:rPr>
          <w:sz w:val="24"/>
        </w:rPr>
        <w:t>Ekejindu,</w:t>
      </w:r>
      <w:r>
        <w:rPr>
          <w:spacing w:val="80"/>
          <w:sz w:val="24"/>
        </w:rPr>
        <w:t> </w:t>
      </w:r>
      <w:r>
        <w:rPr>
          <w:sz w:val="24"/>
        </w:rPr>
        <w:t>M.</w:t>
      </w:r>
      <w:r>
        <w:rPr>
          <w:spacing w:val="80"/>
          <w:sz w:val="24"/>
        </w:rPr>
        <w:t> </w:t>
      </w:r>
      <w:r>
        <w:rPr>
          <w:sz w:val="24"/>
        </w:rPr>
        <w:t>I.</w:t>
      </w:r>
      <w:r>
        <w:rPr>
          <w:spacing w:val="80"/>
          <w:sz w:val="24"/>
        </w:rPr>
        <w:t> </w:t>
      </w:r>
      <w:r>
        <w:rPr>
          <w:sz w:val="24"/>
        </w:rPr>
        <w:t>(2006).</w:t>
      </w:r>
      <w:r>
        <w:rPr>
          <w:spacing w:val="80"/>
          <w:sz w:val="24"/>
        </w:rPr>
        <w:t> </w:t>
      </w:r>
      <w:r>
        <w:rPr>
          <w:sz w:val="24"/>
        </w:rPr>
        <w:t>Malaria</w:t>
      </w:r>
      <w:r>
        <w:rPr>
          <w:spacing w:val="80"/>
          <w:sz w:val="24"/>
        </w:rPr>
        <w:t> </w:t>
      </w:r>
      <w:r>
        <w:rPr>
          <w:sz w:val="24"/>
        </w:rPr>
        <w:t>and</w:t>
      </w:r>
      <w:r>
        <w:rPr>
          <w:spacing w:val="80"/>
          <w:sz w:val="24"/>
        </w:rPr>
        <w:t> </w:t>
      </w:r>
      <w:r>
        <w:rPr>
          <w:sz w:val="24"/>
        </w:rPr>
        <w:t>anaemia</w:t>
      </w:r>
      <w:r>
        <w:rPr>
          <w:spacing w:val="80"/>
          <w:sz w:val="24"/>
        </w:rPr>
        <w:t> </w:t>
      </w:r>
      <w:r>
        <w:rPr>
          <w:sz w:val="24"/>
        </w:rPr>
        <w:t>in</w:t>
      </w:r>
      <w:r>
        <w:rPr>
          <w:spacing w:val="80"/>
          <w:sz w:val="24"/>
        </w:rPr>
        <w:t> </w:t>
      </w:r>
      <w:r>
        <w:rPr>
          <w:sz w:val="24"/>
        </w:rPr>
        <w:t>pregnancy</w:t>
      </w:r>
      <w:r>
        <w:rPr>
          <w:spacing w:val="80"/>
          <w:sz w:val="24"/>
        </w:rPr>
        <w:t> </w:t>
      </w:r>
      <w:r>
        <w:rPr>
          <w:sz w:val="24"/>
        </w:rPr>
        <w:t>in</w:t>
      </w:r>
      <w:r>
        <w:rPr>
          <w:spacing w:val="80"/>
          <w:sz w:val="24"/>
        </w:rPr>
        <w:t> </w:t>
      </w:r>
      <w:r>
        <w:rPr>
          <w:sz w:val="24"/>
        </w:rPr>
        <w:t>Enugu,</w:t>
      </w:r>
      <w:r>
        <w:rPr>
          <w:spacing w:val="80"/>
          <w:sz w:val="24"/>
        </w:rPr>
        <w:t> </w:t>
      </w:r>
      <w:r>
        <w:rPr>
          <w:sz w:val="24"/>
        </w:rPr>
        <w:t>Southeastern</w:t>
      </w:r>
      <w:r>
        <w:rPr>
          <w:spacing w:val="40"/>
          <w:sz w:val="24"/>
        </w:rPr>
        <w:t> </w:t>
      </w:r>
      <w:r>
        <w:rPr>
          <w:sz w:val="24"/>
        </w:rPr>
        <w:t>Nigeria.</w:t>
      </w:r>
      <w:r>
        <w:rPr>
          <w:i/>
          <w:sz w:val="24"/>
        </w:rPr>
        <w:t>African Journal of Medicine and Medical Science</w:t>
      </w:r>
      <w:r>
        <w:rPr>
          <w:sz w:val="24"/>
        </w:rPr>
        <w:t>; 35(</w:t>
      </w:r>
      <w:r>
        <w:rPr>
          <w:b/>
          <w:sz w:val="24"/>
        </w:rPr>
        <w:t>1</w:t>
      </w:r>
      <w:r>
        <w:rPr>
          <w:sz w:val="24"/>
        </w:rPr>
        <w:t>): 1-3.</w:t>
      </w:r>
    </w:p>
    <w:p>
      <w:pPr>
        <w:pStyle w:val="BodyText"/>
        <w:spacing w:before="1"/>
      </w:pPr>
    </w:p>
    <w:p>
      <w:pPr>
        <w:pStyle w:val="BodyText"/>
        <w:ind w:left="1280" w:right="795" w:hanging="720"/>
      </w:pPr>
      <w:r>
        <w:rPr/>
        <w:t>Elgert, K. D. (2009). Cytokines In: Immunology – Understanding the Immune System.John Wiley and sons. Pp. 199-217.</w:t>
      </w:r>
    </w:p>
    <w:p>
      <w:pPr>
        <w:pStyle w:val="BodyText"/>
      </w:pPr>
    </w:p>
    <w:p>
      <w:pPr>
        <w:pStyle w:val="BodyText"/>
        <w:ind w:left="1280" w:right="797" w:hanging="720"/>
        <w:jc w:val="both"/>
      </w:pPr>
      <w:r>
        <w:rPr/>
        <w:t>Ellenson, L. H. and Pirog, E. C. (2010).The female genital tract. In: Robbins and Cotram Pathological Basis of Diseases. 8</w:t>
      </w:r>
      <w:r>
        <w:rPr>
          <w:vertAlign w:val="superscript"/>
        </w:rPr>
        <w:t>th</w:t>
      </w:r>
      <w:r>
        <w:rPr>
          <w:vertAlign w:val="baseline"/>
        </w:rPr>
        <w:t> Edn.Editors; Vinay, K., Abdul, K. A., Nelson, F. and Jon, C. A. Sauders Elsevier‟s coy Philadelphia, U.S.A. Pp 1005-1064.</w:t>
      </w:r>
    </w:p>
    <w:p>
      <w:pPr>
        <w:pStyle w:val="BodyText"/>
      </w:pPr>
    </w:p>
    <w:p>
      <w:pPr>
        <w:pStyle w:val="BodyText"/>
        <w:ind w:left="1280" w:right="802" w:hanging="720"/>
        <w:jc w:val="both"/>
      </w:pPr>
      <w:r>
        <w:rPr/>
        <w:t>Erhabor, O., Jeremiah, Z.A., Adias, T.C. and Okere, C.E. (2010).The prevalence of human immunodeficiency virus infection among TB patients in Port Harcourt Nigeria. HIV/AIDS (Auckland, N.Z.); 2: 1 – 5.</w:t>
      </w:r>
    </w:p>
    <w:p>
      <w:pPr>
        <w:pStyle w:val="BodyText"/>
      </w:pPr>
    </w:p>
    <w:p>
      <w:pPr>
        <w:spacing w:before="1"/>
        <w:ind w:left="1280" w:right="797" w:hanging="720"/>
        <w:jc w:val="both"/>
        <w:rPr>
          <w:i/>
          <w:sz w:val="24"/>
        </w:rPr>
      </w:pPr>
      <w:r>
        <w:rPr>
          <w:sz w:val="24"/>
        </w:rPr>
        <w:t>Expert Scientific Working Group (1985): Summary of a report on assessment of the iron nutritional status of the United States Population. </w:t>
      </w:r>
      <w:r>
        <w:rPr>
          <w:i/>
          <w:sz w:val="24"/>
        </w:rPr>
        <w:t>American Journal of </w:t>
      </w:r>
      <w:r>
        <w:rPr>
          <w:i/>
          <w:sz w:val="24"/>
        </w:rPr>
        <w:t>Clinical Nutrition </w:t>
      </w:r>
      <w:r>
        <w:rPr>
          <w:b/>
          <w:i/>
          <w:sz w:val="24"/>
        </w:rPr>
        <w:t>42:</w:t>
      </w:r>
      <w:r>
        <w:rPr>
          <w:i/>
          <w:sz w:val="24"/>
        </w:rPr>
        <w:t>1318-1330.</w:t>
      </w:r>
    </w:p>
    <w:p>
      <w:pPr>
        <w:spacing w:after="0"/>
        <w:jc w:val="both"/>
        <w:rPr>
          <w:sz w:val="24"/>
        </w:rPr>
        <w:sectPr>
          <w:pgSz w:w="11910" w:h="16840"/>
          <w:pgMar w:header="0" w:footer="1067" w:top="1060" w:bottom="1260" w:left="880" w:right="640"/>
        </w:sectPr>
      </w:pPr>
    </w:p>
    <w:p>
      <w:pPr>
        <w:pStyle w:val="BodyText"/>
        <w:spacing w:before="66"/>
        <w:ind w:left="1280" w:right="801" w:hanging="720"/>
        <w:jc w:val="both"/>
      </w:pPr>
      <w:r>
        <w:rPr/>
        <w:t>Fairbanks, V.F., Beutler, E. (2011). Iron Metabolism, In: Williams Manuel of Haematology. 8</w:t>
      </w:r>
      <w:r>
        <w:rPr>
          <w:vertAlign w:val="superscript"/>
        </w:rPr>
        <w:t>th</w:t>
      </w:r>
      <w:r>
        <w:rPr>
          <w:vertAlign w:val="baseline"/>
        </w:rPr>
        <w:t> Edn, Lichtman, M.A., Kaushansky, K., Kipps, T.J., Prchal, J.T. and Levi, M.M. McGraw-Hill Edu/Medical.</w:t>
      </w:r>
    </w:p>
    <w:p>
      <w:pPr>
        <w:pStyle w:val="BodyText"/>
      </w:pPr>
    </w:p>
    <w:p>
      <w:pPr>
        <w:pStyle w:val="BodyText"/>
        <w:spacing w:before="1"/>
        <w:ind w:left="1280" w:right="806" w:hanging="720"/>
        <w:jc w:val="both"/>
      </w:pPr>
      <w:r>
        <w:rPr/>
        <w:t>Ferreira, A., Schofield, L. and Enea, V. (1986). Inhibition of development of exoerythrocytic forms of malaria parasite by gamma-interferon. </w:t>
      </w:r>
      <w:r>
        <w:rPr>
          <w:i/>
        </w:rPr>
        <w:t>Science </w:t>
      </w:r>
      <w:r>
        <w:rPr/>
        <w:t>232: 881-4</w:t>
      </w:r>
    </w:p>
    <w:p>
      <w:pPr>
        <w:pStyle w:val="BodyText"/>
        <w:spacing w:before="276"/>
        <w:ind w:left="1280" w:right="802" w:hanging="720"/>
        <w:jc w:val="both"/>
      </w:pPr>
      <w:r>
        <w:rPr/>
        <w:t>Fillet, G., Beguin, Y. and Baldelli, L. (1989). Model of reticuloendothelial Iron Metabolism</w:t>
      </w:r>
      <w:r>
        <w:rPr>
          <w:spacing w:val="40"/>
        </w:rPr>
        <w:t> </w:t>
      </w:r>
      <w:r>
        <w:rPr/>
        <w:t>in Human: Abnormal Behaviour in Idiopathic Haemochromatosis and in Inflammation</w:t>
      </w:r>
      <w:r>
        <w:rPr>
          <w:i/>
        </w:rPr>
        <w:t>. Blood</w:t>
      </w:r>
      <w:r>
        <w:rPr/>
        <w:t>; 74</w:t>
      </w:r>
      <w:r>
        <w:rPr>
          <w:b/>
        </w:rPr>
        <w:t>(2): </w:t>
      </w:r>
      <w:r>
        <w:rPr/>
        <w:t>884 – 851</w:t>
      </w:r>
    </w:p>
    <w:p>
      <w:pPr>
        <w:pStyle w:val="BodyText"/>
      </w:pPr>
    </w:p>
    <w:p>
      <w:pPr>
        <w:pStyle w:val="BodyText"/>
        <w:ind w:left="560"/>
        <w:jc w:val="both"/>
      </w:pPr>
      <w:r>
        <w:rPr/>
        <w:t>Fleming,</w:t>
      </w:r>
      <w:r>
        <w:rPr>
          <w:spacing w:val="43"/>
        </w:rPr>
        <w:t> </w:t>
      </w:r>
      <w:r>
        <w:rPr/>
        <w:t>A.F.,</w:t>
      </w:r>
      <w:r>
        <w:rPr>
          <w:spacing w:val="44"/>
        </w:rPr>
        <w:t> </w:t>
      </w:r>
      <w:r>
        <w:rPr/>
        <w:t>Harrison,</w:t>
      </w:r>
      <w:r>
        <w:rPr>
          <w:spacing w:val="44"/>
        </w:rPr>
        <w:t> </w:t>
      </w:r>
      <w:r>
        <w:rPr/>
        <w:t>K.A.,</w:t>
      </w:r>
      <w:r>
        <w:rPr>
          <w:spacing w:val="44"/>
        </w:rPr>
        <w:t> </w:t>
      </w:r>
      <w:r>
        <w:rPr/>
        <w:t>Briggs,</w:t>
      </w:r>
      <w:r>
        <w:rPr>
          <w:spacing w:val="45"/>
        </w:rPr>
        <w:t> </w:t>
      </w:r>
      <w:r>
        <w:rPr/>
        <w:t>N.D.,</w:t>
      </w:r>
      <w:r>
        <w:rPr>
          <w:spacing w:val="46"/>
        </w:rPr>
        <w:t> </w:t>
      </w:r>
      <w:r>
        <w:rPr/>
        <w:t>Attai,</w:t>
      </w:r>
      <w:r>
        <w:rPr>
          <w:spacing w:val="44"/>
        </w:rPr>
        <w:t> </w:t>
      </w:r>
      <w:r>
        <w:rPr/>
        <w:t>E.D.E.,</w:t>
      </w:r>
      <w:r>
        <w:rPr>
          <w:spacing w:val="44"/>
        </w:rPr>
        <w:t> </w:t>
      </w:r>
      <w:r>
        <w:rPr/>
        <w:t>Chatoura,</w:t>
      </w:r>
      <w:r>
        <w:rPr>
          <w:spacing w:val="48"/>
        </w:rPr>
        <w:t> </w:t>
      </w:r>
      <w:r>
        <w:rPr/>
        <w:t>G.B.S.,</w:t>
      </w:r>
      <w:r>
        <w:rPr>
          <w:spacing w:val="45"/>
        </w:rPr>
        <w:t> </w:t>
      </w:r>
      <w:r>
        <w:rPr>
          <w:spacing w:val="-2"/>
        </w:rPr>
        <w:t>Akintunde,</w:t>
      </w:r>
    </w:p>
    <w:p>
      <w:pPr>
        <w:spacing w:before="0"/>
        <w:ind w:left="1280" w:right="794" w:firstLine="0"/>
        <w:jc w:val="both"/>
        <w:rPr>
          <w:sz w:val="24"/>
        </w:rPr>
      </w:pPr>
      <w:r>
        <w:rPr>
          <w:sz w:val="24"/>
        </w:rPr>
        <w:t>E.A. and Shah, N. (1984) „Anaemia in Young Primigravidae in the Guinea Savannah of Nigeria: Sickle Cell Trait Gives Partial Protection against Malaria‟.</w:t>
      </w:r>
      <w:r>
        <w:rPr>
          <w:i/>
          <w:sz w:val="24"/>
        </w:rPr>
        <w:t>Annals of Tropical Medicine and Parasitology</w:t>
      </w:r>
      <w:r>
        <w:rPr>
          <w:sz w:val="24"/>
        </w:rPr>
        <w:t>, 78, 395-404.</w:t>
      </w:r>
    </w:p>
    <w:p>
      <w:pPr>
        <w:pStyle w:val="BodyText"/>
      </w:pPr>
    </w:p>
    <w:p>
      <w:pPr>
        <w:pStyle w:val="BodyText"/>
        <w:ind w:left="1280" w:right="797" w:hanging="720"/>
        <w:jc w:val="both"/>
      </w:pPr>
      <w:r>
        <w:rPr/>
        <w:t>Francischetti, M. (2008). Does activation of the blood coagulation cascade have a role in malaria pathogenesis? </w:t>
      </w:r>
      <w:r>
        <w:rPr>
          <w:i/>
        </w:rPr>
        <w:t>Trends in parasitology</w:t>
      </w:r>
      <w:r>
        <w:rPr/>
        <w:t>;24(</w:t>
      </w:r>
      <w:r>
        <w:rPr>
          <w:b/>
        </w:rPr>
        <w:t>6</w:t>
      </w:r>
      <w:r>
        <w:rPr/>
        <w:t>): 258- 263.</w:t>
      </w:r>
    </w:p>
    <w:p>
      <w:pPr>
        <w:pStyle w:val="BodyText"/>
      </w:pPr>
    </w:p>
    <w:p>
      <w:pPr>
        <w:pStyle w:val="BodyText"/>
        <w:ind w:left="1280" w:right="794" w:hanging="720"/>
        <w:jc w:val="both"/>
      </w:pPr>
      <w:r>
        <w:rPr/>
        <w:t>Fred, S. A. and Allan, S. J. (2006).Cardiac function.In. Tietz Textbook of Clinical Chemistry and molecular Diagnostic. 4</w:t>
      </w:r>
      <w:r>
        <w:rPr>
          <w:vertAlign w:val="superscript"/>
        </w:rPr>
        <w:t>th</w:t>
      </w:r>
      <w:r>
        <w:rPr>
          <w:vertAlign w:val="baseline"/>
        </w:rPr>
        <w:t> edition. Carl, A. B., Edward, R. A., David, E. B. Elsiever Saunders Coy, USA. Pg. 1619-1670</w:t>
      </w:r>
    </w:p>
    <w:p>
      <w:pPr>
        <w:pStyle w:val="BodyText"/>
        <w:spacing w:before="1"/>
      </w:pPr>
    </w:p>
    <w:p>
      <w:pPr>
        <w:spacing w:before="0"/>
        <w:ind w:left="1280" w:right="797" w:hanging="720"/>
        <w:jc w:val="both"/>
        <w:rPr>
          <w:sz w:val="24"/>
        </w:rPr>
      </w:pPr>
      <w:r>
        <w:rPr>
          <w:sz w:val="24"/>
        </w:rPr>
        <w:t>Fried, M. and Duffy, P. E. (1998).Maternal malaria and parasite adhesion.</w:t>
      </w:r>
      <w:r>
        <w:rPr>
          <w:i/>
          <w:sz w:val="24"/>
        </w:rPr>
        <w:t>Journal of Molecular Medicine</w:t>
      </w:r>
      <w:r>
        <w:rPr>
          <w:sz w:val="24"/>
        </w:rPr>
        <w:t>; 76(</w:t>
      </w:r>
      <w:r>
        <w:rPr>
          <w:b/>
          <w:sz w:val="24"/>
        </w:rPr>
        <w:t>3</w:t>
      </w:r>
      <w:r>
        <w:rPr>
          <w:sz w:val="24"/>
        </w:rPr>
        <w:t>): 162-171.</w:t>
      </w:r>
    </w:p>
    <w:p>
      <w:pPr>
        <w:pStyle w:val="BodyText"/>
      </w:pPr>
    </w:p>
    <w:p>
      <w:pPr>
        <w:spacing w:before="0"/>
        <w:ind w:left="1280" w:right="794" w:hanging="720"/>
        <w:jc w:val="both"/>
        <w:rPr>
          <w:sz w:val="24"/>
        </w:rPr>
      </w:pPr>
      <w:r>
        <w:rPr>
          <w:sz w:val="24"/>
        </w:rPr>
        <w:t>Fried,M. and Duffy, P.E. (1996).Adherence of </w:t>
      </w:r>
      <w:r>
        <w:rPr>
          <w:i/>
          <w:sz w:val="24"/>
        </w:rPr>
        <w:t>plasmodium falciparum </w:t>
      </w:r>
      <w:r>
        <w:rPr>
          <w:sz w:val="24"/>
        </w:rPr>
        <w:t>to chondroitin sulfate A in the human placenta.</w:t>
      </w:r>
      <w:r>
        <w:rPr>
          <w:i/>
          <w:sz w:val="24"/>
        </w:rPr>
        <w:t>Science</w:t>
      </w:r>
      <w:r>
        <w:rPr>
          <w:sz w:val="24"/>
        </w:rPr>
        <w:t>; 272(</w:t>
      </w:r>
      <w:r>
        <w:rPr>
          <w:b/>
          <w:sz w:val="24"/>
        </w:rPr>
        <w:t>5267</w:t>
      </w:r>
      <w:r>
        <w:rPr>
          <w:sz w:val="24"/>
        </w:rPr>
        <w:t>): 1502-1504.</w:t>
      </w:r>
    </w:p>
    <w:p>
      <w:pPr>
        <w:pStyle w:val="BodyText"/>
      </w:pPr>
    </w:p>
    <w:p>
      <w:pPr>
        <w:pStyle w:val="BodyText"/>
        <w:ind w:left="1280" w:right="805" w:hanging="720"/>
        <w:jc w:val="both"/>
      </w:pPr>
      <w:r>
        <w:rPr/>
        <w:t>Fried, M., Nosten, F., Brockman, A., Brabin, B.J. and Duffy, P.E. (1998). Maternal</w:t>
      </w:r>
      <w:r>
        <w:rPr>
          <w:spacing w:val="40"/>
        </w:rPr>
        <w:t> </w:t>
      </w:r>
      <w:r>
        <w:rPr/>
        <w:t>antibodies block malaria. </w:t>
      </w:r>
      <w:r>
        <w:rPr>
          <w:i/>
        </w:rPr>
        <w:t>Nature</w:t>
      </w:r>
      <w:r>
        <w:rPr/>
        <w:t>; 395(</w:t>
      </w:r>
      <w:r>
        <w:rPr>
          <w:b/>
        </w:rPr>
        <w:t>6705</w:t>
      </w:r>
      <w:r>
        <w:rPr/>
        <w:t>): 851.</w:t>
      </w:r>
    </w:p>
    <w:p>
      <w:pPr>
        <w:pStyle w:val="BodyText"/>
      </w:pPr>
    </w:p>
    <w:p>
      <w:pPr>
        <w:pStyle w:val="BodyText"/>
        <w:ind w:left="1280" w:right="795" w:hanging="720"/>
        <w:jc w:val="both"/>
      </w:pPr>
      <w:r>
        <w:rPr/>
        <w:t>Fried, M., Muga, R. O., Misore, A. O., Duffy, P. E., (1998). Malaria elicits type-1 cytokines in the human placenta: IFN-ϒ and TNF-α associated with pregnancy outcomes. </w:t>
      </w:r>
      <w:r>
        <w:rPr>
          <w:i/>
          <w:iCs/>
        </w:rPr>
        <w:t>The Journal of Immunonlogy; </w:t>
      </w:r>
      <w:r>
        <w:rPr/>
        <w:t>160:2523-2530</w:t>
      </w:r>
    </w:p>
    <w:p>
      <w:pPr>
        <w:pStyle w:val="BodyText"/>
        <w:spacing w:before="1"/>
      </w:pPr>
    </w:p>
    <w:p>
      <w:pPr>
        <w:pStyle w:val="BodyText"/>
        <w:ind w:left="1280" w:hanging="720"/>
      </w:pPr>
      <w:r>
        <w:rPr/>
        <w:t>Ganz,</w:t>
      </w:r>
      <w:r>
        <w:rPr>
          <w:spacing w:val="-3"/>
        </w:rPr>
        <w:t> </w:t>
      </w:r>
      <w:r>
        <w:rPr/>
        <w:t>T.</w:t>
      </w:r>
      <w:r>
        <w:rPr>
          <w:spacing w:val="-3"/>
        </w:rPr>
        <w:t> </w:t>
      </w:r>
      <w:r>
        <w:rPr/>
        <w:t>(2003).Hepcidin,</w:t>
      </w:r>
      <w:r>
        <w:rPr>
          <w:spacing w:val="-3"/>
        </w:rPr>
        <w:t> </w:t>
      </w:r>
      <w:r>
        <w:rPr/>
        <w:t>a</w:t>
      </w:r>
      <w:r>
        <w:rPr>
          <w:spacing w:val="-4"/>
        </w:rPr>
        <w:t> </w:t>
      </w:r>
      <w:r>
        <w:rPr/>
        <w:t>Key</w:t>
      </w:r>
      <w:r>
        <w:rPr>
          <w:spacing w:val="-8"/>
        </w:rPr>
        <w:t> </w:t>
      </w:r>
      <w:r>
        <w:rPr/>
        <w:t>Regulator</w:t>
      </w:r>
      <w:r>
        <w:rPr>
          <w:spacing w:val="-4"/>
        </w:rPr>
        <w:t> </w:t>
      </w:r>
      <w:r>
        <w:rPr/>
        <w:t>of</w:t>
      </w:r>
      <w:r>
        <w:rPr>
          <w:spacing w:val="-2"/>
        </w:rPr>
        <w:t> </w:t>
      </w:r>
      <w:r>
        <w:rPr/>
        <w:t>Iron</w:t>
      </w:r>
      <w:r>
        <w:rPr>
          <w:spacing w:val="-3"/>
        </w:rPr>
        <w:t> </w:t>
      </w:r>
      <w:r>
        <w:rPr/>
        <w:t>Metabolism</w:t>
      </w:r>
      <w:r>
        <w:rPr>
          <w:spacing w:val="-3"/>
        </w:rPr>
        <w:t> </w:t>
      </w:r>
      <w:r>
        <w:rPr/>
        <w:t>and</w:t>
      </w:r>
      <w:r>
        <w:rPr>
          <w:spacing w:val="-2"/>
        </w:rPr>
        <w:t> </w:t>
      </w:r>
      <w:r>
        <w:rPr/>
        <w:t>Mediator</w:t>
      </w:r>
      <w:r>
        <w:rPr>
          <w:spacing w:val="-3"/>
        </w:rPr>
        <w:t> </w:t>
      </w:r>
      <w:r>
        <w:rPr/>
        <w:t>of</w:t>
      </w:r>
      <w:r>
        <w:rPr>
          <w:spacing w:val="-4"/>
        </w:rPr>
        <w:t> </w:t>
      </w:r>
      <w:r>
        <w:rPr/>
        <w:t>Anaemia</w:t>
      </w:r>
      <w:r>
        <w:rPr>
          <w:spacing w:val="-4"/>
        </w:rPr>
        <w:t> </w:t>
      </w:r>
      <w:r>
        <w:rPr/>
        <w:t>of Inflammation.</w:t>
      </w:r>
      <w:r>
        <w:rPr>
          <w:i/>
        </w:rPr>
        <w:t>Blood.</w:t>
      </w:r>
      <w:r>
        <w:rPr/>
        <w:t>102(</w:t>
      </w:r>
      <w:r>
        <w:rPr>
          <w:b/>
        </w:rPr>
        <w:t>3</w:t>
      </w:r>
      <w:r>
        <w:rPr/>
        <w:t>): 783-788.</w:t>
      </w:r>
    </w:p>
    <w:p>
      <w:pPr>
        <w:pStyle w:val="BodyText"/>
      </w:pPr>
    </w:p>
    <w:p>
      <w:pPr>
        <w:pStyle w:val="BodyText"/>
        <w:ind w:left="1280" w:right="1326" w:hanging="720"/>
      </w:pPr>
      <w:r>
        <w:rPr/>
        <w:t>Ganz,</w:t>
      </w:r>
      <w:r>
        <w:rPr>
          <w:spacing w:val="-3"/>
        </w:rPr>
        <w:t> </w:t>
      </w:r>
      <w:r>
        <w:rPr/>
        <w:t>T.</w:t>
      </w:r>
      <w:r>
        <w:rPr>
          <w:spacing w:val="-3"/>
        </w:rPr>
        <w:t> </w:t>
      </w:r>
      <w:r>
        <w:rPr/>
        <w:t>(2003).</w:t>
      </w:r>
      <w:r>
        <w:rPr>
          <w:spacing w:val="-3"/>
        </w:rPr>
        <w:t> </w:t>
      </w:r>
      <w:r>
        <w:rPr/>
        <w:t>Hepcidin,</w:t>
      </w:r>
      <w:r>
        <w:rPr>
          <w:spacing w:val="-3"/>
        </w:rPr>
        <w:t> </w:t>
      </w:r>
      <w:r>
        <w:rPr/>
        <w:t>a</w:t>
      </w:r>
      <w:r>
        <w:rPr>
          <w:spacing w:val="-4"/>
        </w:rPr>
        <w:t> </w:t>
      </w:r>
      <w:r>
        <w:rPr/>
        <w:t>Putative</w:t>
      </w:r>
      <w:r>
        <w:rPr>
          <w:spacing w:val="-3"/>
        </w:rPr>
        <w:t> </w:t>
      </w:r>
      <w:r>
        <w:rPr/>
        <w:t>Mediator</w:t>
      </w:r>
      <w:r>
        <w:rPr>
          <w:spacing w:val="-4"/>
        </w:rPr>
        <w:t> </w:t>
      </w:r>
      <w:r>
        <w:rPr/>
        <w:t>of</w:t>
      </w:r>
      <w:r>
        <w:rPr>
          <w:spacing w:val="-2"/>
        </w:rPr>
        <w:t> </w:t>
      </w:r>
      <w:r>
        <w:rPr/>
        <w:t>Anaemia</w:t>
      </w:r>
      <w:r>
        <w:rPr>
          <w:spacing w:val="-4"/>
        </w:rPr>
        <w:t> </w:t>
      </w:r>
      <w:r>
        <w:rPr/>
        <w:t>of Inflammation,</w:t>
      </w:r>
      <w:r>
        <w:rPr>
          <w:spacing w:val="-3"/>
        </w:rPr>
        <w:t> </w:t>
      </w:r>
      <w:r>
        <w:rPr/>
        <w:t>is</w:t>
      </w:r>
      <w:r>
        <w:rPr>
          <w:spacing w:val="-3"/>
        </w:rPr>
        <w:t> </w:t>
      </w:r>
      <w:r>
        <w:rPr/>
        <w:t>a</w:t>
      </w:r>
      <w:r>
        <w:rPr>
          <w:spacing w:val="-3"/>
        </w:rPr>
        <w:t> </w:t>
      </w:r>
      <w:r>
        <w:rPr/>
        <w:t>type II acute-phase Protein. </w:t>
      </w:r>
      <w:r>
        <w:rPr>
          <w:i/>
        </w:rPr>
        <w:t>Blood.</w:t>
      </w:r>
      <w:r>
        <w:rPr/>
        <w:t>101(</w:t>
      </w:r>
      <w:r>
        <w:rPr>
          <w:b/>
        </w:rPr>
        <w:t>7</w:t>
      </w:r>
      <w:r>
        <w:rPr/>
        <w:t>): 2461-2463.</w:t>
      </w:r>
    </w:p>
    <w:p>
      <w:pPr>
        <w:pStyle w:val="BodyText"/>
      </w:pPr>
    </w:p>
    <w:p>
      <w:pPr>
        <w:spacing w:before="0"/>
        <w:ind w:left="1280" w:right="0" w:hanging="720"/>
        <w:jc w:val="left"/>
        <w:rPr>
          <w:sz w:val="24"/>
        </w:rPr>
      </w:pPr>
      <w:r>
        <w:rPr>
          <w:sz w:val="24"/>
        </w:rPr>
        <w:t>Ganz,</w:t>
      </w:r>
      <w:r>
        <w:rPr>
          <w:spacing w:val="40"/>
          <w:sz w:val="24"/>
        </w:rPr>
        <w:t> </w:t>
      </w:r>
      <w:r>
        <w:rPr>
          <w:sz w:val="24"/>
        </w:rPr>
        <w:t>T.</w:t>
      </w:r>
      <w:r>
        <w:rPr>
          <w:spacing w:val="40"/>
          <w:sz w:val="24"/>
        </w:rPr>
        <w:t> </w:t>
      </w:r>
      <w:r>
        <w:rPr>
          <w:sz w:val="24"/>
        </w:rPr>
        <w:t>(2005).Hepcidin-</w:t>
      </w:r>
      <w:r>
        <w:rPr>
          <w:spacing w:val="40"/>
          <w:sz w:val="24"/>
        </w:rPr>
        <w:t> </w:t>
      </w:r>
      <w:r>
        <w:rPr>
          <w:sz w:val="24"/>
        </w:rPr>
        <w:t>a</w:t>
      </w:r>
      <w:r>
        <w:rPr>
          <w:spacing w:val="40"/>
          <w:sz w:val="24"/>
        </w:rPr>
        <w:t> </w:t>
      </w:r>
      <w:r>
        <w:rPr>
          <w:sz w:val="24"/>
        </w:rPr>
        <w:t>regulator</w:t>
      </w:r>
      <w:r>
        <w:rPr>
          <w:spacing w:val="40"/>
          <w:sz w:val="24"/>
        </w:rPr>
        <w:t> </w:t>
      </w:r>
      <w:r>
        <w:rPr>
          <w:sz w:val="24"/>
        </w:rPr>
        <w:t>of</w:t>
      </w:r>
      <w:r>
        <w:rPr>
          <w:spacing w:val="40"/>
          <w:sz w:val="24"/>
        </w:rPr>
        <w:t> </w:t>
      </w:r>
      <w:r>
        <w:rPr>
          <w:sz w:val="24"/>
        </w:rPr>
        <w:t>intestinal</w:t>
      </w:r>
      <w:r>
        <w:rPr>
          <w:spacing w:val="40"/>
          <w:sz w:val="24"/>
        </w:rPr>
        <w:t> </w:t>
      </w:r>
      <w:r>
        <w:rPr>
          <w:sz w:val="24"/>
        </w:rPr>
        <w:t>iron</w:t>
      </w:r>
      <w:r>
        <w:rPr>
          <w:spacing w:val="40"/>
          <w:sz w:val="24"/>
        </w:rPr>
        <w:t> </w:t>
      </w:r>
      <w:r>
        <w:rPr>
          <w:sz w:val="24"/>
        </w:rPr>
        <w:t>absorption</w:t>
      </w:r>
      <w:r>
        <w:rPr>
          <w:spacing w:val="40"/>
          <w:sz w:val="24"/>
        </w:rPr>
        <w:t> </w:t>
      </w:r>
      <w:r>
        <w:rPr>
          <w:sz w:val="24"/>
        </w:rPr>
        <w:t>and</w:t>
      </w:r>
      <w:r>
        <w:rPr>
          <w:spacing w:val="40"/>
          <w:sz w:val="24"/>
        </w:rPr>
        <w:t> </w:t>
      </w:r>
      <w:r>
        <w:rPr>
          <w:sz w:val="24"/>
        </w:rPr>
        <w:t>iron</w:t>
      </w:r>
      <w:r>
        <w:rPr>
          <w:spacing w:val="40"/>
          <w:sz w:val="24"/>
        </w:rPr>
        <w:t> </w:t>
      </w:r>
      <w:r>
        <w:rPr>
          <w:sz w:val="24"/>
        </w:rPr>
        <w:t>recycling</w:t>
      </w:r>
      <w:r>
        <w:rPr>
          <w:spacing w:val="40"/>
          <w:sz w:val="24"/>
        </w:rPr>
        <w:t> </w:t>
      </w:r>
      <w:r>
        <w:rPr>
          <w:sz w:val="24"/>
        </w:rPr>
        <w:t>by macrophages.</w:t>
      </w:r>
      <w:r>
        <w:rPr>
          <w:i/>
          <w:sz w:val="24"/>
        </w:rPr>
        <w:t>Best Practice and Research Clinical Haematology</w:t>
      </w:r>
      <w:r>
        <w:rPr>
          <w:sz w:val="24"/>
        </w:rPr>
        <w:t>; 18(</w:t>
      </w:r>
      <w:r>
        <w:rPr>
          <w:b/>
          <w:sz w:val="24"/>
        </w:rPr>
        <w:t>2</w:t>
      </w:r>
      <w:r>
        <w:rPr>
          <w:sz w:val="24"/>
        </w:rPr>
        <w:t>): 171-182.</w:t>
      </w:r>
    </w:p>
    <w:p>
      <w:pPr>
        <w:pStyle w:val="BodyText"/>
      </w:pPr>
    </w:p>
    <w:p>
      <w:pPr>
        <w:spacing w:before="0"/>
        <w:ind w:left="1280" w:right="0" w:hanging="720"/>
        <w:jc w:val="left"/>
        <w:rPr>
          <w:i/>
          <w:sz w:val="24"/>
        </w:rPr>
      </w:pPr>
      <w:r>
        <w:rPr>
          <w:sz w:val="24"/>
        </w:rPr>
        <w:t>Garn S.M., Ridella S.A., Petzold A.S., Falkner F., (1981): Maternal haematologic levels and pregnancy outcomes. </w:t>
      </w:r>
      <w:r>
        <w:rPr>
          <w:i/>
          <w:sz w:val="24"/>
        </w:rPr>
        <w:t>Seminars in Perinatology </w:t>
      </w:r>
      <w:r>
        <w:rPr>
          <w:b/>
          <w:i/>
          <w:sz w:val="24"/>
        </w:rPr>
        <w:t>5: </w:t>
      </w:r>
      <w:r>
        <w:rPr>
          <w:i/>
          <w:sz w:val="24"/>
        </w:rPr>
        <w:t>155 -162.</w:t>
      </w:r>
    </w:p>
    <w:p>
      <w:pPr>
        <w:pStyle w:val="BodyText"/>
        <w:rPr>
          <w:i/>
        </w:rPr>
      </w:pPr>
    </w:p>
    <w:p>
      <w:pPr>
        <w:spacing w:before="1"/>
        <w:ind w:left="1280" w:right="772" w:hanging="720"/>
        <w:jc w:val="left"/>
        <w:rPr>
          <w:sz w:val="24"/>
        </w:rPr>
      </w:pPr>
      <w:r>
        <w:rPr>
          <w:sz w:val="24"/>
        </w:rPr>
        <w:t>Gasche,</w:t>
      </w:r>
      <w:r>
        <w:rPr>
          <w:spacing w:val="-4"/>
          <w:sz w:val="24"/>
        </w:rPr>
        <w:t> </w:t>
      </w:r>
      <w:r>
        <w:rPr>
          <w:sz w:val="24"/>
        </w:rPr>
        <w:t>C.,</w:t>
      </w:r>
      <w:r>
        <w:rPr>
          <w:spacing w:val="-2"/>
          <w:sz w:val="24"/>
        </w:rPr>
        <w:t> </w:t>
      </w:r>
      <w:r>
        <w:rPr>
          <w:sz w:val="24"/>
        </w:rPr>
        <w:t>Lomer,</w:t>
      </w:r>
      <w:r>
        <w:rPr>
          <w:spacing w:val="-4"/>
          <w:sz w:val="24"/>
        </w:rPr>
        <w:t> </w:t>
      </w:r>
      <w:r>
        <w:rPr>
          <w:sz w:val="24"/>
        </w:rPr>
        <w:t>M.</w:t>
      </w:r>
      <w:r>
        <w:rPr>
          <w:spacing w:val="-4"/>
          <w:sz w:val="24"/>
        </w:rPr>
        <w:t> </w:t>
      </w:r>
      <w:r>
        <w:rPr>
          <w:sz w:val="24"/>
        </w:rPr>
        <w:t>C.</w:t>
      </w:r>
      <w:r>
        <w:rPr>
          <w:spacing w:val="-4"/>
          <w:sz w:val="24"/>
        </w:rPr>
        <w:t> </w:t>
      </w:r>
      <w:r>
        <w:rPr>
          <w:sz w:val="24"/>
        </w:rPr>
        <w:t>E.,</w:t>
      </w:r>
      <w:r>
        <w:rPr>
          <w:spacing w:val="-4"/>
          <w:sz w:val="24"/>
        </w:rPr>
        <w:t> </w:t>
      </w:r>
      <w:r>
        <w:rPr>
          <w:sz w:val="24"/>
        </w:rPr>
        <w:t>Cavill, I.</w:t>
      </w:r>
      <w:r>
        <w:rPr>
          <w:spacing w:val="-4"/>
          <w:sz w:val="24"/>
        </w:rPr>
        <w:t> </w:t>
      </w:r>
      <w:r>
        <w:rPr>
          <w:sz w:val="24"/>
        </w:rPr>
        <w:t>and</w:t>
      </w:r>
      <w:r>
        <w:rPr>
          <w:spacing w:val="-4"/>
          <w:sz w:val="24"/>
        </w:rPr>
        <w:t> </w:t>
      </w:r>
      <w:r>
        <w:rPr>
          <w:sz w:val="24"/>
        </w:rPr>
        <w:t>Weiss,</w:t>
      </w:r>
      <w:r>
        <w:rPr>
          <w:spacing w:val="-2"/>
          <w:sz w:val="24"/>
        </w:rPr>
        <w:t> </w:t>
      </w:r>
      <w:r>
        <w:rPr>
          <w:sz w:val="24"/>
        </w:rPr>
        <w:t>G.</w:t>
      </w:r>
      <w:r>
        <w:rPr>
          <w:spacing w:val="-4"/>
          <w:sz w:val="24"/>
        </w:rPr>
        <w:t> </w:t>
      </w:r>
      <w:r>
        <w:rPr>
          <w:sz w:val="24"/>
        </w:rPr>
        <w:t>(2004)</w:t>
      </w:r>
      <w:r>
        <w:rPr>
          <w:spacing w:val="-3"/>
          <w:sz w:val="24"/>
        </w:rPr>
        <w:t> </w:t>
      </w:r>
      <w:r>
        <w:rPr>
          <w:sz w:val="24"/>
        </w:rPr>
        <w:t>Iron,</w:t>
      </w:r>
      <w:r>
        <w:rPr>
          <w:spacing w:val="-1"/>
          <w:sz w:val="24"/>
        </w:rPr>
        <w:t> </w:t>
      </w:r>
      <w:r>
        <w:rPr>
          <w:sz w:val="24"/>
        </w:rPr>
        <w:t>Anaemia</w:t>
      </w:r>
      <w:r>
        <w:rPr>
          <w:spacing w:val="-3"/>
          <w:sz w:val="24"/>
        </w:rPr>
        <w:t> </w:t>
      </w:r>
      <w:r>
        <w:rPr>
          <w:sz w:val="24"/>
        </w:rPr>
        <w:t>and</w:t>
      </w:r>
      <w:r>
        <w:rPr>
          <w:spacing w:val="-1"/>
          <w:sz w:val="24"/>
        </w:rPr>
        <w:t> </w:t>
      </w:r>
      <w:r>
        <w:rPr>
          <w:sz w:val="24"/>
        </w:rPr>
        <w:t>Inflammatory Bowel Diseases.</w:t>
      </w:r>
      <w:r>
        <w:rPr>
          <w:i/>
          <w:sz w:val="24"/>
        </w:rPr>
        <w:t>Gastroenterology</w:t>
      </w:r>
      <w:r>
        <w:rPr>
          <w:sz w:val="24"/>
        </w:rPr>
        <w:t>.</w:t>
      </w:r>
      <w:r>
        <w:rPr>
          <w:i/>
          <w:sz w:val="24"/>
        </w:rPr>
        <w:t>British Medical Journal.</w:t>
      </w:r>
      <w:r>
        <w:rPr>
          <w:b/>
          <w:sz w:val="24"/>
        </w:rPr>
        <w:t>53</w:t>
      </w:r>
      <w:r>
        <w:rPr>
          <w:sz w:val="24"/>
        </w:rPr>
        <w:t>(8): 1190-1197.</w:t>
      </w:r>
    </w:p>
    <w:p>
      <w:pPr>
        <w:spacing w:after="0"/>
        <w:jc w:val="left"/>
        <w:rPr>
          <w:sz w:val="24"/>
        </w:rPr>
        <w:sectPr>
          <w:pgSz w:w="11910" w:h="16840"/>
          <w:pgMar w:header="0" w:footer="1067" w:top="1340" w:bottom="1260" w:left="880" w:right="640"/>
        </w:sectPr>
      </w:pPr>
    </w:p>
    <w:p>
      <w:pPr>
        <w:pStyle w:val="BodyText"/>
        <w:spacing w:before="66"/>
        <w:ind w:left="560"/>
        <w:jc w:val="both"/>
      </w:pPr>
      <w:r>
        <w:rPr/>
        <w:t>Gazzinelli,</w:t>
      </w:r>
      <w:r>
        <w:rPr>
          <w:spacing w:val="1"/>
        </w:rPr>
        <w:t> </w:t>
      </w:r>
      <w:r>
        <w:rPr/>
        <w:t>R.T.,</w:t>
      </w:r>
      <w:r>
        <w:rPr>
          <w:spacing w:val="3"/>
        </w:rPr>
        <w:t> </w:t>
      </w:r>
      <w:r>
        <w:rPr/>
        <w:t>Wysocka,</w:t>
      </w:r>
      <w:r>
        <w:rPr>
          <w:spacing w:val="4"/>
        </w:rPr>
        <w:t> </w:t>
      </w:r>
      <w:r>
        <w:rPr/>
        <w:t>M.,</w:t>
      </w:r>
      <w:r>
        <w:rPr>
          <w:spacing w:val="3"/>
        </w:rPr>
        <w:t> </w:t>
      </w:r>
      <w:r>
        <w:rPr/>
        <w:t>Hayashi,</w:t>
      </w:r>
      <w:r>
        <w:rPr>
          <w:spacing w:val="4"/>
        </w:rPr>
        <w:t> </w:t>
      </w:r>
      <w:r>
        <w:rPr/>
        <w:t>S.,</w:t>
      </w:r>
      <w:r>
        <w:rPr>
          <w:spacing w:val="4"/>
        </w:rPr>
        <w:t> </w:t>
      </w:r>
      <w:r>
        <w:rPr/>
        <w:t>Denkers,</w:t>
      </w:r>
      <w:r>
        <w:rPr>
          <w:spacing w:val="3"/>
        </w:rPr>
        <w:t> </w:t>
      </w:r>
      <w:r>
        <w:rPr/>
        <w:t>E.</w:t>
      </w:r>
      <w:r>
        <w:rPr>
          <w:spacing w:val="4"/>
        </w:rPr>
        <w:t> </w:t>
      </w:r>
      <w:r>
        <w:rPr/>
        <w:t>Y.,</w:t>
      </w:r>
      <w:r>
        <w:rPr>
          <w:spacing w:val="5"/>
        </w:rPr>
        <w:t> </w:t>
      </w:r>
      <w:r>
        <w:rPr/>
        <w:t>Hieny,</w:t>
      </w:r>
      <w:r>
        <w:rPr>
          <w:spacing w:val="3"/>
        </w:rPr>
        <w:t> </w:t>
      </w:r>
      <w:r>
        <w:rPr/>
        <w:t>S.,</w:t>
      </w:r>
      <w:r>
        <w:rPr>
          <w:spacing w:val="4"/>
        </w:rPr>
        <w:t> </w:t>
      </w:r>
      <w:r>
        <w:rPr/>
        <w:t>Caspar,</w:t>
      </w:r>
      <w:r>
        <w:rPr>
          <w:spacing w:val="2"/>
        </w:rPr>
        <w:t> </w:t>
      </w:r>
      <w:r>
        <w:rPr/>
        <w:t>P.,</w:t>
      </w:r>
      <w:r>
        <w:rPr>
          <w:spacing w:val="4"/>
        </w:rPr>
        <w:t> </w:t>
      </w:r>
      <w:r>
        <w:rPr>
          <w:spacing w:val="-2"/>
        </w:rPr>
        <w:t>Trinchieri,</w:t>
      </w:r>
    </w:p>
    <w:p>
      <w:pPr>
        <w:spacing w:line="237" w:lineRule="auto" w:before="5"/>
        <w:ind w:left="1280" w:right="796" w:firstLine="0"/>
        <w:jc w:val="both"/>
        <w:rPr>
          <w:sz w:val="24"/>
        </w:rPr>
      </w:pPr>
      <w:r>
        <w:rPr>
          <w:sz w:val="24"/>
        </w:rPr>
        <w:t>G. and Sher, A. (1994). “Parasite-induced IL-12 stimulates early IFN-</w:t>
      </w:r>
      <w:r>
        <w:rPr>
          <w:rFonts w:ascii="Symbol" w:hAnsi="Symbol"/>
          <w:sz w:val="24"/>
        </w:rPr>
        <w:t></w:t>
      </w:r>
      <w:r>
        <w:rPr>
          <w:sz w:val="24"/>
        </w:rPr>
        <w:t> synthesis and resistance during acute infection with </w:t>
      </w:r>
      <w:r>
        <w:rPr>
          <w:i/>
          <w:sz w:val="24"/>
        </w:rPr>
        <w:t>Toxoplasma gondii</w:t>
      </w:r>
      <w:r>
        <w:rPr>
          <w:sz w:val="24"/>
        </w:rPr>
        <w:t>”.</w:t>
      </w:r>
      <w:r>
        <w:rPr>
          <w:i/>
          <w:sz w:val="24"/>
        </w:rPr>
        <w:t>Journal of Immunology</w:t>
      </w:r>
      <w:r>
        <w:rPr>
          <w:sz w:val="24"/>
        </w:rPr>
        <w:t>; 153(</w:t>
      </w:r>
      <w:r>
        <w:rPr>
          <w:b/>
          <w:sz w:val="24"/>
        </w:rPr>
        <w:t>6</w:t>
      </w:r>
      <w:r>
        <w:rPr>
          <w:sz w:val="24"/>
        </w:rPr>
        <w:t>): 2533- 2543.</w:t>
      </w:r>
    </w:p>
    <w:p>
      <w:pPr>
        <w:pStyle w:val="BodyText"/>
        <w:spacing w:before="3"/>
      </w:pPr>
    </w:p>
    <w:p>
      <w:pPr>
        <w:pStyle w:val="BodyText"/>
        <w:ind w:left="1280" w:right="795" w:hanging="720"/>
        <w:jc w:val="both"/>
      </w:pPr>
      <w:r>
        <w:rPr/>
        <w:t>Germain, S. J., Sacks, G. P., Soorana, S. R., Sargent, I. L. and Redman, C. W. (2007). Systemic inflammatory priming in normal pregnancy and preeclampsia: the role of circulating syncytiotrophoblast microparticles. </w:t>
      </w:r>
      <w:r>
        <w:rPr>
          <w:i/>
        </w:rPr>
        <w:t>Journal of Immunology</w:t>
      </w:r>
      <w:r>
        <w:rPr/>
        <w:t>; 178(</w:t>
      </w:r>
      <w:r>
        <w:rPr>
          <w:b/>
        </w:rPr>
        <w:t>9</w:t>
      </w:r>
      <w:r>
        <w:rPr/>
        <w:t>): 5949- </w:t>
      </w:r>
      <w:r>
        <w:rPr>
          <w:spacing w:val="-2"/>
        </w:rPr>
        <w:t>5956.</w:t>
      </w:r>
    </w:p>
    <w:p>
      <w:pPr>
        <w:pStyle w:val="BodyText"/>
      </w:pPr>
    </w:p>
    <w:p>
      <w:pPr>
        <w:pStyle w:val="BodyText"/>
        <w:ind w:left="1280" w:right="809" w:hanging="720"/>
      </w:pPr>
      <w:r>
        <w:rPr/>
        <w:t>Gordeuk, V., Thuma, P., Brittenham, G., McLaren, C., Parry, D., Backenstose, A., Biemba, G., Msiska, R., Holmes, L., and McKinley, E (1992).Effect of Iron chelation therapy in</w:t>
      </w:r>
      <w:r>
        <w:rPr>
          <w:spacing w:val="-3"/>
        </w:rPr>
        <w:t> </w:t>
      </w:r>
      <w:r>
        <w:rPr/>
        <w:t>recovery</w:t>
      </w:r>
      <w:r>
        <w:rPr>
          <w:spacing w:val="-8"/>
        </w:rPr>
        <w:t> </w:t>
      </w:r>
      <w:r>
        <w:rPr/>
        <w:t>from</w:t>
      </w:r>
      <w:r>
        <w:rPr>
          <w:spacing w:val="-3"/>
        </w:rPr>
        <w:t> </w:t>
      </w:r>
      <w:r>
        <w:rPr/>
        <w:t>deep</w:t>
      </w:r>
      <w:r>
        <w:rPr>
          <w:spacing w:val="-3"/>
        </w:rPr>
        <w:t> </w:t>
      </w:r>
      <w:r>
        <w:rPr/>
        <w:t>coma</w:t>
      </w:r>
      <w:r>
        <w:rPr>
          <w:spacing w:val="-3"/>
        </w:rPr>
        <w:t> </w:t>
      </w:r>
      <w:r>
        <w:rPr/>
        <w:t>in</w:t>
      </w:r>
      <w:r>
        <w:rPr>
          <w:spacing w:val="-3"/>
        </w:rPr>
        <w:t> </w:t>
      </w:r>
      <w:r>
        <w:rPr/>
        <w:t>children</w:t>
      </w:r>
      <w:r>
        <w:rPr>
          <w:spacing w:val="-3"/>
        </w:rPr>
        <w:t> </w:t>
      </w:r>
      <w:r>
        <w:rPr/>
        <w:t>with</w:t>
      </w:r>
      <w:r>
        <w:rPr>
          <w:spacing w:val="-3"/>
        </w:rPr>
        <w:t> </w:t>
      </w:r>
      <w:r>
        <w:rPr/>
        <w:t>celebral</w:t>
      </w:r>
      <w:r>
        <w:rPr>
          <w:spacing w:val="-3"/>
        </w:rPr>
        <w:t> </w:t>
      </w:r>
      <w:r>
        <w:rPr/>
        <w:t>malaria.</w:t>
      </w:r>
      <w:r>
        <w:rPr>
          <w:i/>
        </w:rPr>
        <w:t>New</w:t>
      </w:r>
      <w:r>
        <w:rPr>
          <w:i/>
          <w:spacing w:val="-3"/>
        </w:rPr>
        <w:t> </w:t>
      </w:r>
      <w:r>
        <w:rPr>
          <w:i/>
        </w:rPr>
        <w:t>England</w:t>
      </w:r>
      <w:r>
        <w:rPr>
          <w:i/>
          <w:spacing w:val="-1"/>
        </w:rPr>
        <w:t> </w:t>
      </w:r>
      <w:r>
        <w:rPr>
          <w:i/>
        </w:rPr>
        <w:t>Journal</w:t>
      </w:r>
      <w:r>
        <w:rPr>
          <w:i/>
          <w:spacing w:val="-3"/>
        </w:rPr>
        <w:t> </w:t>
      </w:r>
      <w:r>
        <w:rPr>
          <w:i/>
        </w:rPr>
        <w:t>of Medicine; </w:t>
      </w:r>
      <w:r>
        <w:rPr/>
        <w:t>327</w:t>
      </w:r>
      <w:r>
        <w:rPr>
          <w:b/>
        </w:rPr>
        <w:t>(21): </w:t>
      </w:r>
      <w:r>
        <w:rPr/>
        <w:t>1473 – 1477</w:t>
      </w:r>
    </w:p>
    <w:p>
      <w:pPr>
        <w:pStyle w:val="BodyText"/>
      </w:pPr>
    </w:p>
    <w:p>
      <w:pPr>
        <w:pStyle w:val="BodyText"/>
        <w:spacing w:before="1"/>
        <w:ind w:left="1280" w:right="795" w:hanging="720"/>
        <w:jc w:val="both"/>
      </w:pPr>
      <w:r>
        <w:rPr/>
        <w:t>Graziadei, I., Gaggl, S. and Kaserbacher, R. (1994). The Acute Phase Protein Alpha 1- antitrpsin inhibits growth and Proliferation of Human early Erythroid Progenitor cells (burst-forming</w:t>
      </w:r>
      <w:r>
        <w:rPr>
          <w:spacing w:val="-2"/>
        </w:rPr>
        <w:t> </w:t>
      </w:r>
      <w:r>
        <w:rPr/>
        <w:t>units –Erythroid)</w:t>
      </w:r>
      <w:r>
        <w:rPr>
          <w:spacing w:val="-3"/>
        </w:rPr>
        <w:t> </w:t>
      </w:r>
      <w:r>
        <w:rPr/>
        <w:t>and</w:t>
      </w:r>
      <w:r>
        <w:rPr>
          <w:spacing w:val="-2"/>
        </w:rPr>
        <w:t> </w:t>
      </w:r>
      <w:r>
        <w:rPr/>
        <w:t>of</w:t>
      </w:r>
      <w:r>
        <w:rPr>
          <w:spacing w:val="-3"/>
        </w:rPr>
        <w:t> </w:t>
      </w:r>
      <w:r>
        <w:rPr/>
        <w:t>Human</w:t>
      </w:r>
      <w:r>
        <w:rPr>
          <w:spacing w:val="-2"/>
        </w:rPr>
        <w:t> </w:t>
      </w:r>
      <w:r>
        <w:rPr/>
        <w:t>Erythroleukemic</w:t>
      </w:r>
      <w:r>
        <w:rPr>
          <w:spacing w:val="-3"/>
        </w:rPr>
        <w:t> </w:t>
      </w:r>
      <w:r>
        <w:rPr/>
        <w:t>cells</w:t>
      </w:r>
      <w:r>
        <w:rPr>
          <w:spacing w:val="-2"/>
        </w:rPr>
        <w:t> </w:t>
      </w:r>
      <w:r>
        <w:rPr/>
        <w:t>(K562)</w:t>
      </w:r>
      <w:r>
        <w:rPr>
          <w:spacing w:val="-3"/>
        </w:rPr>
        <w:t> </w:t>
      </w:r>
      <w:r>
        <w:rPr/>
        <w:t>in</w:t>
      </w:r>
      <w:r>
        <w:rPr>
          <w:spacing w:val="-2"/>
        </w:rPr>
        <w:t> </w:t>
      </w:r>
      <w:r>
        <w:rPr/>
        <w:t>Vitro by Interfering with transferrin iron Uptake. </w:t>
      </w:r>
      <w:r>
        <w:rPr>
          <w:i/>
        </w:rPr>
        <w:t>Blood</w:t>
      </w:r>
      <w:r>
        <w:rPr/>
        <w:t>;</w:t>
      </w:r>
      <w:r>
        <w:rPr>
          <w:b/>
        </w:rPr>
        <w:t>83</w:t>
      </w:r>
      <w:r>
        <w:rPr/>
        <w:t>(1): 260-268</w:t>
      </w:r>
    </w:p>
    <w:p>
      <w:pPr>
        <w:pStyle w:val="BodyText"/>
      </w:pPr>
    </w:p>
    <w:p>
      <w:pPr>
        <w:pStyle w:val="BodyText"/>
        <w:ind w:left="1280" w:right="792" w:hanging="720"/>
        <w:jc w:val="both"/>
      </w:pPr>
      <w:r>
        <w:rPr/>
        <w:t>Gruys, E., Obwolo, M.J. and Toussaint, M.J.M. (1994). Diagnostic significance of the major acute phase proteins in vertinary clinical chemistry: a review. </w:t>
      </w:r>
      <w:r>
        <w:rPr>
          <w:i/>
        </w:rPr>
        <w:t>Vertinary Bulletin, </w:t>
      </w:r>
      <w:r>
        <w:rPr>
          <w:b/>
        </w:rPr>
        <w:t>64: </w:t>
      </w:r>
      <w:r>
        <w:rPr>
          <w:spacing w:val="-2"/>
        </w:rPr>
        <w:t>1009-1018</w:t>
      </w:r>
    </w:p>
    <w:p>
      <w:pPr>
        <w:pStyle w:val="BodyText"/>
      </w:pPr>
    </w:p>
    <w:p>
      <w:pPr>
        <w:spacing w:before="0"/>
        <w:ind w:left="1371" w:right="1048" w:hanging="812"/>
        <w:jc w:val="left"/>
        <w:rPr>
          <w:sz w:val="24"/>
        </w:rPr>
      </w:pPr>
      <w:r>
        <w:rPr>
          <w:sz w:val="24"/>
        </w:rPr>
        <w:t>Guha,</w:t>
      </w:r>
      <w:r>
        <w:rPr>
          <w:spacing w:val="-4"/>
          <w:sz w:val="24"/>
        </w:rPr>
        <w:t> </w:t>
      </w:r>
      <w:r>
        <w:rPr>
          <w:sz w:val="24"/>
        </w:rPr>
        <w:t>M.,</w:t>
      </w:r>
      <w:r>
        <w:rPr>
          <w:spacing w:val="-4"/>
          <w:sz w:val="24"/>
        </w:rPr>
        <w:t> </w:t>
      </w:r>
      <w:r>
        <w:rPr>
          <w:sz w:val="24"/>
        </w:rPr>
        <w:t>Kumar,</w:t>
      </w:r>
      <w:r>
        <w:rPr>
          <w:spacing w:val="-4"/>
          <w:sz w:val="24"/>
        </w:rPr>
        <w:t> </w:t>
      </w:r>
      <w:r>
        <w:rPr>
          <w:sz w:val="24"/>
        </w:rPr>
        <w:t>S.,</w:t>
      </w:r>
      <w:r>
        <w:rPr>
          <w:spacing w:val="-4"/>
          <w:sz w:val="24"/>
        </w:rPr>
        <w:t> </w:t>
      </w:r>
      <w:r>
        <w:rPr>
          <w:sz w:val="24"/>
        </w:rPr>
        <w:t>Choubey,</w:t>
      </w:r>
      <w:r>
        <w:rPr>
          <w:spacing w:val="-2"/>
          <w:sz w:val="24"/>
        </w:rPr>
        <w:t> </w:t>
      </w:r>
      <w:r>
        <w:rPr>
          <w:sz w:val="24"/>
        </w:rPr>
        <w:t>V.,</w:t>
      </w:r>
      <w:r>
        <w:rPr>
          <w:spacing w:val="-4"/>
          <w:sz w:val="24"/>
        </w:rPr>
        <w:t> </w:t>
      </w:r>
      <w:r>
        <w:rPr>
          <w:sz w:val="24"/>
        </w:rPr>
        <w:t>Maity,</w:t>
      </w:r>
      <w:r>
        <w:rPr>
          <w:spacing w:val="-4"/>
          <w:sz w:val="24"/>
        </w:rPr>
        <w:t> </w:t>
      </w:r>
      <w:r>
        <w:rPr>
          <w:sz w:val="24"/>
        </w:rPr>
        <w:t>P.</w:t>
      </w:r>
      <w:r>
        <w:rPr>
          <w:spacing w:val="-4"/>
          <w:sz w:val="24"/>
        </w:rPr>
        <w:t> </w:t>
      </w:r>
      <w:r>
        <w:rPr>
          <w:sz w:val="24"/>
        </w:rPr>
        <w:t>and</w:t>
      </w:r>
      <w:r>
        <w:rPr>
          <w:spacing w:val="-2"/>
          <w:sz w:val="24"/>
        </w:rPr>
        <w:t> </w:t>
      </w:r>
      <w:r>
        <w:rPr>
          <w:sz w:val="24"/>
        </w:rPr>
        <w:t>Bandyopadhyay,</w:t>
      </w:r>
      <w:r>
        <w:rPr>
          <w:spacing w:val="-4"/>
          <w:sz w:val="24"/>
        </w:rPr>
        <w:t> </w:t>
      </w:r>
      <w:r>
        <w:rPr>
          <w:sz w:val="24"/>
        </w:rPr>
        <w:t>U.</w:t>
      </w:r>
      <w:r>
        <w:rPr>
          <w:spacing w:val="-4"/>
          <w:sz w:val="24"/>
        </w:rPr>
        <w:t> </w:t>
      </w:r>
      <w:r>
        <w:rPr>
          <w:sz w:val="24"/>
        </w:rPr>
        <w:t>(2006).</w:t>
      </w:r>
      <w:r>
        <w:rPr>
          <w:spacing w:val="-4"/>
          <w:sz w:val="24"/>
        </w:rPr>
        <w:t> </w:t>
      </w:r>
      <w:r>
        <w:rPr>
          <w:sz w:val="24"/>
        </w:rPr>
        <w:t>Apoptosis</w:t>
      </w:r>
      <w:r>
        <w:rPr>
          <w:spacing w:val="-4"/>
          <w:sz w:val="24"/>
        </w:rPr>
        <w:t> </w:t>
      </w:r>
      <w:r>
        <w:rPr>
          <w:sz w:val="24"/>
        </w:rPr>
        <w:t>in liver during malaria: role of oxidative stress and implication of mitochondrial pathway. </w:t>
      </w:r>
      <w:r>
        <w:rPr>
          <w:i/>
          <w:sz w:val="24"/>
        </w:rPr>
        <w:t>Federation of American Societies of Experimental Biology Journal</w:t>
      </w:r>
      <w:r>
        <w:rPr>
          <w:sz w:val="24"/>
        </w:rPr>
        <w:t>; 7: </w:t>
      </w:r>
      <w:r>
        <w:rPr>
          <w:spacing w:val="-2"/>
          <w:sz w:val="24"/>
        </w:rPr>
        <w:t>1224-1226.</w:t>
      </w:r>
    </w:p>
    <w:p>
      <w:pPr>
        <w:pStyle w:val="BodyText"/>
      </w:pPr>
    </w:p>
    <w:p>
      <w:pPr>
        <w:spacing w:before="0"/>
        <w:ind w:left="1280" w:right="796" w:hanging="720"/>
        <w:jc w:val="both"/>
        <w:rPr>
          <w:sz w:val="24"/>
        </w:rPr>
      </w:pPr>
      <w:r>
        <w:rPr>
          <w:sz w:val="24"/>
        </w:rPr>
        <w:t>Guyatt, H.L. and Snow, R.W. (2001). Malaria in pregnancy is an indirect cause of infant mortality in sub-Saharan Africa. </w:t>
      </w:r>
      <w:r>
        <w:rPr>
          <w:i/>
          <w:sz w:val="24"/>
        </w:rPr>
        <w:t>Transactions of the Royal Society of Tropical Medicine and Hygiene</w:t>
      </w:r>
      <w:r>
        <w:rPr>
          <w:sz w:val="24"/>
        </w:rPr>
        <w:t>; 95(</w:t>
      </w:r>
      <w:r>
        <w:rPr>
          <w:b/>
          <w:sz w:val="24"/>
        </w:rPr>
        <w:t>6</w:t>
      </w:r>
      <w:r>
        <w:rPr>
          <w:sz w:val="24"/>
        </w:rPr>
        <w:t>): 569-576.</w:t>
      </w:r>
    </w:p>
    <w:p>
      <w:pPr>
        <w:pStyle w:val="BodyText"/>
        <w:spacing w:before="1"/>
      </w:pPr>
    </w:p>
    <w:p>
      <w:pPr>
        <w:spacing w:before="0"/>
        <w:ind w:left="1280" w:right="795" w:hanging="720"/>
        <w:jc w:val="both"/>
        <w:rPr>
          <w:sz w:val="24"/>
        </w:rPr>
      </w:pPr>
      <w:r>
        <w:rPr>
          <w:sz w:val="24"/>
        </w:rPr>
        <w:t>Guyatt, H. L. and Snow, R. W. (2001).The epidemiology and burden of </w:t>
      </w:r>
      <w:r>
        <w:rPr>
          <w:i/>
          <w:sz w:val="24"/>
        </w:rPr>
        <w:t>plasmodium falciparum</w:t>
      </w:r>
      <w:r>
        <w:rPr>
          <w:sz w:val="24"/>
        </w:rPr>
        <w:t>-related anaemia among pregnant women in sub-saharan Africa.</w:t>
      </w:r>
      <w:r>
        <w:rPr>
          <w:i/>
          <w:sz w:val="24"/>
        </w:rPr>
        <w:t>American Journal of Tropical Medicine and Hygiene</w:t>
      </w:r>
      <w:r>
        <w:rPr>
          <w:sz w:val="24"/>
        </w:rPr>
        <w:t>; 64: 36-44.</w:t>
      </w:r>
    </w:p>
    <w:p>
      <w:pPr>
        <w:pStyle w:val="BodyText"/>
      </w:pPr>
    </w:p>
    <w:p>
      <w:pPr>
        <w:pStyle w:val="BodyText"/>
        <w:ind w:left="1280" w:right="254" w:hanging="720"/>
      </w:pPr>
      <w:r>
        <w:rPr/>
        <w:t>Haider,</w:t>
      </w:r>
      <w:r>
        <w:rPr>
          <w:spacing w:val="-4"/>
        </w:rPr>
        <w:t> </w:t>
      </w:r>
      <w:r>
        <w:rPr/>
        <w:t>S.</w:t>
      </w:r>
      <w:r>
        <w:rPr>
          <w:spacing w:val="-4"/>
        </w:rPr>
        <w:t> </w:t>
      </w:r>
      <w:r>
        <w:rPr/>
        <w:t>and</w:t>
      </w:r>
      <w:r>
        <w:rPr>
          <w:spacing w:val="-4"/>
        </w:rPr>
        <w:t> </w:t>
      </w:r>
      <w:r>
        <w:rPr/>
        <w:t>Knofler,</w:t>
      </w:r>
      <w:r>
        <w:rPr>
          <w:spacing w:val="-3"/>
        </w:rPr>
        <w:t> </w:t>
      </w:r>
      <w:r>
        <w:rPr/>
        <w:t>M.</w:t>
      </w:r>
      <w:r>
        <w:rPr>
          <w:spacing w:val="-4"/>
        </w:rPr>
        <w:t> </w:t>
      </w:r>
      <w:r>
        <w:rPr/>
        <w:t>(2009).</w:t>
      </w:r>
      <w:r>
        <w:rPr>
          <w:spacing w:val="-3"/>
        </w:rPr>
        <w:t> </w:t>
      </w:r>
      <w:r>
        <w:rPr/>
        <w:t>Human</w:t>
      </w:r>
      <w:r>
        <w:rPr>
          <w:spacing w:val="-4"/>
        </w:rPr>
        <w:t> </w:t>
      </w:r>
      <w:r>
        <w:rPr/>
        <w:t>tumor</w:t>
      </w:r>
      <w:r>
        <w:rPr>
          <w:spacing w:val="-3"/>
        </w:rPr>
        <w:t> </w:t>
      </w:r>
      <w:r>
        <w:rPr/>
        <w:t>necrosis</w:t>
      </w:r>
      <w:r>
        <w:rPr>
          <w:spacing w:val="-4"/>
        </w:rPr>
        <w:t> </w:t>
      </w:r>
      <w:r>
        <w:rPr/>
        <w:t>factor:</w:t>
      </w:r>
      <w:r>
        <w:rPr>
          <w:spacing w:val="-4"/>
        </w:rPr>
        <w:t> </w:t>
      </w:r>
      <w:r>
        <w:rPr/>
        <w:t>physiological</w:t>
      </w:r>
      <w:r>
        <w:rPr>
          <w:spacing w:val="-4"/>
        </w:rPr>
        <w:t> </w:t>
      </w:r>
      <w:r>
        <w:rPr/>
        <w:t>and</w:t>
      </w:r>
      <w:r>
        <w:rPr>
          <w:spacing w:val="-4"/>
        </w:rPr>
        <w:t> </w:t>
      </w:r>
      <w:r>
        <w:rPr/>
        <w:t>pathological roles in placenta and endometrium. </w:t>
      </w:r>
      <w:r>
        <w:rPr>
          <w:i/>
        </w:rPr>
        <w:t>Placenta; </w:t>
      </w:r>
      <w:r>
        <w:rPr/>
        <w:t>30</w:t>
      </w:r>
      <w:r>
        <w:rPr>
          <w:b/>
        </w:rPr>
        <w:t>(2): </w:t>
      </w:r>
      <w:r>
        <w:rPr/>
        <w:t>111 – 123</w:t>
      </w:r>
    </w:p>
    <w:p>
      <w:pPr>
        <w:pStyle w:val="BodyText"/>
      </w:pPr>
    </w:p>
    <w:p>
      <w:pPr>
        <w:pStyle w:val="BodyText"/>
        <w:ind w:left="1280" w:right="798" w:hanging="720"/>
        <w:jc w:val="both"/>
      </w:pPr>
      <w:r>
        <w:rPr/>
        <w:t>Hallberg, L., Bengtsson, C., Lapidus, L., Lindstedt, G., Lundberg, P. A. and Hulten, L. (1993). Screening for iron deficiency: an analysis based on bone-marrow</w:t>
      </w:r>
      <w:r>
        <w:rPr>
          <w:spacing w:val="40"/>
        </w:rPr>
        <w:t> </w:t>
      </w:r>
      <w:r>
        <w:rPr/>
        <w:t>examinations and serum ferritin determinations in a population sample of women. </w:t>
      </w:r>
      <w:r>
        <w:rPr>
          <w:i/>
        </w:rPr>
        <w:t>British Journal of Haematology </w:t>
      </w:r>
      <w:r>
        <w:rPr>
          <w:b/>
        </w:rPr>
        <w:t>(85):</w:t>
      </w:r>
      <w:r>
        <w:rPr/>
        <w:t>787-798</w:t>
      </w:r>
    </w:p>
    <w:p>
      <w:pPr>
        <w:pStyle w:val="BodyText"/>
        <w:spacing w:before="1"/>
      </w:pPr>
    </w:p>
    <w:p>
      <w:pPr>
        <w:spacing w:before="0"/>
        <w:ind w:left="1280" w:right="795" w:hanging="720"/>
        <w:jc w:val="both"/>
        <w:rPr>
          <w:sz w:val="24"/>
        </w:rPr>
      </w:pPr>
      <w:r>
        <w:rPr>
          <w:sz w:val="24"/>
        </w:rPr>
        <w:t>Haq, I. U., Butt, I. F., Hassan, K., Asif, N., Tariq, W. and Mateen, Y. (2008). Iron status in non-anaemic pregnant females during the third trimester. </w:t>
      </w:r>
      <w:r>
        <w:rPr>
          <w:i/>
          <w:sz w:val="24"/>
        </w:rPr>
        <w:t>Annals of Pakistan Institute of Medical Sciences</w:t>
      </w:r>
      <w:r>
        <w:rPr>
          <w:sz w:val="24"/>
        </w:rPr>
        <w:t>; 4(</w:t>
      </w:r>
      <w:r>
        <w:rPr>
          <w:b/>
          <w:sz w:val="24"/>
        </w:rPr>
        <w:t>2</w:t>
      </w:r>
      <w:r>
        <w:rPr>
          <w:sz w:val="24"/>
        </w:rPr>
        <w:t>): 88-91.</w:t>
      </w:r>
    </w:p>
    <w:p>
      <w:pPr>
        <w:spacing w:after="0"/>
        <w:jc w:val="both"/>
        <w:rPr>
          <w:sz w:val="24"/>
        </w:rPr>
        <w:sectPr>
          <w:pgSz w:w="11910" w:h="16840"/>
          <w:pgMar w:header="0" w:footer="1067" w:top="1340" w:bottom="1260" w:left="880" w:right="640"/>
        </w:sectPr>
      </w:pPr>
    </w:p>
    <w:p>
      <w:pPr>
        <w:spacing w:before="70"/>
        <w:ind w:left="1280" w:right="795" w:hanging="720"/>
        <w:jc w:val="left"/>
        <w:rPr>
          <w:sz w:val="24"/>
        </w:rPr>
      </w:pPr>
      <w:r>
        <w:rPr>
          <w:sz w:val="24"/>
        </w:rPr>
        <w:t>Haurani,</w:t>
      </w:r>
      <w:r>
        <w:rPr>
          <w:spacing w:val="-4"/>
          <w:sz w:val="24"/>
        </w:rPr>
        <w:t> </w:t>
      </w:r>
      <w:r>
        <w:rPr>
          <w:sz w:val="24"/>
        </w:rPr>
        <w:t>F.</w:t>
      </w:r>
      <w:r>
        <w:rPr>
          <w:spacing w:val="-2"/>
          <w:sz w:val="24"/>
        </w:rPr>
        <w:t> </w:t>
      </w:r>
      <w:r>
        <w:rPr>
          <w:sz w:val="24"/>
        </w:rPr>
        <w:t>I.</w:t>
      </w:r>
      <w:r>
        <w:rPr>
          <w:spacing w:val="-4"/>
          <w:sz w:val="24"/>
        </w:rPr>
        <w:t> </w:t>
      </w:r>
      <w:r>
        <w:rPr>
          <w:sz w:val="24"/>
        </w:rPr>
        <w:t>(2006).Hepcidin</w:t>
      </w:r>
      <w:r>
        <w:rPr>
          <w:spacing w:val="-4"/>
          <w:sz w:val="24"/>
        </w:rPr>
        <w:t> </w:t>
      </w:r>
      <w:r>
        <w:rPr>
          <w:sz w:val="24"/>
        </w:rPr>
        <w:t>and</w:t>
      </w:r>
      <w:r>
        <w:rPr>
          <w:spacing w:val="-3"/>
          <w:sz w:val="24"/>
        </w:rPr>
        <w:t> </w:t>
      </w:r>
      <w:r>
        <w:rPr>
          <w:sz w:val="24"/>
        </w:rPr>
        <w:t>the</w:t>
      </w:r>
      <w:r>
        <w:rPr>
          <w:spacing w:val="-4"/>
          <w:sz w:val="24"/>
        </w:rPr>
        <w:t> </w:t>
      </w:r>
      <w:r>
        <w:rPr>
          <w:sz w:val="24"/>
        </w:rPr>
        <w:t>Anaemia</w:t>
      </w:r>
      <w:r>
        <w:rPr>
          <w:spacing w:val="-5"/>
          <w:sz w:val="24"/>
        </w:rPr>
        <w:t> </w:t>
      </w:r>
      <w:r>
        <w:rPr>
          <w:sz w:val="24"/>
        </w:rPr>
        <w:t>of</w:t>
      </w:r>
      <w:r>
        <w:rPr>
          <w:spacing w:val="-3"/>
          <w:sz w:val="24"/>
        </w:rPr>
        <w:t> </w:t>
      </w:r>
      <w:r>
        <w:rPr>
          <w:sz w:val="24"/>
        </w:rPr>
        <w:t>Chronic</w:t>
      </w:r>
      <w:r>
        <w:rPr>
          <w:spacing w:val="-4"/>
          <w:sz w:val="24"/>
        </w:rPr>
        <w:t> </w:t>
      </w:r>
      <w:r>
        <w:rPr>
          <w:sz w:val="24"/>
        </w:rPr>
        <w:t>Disease.Editorial.</w:t>
      </w:r>
      <w:r>
        <w:rPr>
          <w:i/>
          <w:sz w:val="24"/>
        </w:rPr>
        <w:t>Annals</w:t>
      </w:r>
      <w:r>
        <w:rPr>
          <w:i/>
          <w:spacing w:val="-4"/>
          <w:sz w:val="24"/>
        </w:rPr>
        <w:t> </w:t>
      </w:r>
      <w:r>
        <w:rPr>
          <w:i/>
          <w:sz w:val="24"/>
        </w:rPr>
        <w:t>of Clinical and Laboratory Science</w:t>
      </w:r>
      <w:r>
        <w:rPr>
          <w:sz w:val="24"/>
        </w:rPr>
        <w:t>.</w:t>
      </w:r>
      <w:r>
        <w:rPr>
          <w:b/>
          <w:sz w:val="24"/>
        </w:rPr>
        <w:t>36</w:t>
      </w:r>
      <w:r>
        <w:rPr>
          <w:sz w:val="24"/>
        </w:rPr>
        <w:t>(1):3-6</w:t>
      </w:r>
    </w:p>
    <w:p>
      <w:pPr>
        <w:pStyle w:val="BodyText"/>
      </w:pPr>
    </w:p>
    <w:p>
      <w:pPr>
        <w:pStyle w:val="BodyText"/>
        <w:spacing w:before="1"/>
        <w:ind w:left="1280" w:hanging="720"/>
      </w:pPr>
      <w:r>
        <w:rPr/>
        <w:t>Heinrich,</w:t>
      </w:r>
      <w:r>
        <w:rPr>
          <w:spacing w:val="40"/>
        </w:rPr>
        <w:t> </w:t>
      </w:r>
      <w:r>
        <w:rPr/>
        <w:t>P.</w:t>
      </w:r>
      <w:r>
        <w:rPr>
          <w:spacing w:val="40"/>
        </w:rPr>
        <w:t> </w:t>
      </w:r>
      <w:r>
        <w:rPr/>
        <w:t>C.,</w:t>
      </w:r>
      <w:r>
        <w:rPr>
          <w:spacing w:val="40"/>
        </w:rPr>
        <w:t> </w:t>
      </w:r>
      <w:r>
        <w:rPr/>
        <w:t>Castell,</w:t>
      </w:r>
      <w:r>
        <w:rPr>
          <w:spacing w:val="40"/>
        </w:rPr>
        <w:t> </w:t>
      </w:r>
      <w:r>
        <w:rPr/>
        <w:t>T.</w:t>
      </w:r>
      <w:r>
        <w:rPr>
          <w:spacing w:val="40"/>
        </w:rPr>
        <w:t> </w:t>
      </w:r>
      <w:r>
        <w:rPr/>
        <w:t>A.</w:t>
      </w:r>
      <w:r>
        <w:rPr>
          <w:spacing w:val="40"/>
        </w:rPr>
        <w:t> </w:t>
      </w:r>
      <w:r>
        <w:rPr/>
        <w:t>and</w:t>
      </w:r>
      <w:r>
        <w:rPr>
          <w:spacing w:val="40"/>
        </w:rPr>
        <w:t> </w:t>
      </w:r>
      <w:r>
        <w:rPr/>
        <w:t>Andus,</w:t>
      </w:r>
      <w:r>
        <w:rPr>
          <w:spacing w:val="40"/>
        </w:rPr>
        <w:t> </w:t>
      </w:r>
      <w:r>
        <w:rPr/>
        <w:t>T.</w:t>
      </w:r>
      <w:r>
        <w:rPr>
          <w:spacing w:val="40"/>
        </w:rPr>
        <w:t> </w:t>
      </w:r>
      <w:r>
        <w:rPr/>
        <w:t>(1990).Interleukin-6</w:t>
      </w:r>
      <w:r>
        <w:rPr>
          <w:spacing w:val="40"/>
        </w:rPr>
        <w:t> </w:t>
      </w:r>
      <w:r>
        <w:rPr/>
        <w:t>and</w:t>
      </w:r>
      <w:r>
        <w:rPr>
          <w:spacing w:val="40"/>
        </w:rPr>
        <w:t> </w:t>
      </w:r>
      <w:r>
        <w:rPr/>
        <w:t>the</w:t>
      </w:r>
      <w:r>
        <w:rPr>
          <w:spacing w:val="40"/>
        </w:rPr>
        <w:t> </w:t>
      </w:r>
      <w:r>
        <w:rPr/>
        <w:t>acute</w:t>
      </w:r>
      <w:r>
        <w:rPr>
          <w:spacing w:val="40"/>
        </w:rPr>
        <w:t> </w:t>
      </w:r>
      <w:r>
        <w:rPr/>
        <w:t>phase</w:t>
      </w:r>
      <w:r>
        <w:rPr>
          <w:spacing w:val="80"/>
        </w:rPr>
        <w:t> </w:t>
      </w:r>
      <w:r>
        <w:rPr/>
        <w:t>protein.</w:t>
      </w:r>
      <w:r>
        <w:rPr>
          <w:i/>
        </w:rPr>
        <w:t>Biochemistry Journal: </w:t>
      </w:r>
      <w:r>
        <w:rPr/>
        <w:t>265: 621-636</w:t>
      </w:r>
    </w:p>
    <w:p>
      <w:pPr>
        <w:pStyle w:val="BodyText"/>
        <w:spacing w:before="276"/>
        <w:ind w:left="1280" w:right="797" w:hanging="720"/>
        <w:jc w:val="both"/>
      </w:pPr>
      <w:r>
        <w:rPr/>
        <w:t>Herrera, M. A., Rosero, F. and Herrera, S. (1992). Protection against malaria in Aotus monkeys immunized with antigens fused to a universal T-cell epitope: correlation of serum gamma interferon levels with protection. </w:t>
      </w:r>
      <w:r>
        <w:rPr>
          <w:i/>
        </w:rPr>
        <w:t>Infectious Immunity </w:t>
      </w:r>
      <w:r>
        <w:rPr/>
        <w:t>97: 236-241</w:t>
      </w:r>
    </w:p>
    <w:p>
      <w:pPr>
        <w:pStyle w:val="BodyText"/>
        <w:spacing w:before="276"/>
        <w:ind w:left="1280" w:right="797" w:hanging="720"/>
        <w:jc w:val="both"/>
      </w:pPr>
      <w:r>
        <w:rPr/>
        <w:t>Hillman, R. S. and Ault, K. A. (1995). Anaemias associated with a reduced erythropoietin response In: Haematology in Clinical Practice. A Guide to diagnosis and Management.</w:t>
      </w:r>
      <w:r>
        <w:rPr>
          <w:i/>
        </w:rPr>
        <w:t>New York: </w:t>
      </w:r>
      <w:r>
        <w:rPr/>
        <w:t>McGraw-Hill, pp 58-71.</w:t>
      </w:r>
    </w:p>
    <w:p>
      <w:pPr>
        <w:pStyle w:val="BodyText"/>
      </w:pPr>
    </w:p>
    <w:p>
      <w:pPr>
        <w:pStyle w:val="BodyText"/>
        <w:ind w:left="1280" w:right="795" w:hanging="720"/>
      </w:pPr>
      <w:r>
        <w:rPr/>
        <w:t>Hoffbrand,</w:t>
      </w:r>
      <w:r>
        <w:rPr>
          <w:spacing w:val="-4"/>
        </w:rPr>
        <w:t> </w:t>
      </w:r>
      <w:r>
        <w:rPr/>
        <w:t>A.</w:t>
      </w:r>
      <w:r>
        <w:rPr>
          <w:spacing w:val="-4"/>
        </w:rPr>
        <w:t> </w:t>
      </w:r>
      <w:r>
        <w:rPr/>
        <w:t>V.</w:t>
      </w:r>
      <w:r>
        <w:rPr>
          <w:spacing w:val="-4"/>
        </w:rPr>
        <w:t> </w:t>
      </w:r>
      <w:r>
        <w:rPr/>
        <w:t>and</w:t>
      </w:r>
      <w:r>
        <w:rPr>
          <w:spacing w:val="-4"/>
        </w:rPr>
        <w:t> </w:t>
      </w:r>
      <w:r>
        <w:rPr/>
        <w:t>Moss,</w:t>
      </w:r>
      <w:r>
        <w:rPr>
          <w:spacing w:val="-4"/>
        </w:rPr>
        <w:t> </w:t>
      </w:r>
      <w:r>
        <w:rPr/>
        <w:t>P.</w:t>
      </w:r>
      <w:r>
        <w:rPr>
          <w:spacing w:val="-4"/>
        </w:rPr>
        <w:t> </w:t>
      </w:r>
      <w:r>
        <w:rPr/>
        <w:t>A.H.</w:t>
      </w:r>
      <w:r>
        <w:rPr>
          <w:spacing w:val="-4"/>
        </w:rPr>
        <w:t> </w:t>
      </w:r>
      <w:r>
        <w:rPr/>
        <w:t>(2011).Erythropoiesis</w:t>
      </w:r>
      <w:r>
        <w:rPr>
          <w:spacing w:val="-4"/>
        </w:rPr>
        <w:t> </w:t>
      </w:r>
      <w:r>
        <w:rPr/>
        <w:t>and</w:t>
      </w:r>
      <w:r>
        <w:rPr>
          <w:spacing w:val="-4"/>
        </w:rPr>
        <w:t> </w:t>
      </w:r>
      <w:r>
        <w:rPr/>
        <w:t>Anaemia:</w:t>
      </w:r>
      <w:r>
        <w:rPr>
          <w:spacing w:val="-2"/>
        </w:rPr>
        <w:t> </w:t>
      </w:r>
      <w:r>
        <w:rPr/>
        <w:t>In</w:t>
      </w:r>
      <w:r>
        <w:rPr>
          <w:spacing w:val="-2"/>
        </w:rPr>
        <w:t> </w:t>
      </w:r>
      <w:r>
        <w:rPr/>
        <w:t>Essential Haematology. 6</w:t>
      </w:r>
      <w:r>
        <w:rPr>
          <w:vertAlign w:val="superscript"/>
        </w:rPr>
        <w:t>th</w:t>
      </w:r>
      <w:r>
        <w:rPr>
          <w:vertAlign w:val="baseline"/>
        </w:rPr>
        <w:t> Edition, Wiley-Blackwell Coy. UK. Pp 15-32</w:t>
      </w:r>
    </w:p>
    <w:p>
      <w:pPr>
        <w:pStyle w:val="BodyText"/>
      </w:pPr>
    </w:p>
    <w:p>
      <w:pPr>
        <w:pStyle w:val="BodyText"/>
        <w:ind w:left="1280" w:right="766" w:hanging="720"/>
        <w:jc w:val="both"/>
      </w:pPr>
      <w:r>
        <w:rPr/>
        <w:t>Hoffbrand,</w:t>
      </w:r>
      <w:r>
        <w:rPr>
          <w:spacing w:val="-4"/>
        </w:rPr>
        <w:t> </w:t>
      </w:r>
      <w:r>
        <w:rPr/>
        <w:t>A.</w:t>
      </w:r>
      <w:r>
        <w:rPr>
          <w:spacing w:val="-4"/>
        </w:rPr>
        <w:t> </w:t>
      </w:r>
      <w:r>
        <w:rPr/>
        <w:t>V.</w:t>
      </w:r>
      <w:r>
        <w:rPr>
          <w:spacing w:val="-4"/>
        </w:rPr>
        <w:t> </w:t>
      </w:r>
      <w:r>
        <w:rPr/>
        <w:t>and</w:t>
      </w:r>
      <w:r>
        <w:rPr>
          <w:spacing w:val="-4"/>
        </w:rPr>
        <w:t> </w:t>
      </w:r>
      <w:r>
        <w:rPr/>
        <w:t>Moss,</w:t>
      </w:r>
      <w:r>
        <w:rPr>
          <w:spacing w:val="-4"/>
        </w:rPr>
        <w:t> </w:t>
      </w:r>
      <w:r>
        <w:rPr/>
        <w:t>P.</w:t>
      </w:r>
      <w:r>
        <w:rPr>
          <w:spacing w:val="-4"/>
        </w:rPr>
        <w:t> </w:t>
      </w:r>
      <w:r>
        <w:rPr/>
        <w:t>A.H.</w:t>
      </w:r>
      <w:r>
        <w:rPr>
          <w:spacing w:val="-4"/>
        </w:rPr>
        <w:t> </w:t>
      </w:r>
      <w:r>
        <w:rPr/>
        <w:t>(2011).Pregnancy</w:t>
      </w:r>
      <w:r>
        <w:rPr>
          <w:spacing w:val="-7"/>
        </w:rPr>
        <w:t> </w:t>
      </w:r>
      <w:r>
        <w:rPr/>
        <w:t>and</w:t>
      </w:r>
      <w:r>
        <w:rPr>
          <w:spacing w:val="-4"/>
        </w:rPr>
        <w:t> </w:t>
      </w:r>
      <w:r>
        <w:rPr/>
        <w:t>Neonatal</w:t>
      </w:r>
      <w:r>
        <w:rPr>
          <w:spacing w:val="-4"/>
        </w:rPr>
        <w:t> </w:t>
      </w:r>
      <w:r>
        <w:rPr/>
        <w:t>haematology.In</w:t>
      </w:r>
      <w:r>
        <w:rPr>
          <w:spacing w:val="-4"/>
        </w:rPr>
        <w:t> </w:t>
      </w:r>
      <w:r>
        <w:rPr/>
        <w:t>Essential Haematology.6</w:t>
      </w:r>
      <w:r>
        <w:rPr>
          <w:vertAlign w:val="superscript"/>
        </w:rPr>
        <w:t>th</w:t>
      </w:r>
      <w:r>
        <w:rPr>
          <w:vertAlign w:val="baseline"/>
        </w:rPr>
        <w:t> Edition, Wiley-Blackwell coy. UK. Pp 413-423</w:t>
      </w:r>
    </w:p>
    <w:p>
      <w:pPr>
        <w:pStyle w:val="BodyText"/>
      </w:pPr>
    </w:p>
    <w:p>
      <w:pPr>
        <w:pStyle w:val="BodyText"/>
        <w:ind w:left="1280" w:right="796" w:hanging="720"/>
        <w:jc w:val="both"/>
      </w:pPr>
      <w:r>
        <w:rPr/>
        <w:t>Hussain, M. M., Weijun, Y. and Xian-chang, Y. (2012). Mechanisms involved in Cellular Ceramide Homeostasis. </w:t>
      </w:r>
      <w:r>
        <w:rPr>
          <w:i/>
        </w:rPr>
        <w:t>Nutrition and Metabolism.</w:t>
      </w:r>
      <w:r>
        <w:rPr>
          <w:b/>
        </w:rPr>
        <w:t>9 </w:t>
      </w:r>
      <w:r>
        <w:rPr/>
        <w:t>(71): 1-7</w:t>
      </w:r>
    </w:p>
    <w:p>
      <w:pPr>
        <w:pStyle w:val="BodyText"/>
        <w:spacing w:before="1"/>
      </w:pPr>
    </w:p>
    <w:p>
      <w:pPr>
        <w:spacing w:before="0"/>
        <w:ind w:left="1280" w:right="794" w:hanging="720"/>
        <w:jc w:val="both"/>
        <w:rPr>
          <w:sz w:val="24"/>
        </w:rPr>
      </w:pPr>
      <w:r>
        <w:rPr>
          <w:sz w:val="24"/>
        </w:rPr>
        <w:t>Ikram, N., Hassan, K. and Tufail, S. (2004). Cytokines.</w:t>
      </w:r>
      <w:r>
        <w:rPr>
          <w:i/>
          <w:sz w:val="24"/>
        </w:rPr>
        <w:t>International Journal of Pathology</w:t>
      </w:r>
      <w:r>
        <w:rPr>
          <w:sz w:val="24"/>
        </w:rPr>
        <w:t>; 2(</w:t>
      </w:r>
      <w:r>
        <w:rPr>
          <w:b/>
          <w:sz w:val="24"/>
        </w:rPr>
        <w:t>1</w:t>
      </w:r>
      <w:r>
        <w:rPr>
          <w:sz w:val="24"/>
        </w:rPr>
        <w:t>): 47-58.</w:t>
      </w:r>
    </w:p>
    <w:p>
      <w:pPr>
        <w:pStyle w:val="BodyText"/>
      </w:pPr>
    </w:p>
    <w:p>
      <w:pPr>
        <w:spacing w:before="0"/>
        <w:ind w:left="1280" w:right="802" w:hanging="720"/>
        <w:jc w:val="both"/>
        <w:rPr>
          <w:i/>
          <w:sz w:val="24"/>
        </w:rPr>
      </w:pPr>
      <w:r>
        <w:rPr>
          <w:sz w:val="24"/>
        </w:rPr>
        <w:t>Iloabachie G. C and Meniru G. I., (1990): The increasing incidence of Anaemia in pregnancy in Nigeria. </w:t>
      </w:r>
      <w:r>
        <w:rPr>
          <w:i/>
          <w:sz w:val="24"/>
        </w:rPr>
        <w:t>Orient Journal of Medicine </w:t>
      </w:r>
      <w:r>
        <w:rPr>
          <w:b/>
          <w:i/>
          <w:sz w:val="24"/>
        </w:rPr>
        <w:t>2:</w:t>
      </w:r>
      <w:r>
        <w:rPr>
          <w:i/>
          <w:sz w:val="24"/>
        </w:rPr>
        <w:t>194 – 197.</w:t>
      </w:r>
    </w:p>
    <w:p>
      <w:pPr>
        <w:pStyle w:val="BodyText"/>
        <w:rPr>
          <w:i/>
        </w:rPr>
      </w:pPr>
    </w:p>
    <w:p>
      <w:pPr>
        <w:pStyle w:val="BodyText"/>
        <w:ind w:left="1280" w:right="796" w:hanging="720"/>
        <w:jc w:val="both"/>
      </w:pPr>
      <w:r>
        <w:rPr/>
        <w:t>Imashuku, S. (1997). Differential diagnosis of haemophagocytic syndrome: underlying disorders and selection of the most effective treatment. </w:t>
      </w:r>
      <w:r>
        <w:rPr>
          <w:i/>
        </w:rPr>
        <w:t>International Journal of Haematology; </w:t>
      </w:r>
      <w:r>
        <w:rPr/>
        <w:t>66(</w:t>
      </w:r>
      <w:r>
        <w:rPr>
          <w:b/>
        </w:rPr>
        <w:t>2</w:t>
      </w:r>
      <w:r>
        <w:rPr/>
        <w:t>): 135 – 151.</w:t>
      </w:r>
    </w:p>
    <w:p>
      <w:pPr>
        <w:pStyle w:val="BodyText"/>
      </w:pPr>
    </w:p>
    <w:p>
      <w:pPr>
        <w:pStyle w:val="BodyText"/>
        <w:ind w:left="1280" w:right="793" w:hanging="720"/>
        <w:jc w:val="both"/>
      </w:pPr>
      <w:r>
        <w:rPr/>
        <w:t>Imwong, M., Snounou, G., Pukrittayakamee, S., Tanomsing, N., Kim, J. R., Nandy, A., Guthmann, J. P., Nosten, F., Carlton, J., Looareesuwan, S., Nair, S., Sudimack, D., Day, N. P. J., Anderson, T. J. C. and White, N.J. (2007). Relapses of </w:t>
      </w:r>
      <w:r>
        <w:rPr>
          <w:i/>
        </w:rPr>
        <w:t>plasmodium vivax </w:t>
      </w:r>
      <w:r>
        <w:rPr/>
        <w:t>infection usually result from activation of heterologous hypnozoites. </w:t>
      </w:r>
      <w:r>
        <w:rPr>
          <w:i/>
        </w:rPr>
        <w:t>Journal of Infectious Diseases</w:t>
      </w:r>
      <w:r>
        <w:rPr/>
        <w:t>; 195(</w:t>
      </w:r>
      <w:r>
        <w:rPr>
          <w:b/>
        </w:rPr>
        <w:t>7</w:t>
      </w:r>
      <w:r>
        <w:rPr/>
        <w:t>): 927-933.</w:t>
      </w:r>
    </w:p>
    <w:p>
      <w:pPr>
        <w:pStyle w:val="BodyText"/>
        <w:spacing w:before="1"/>
      </w:pPr>
    </w:p>
    <w:p>
      <w:pPr>
        <w:spacing w:before="0"/>
        <w:ind w:left="1280" w:right="804" w:hanging="720"/>
        <w:jc w:val="both"/>
        <w:rPr>
          <w:sz w:val="24"/>
        </w:rPr>
      </w:pPr>
      <w:r>
        <w:rPr>
          <w:sz w:val="24"/>
        </w:rPr>
        <w:t>Inigo, A. and Manuel, F. (2002).Cytokines in the Pathogenesis and protection against malaria.</w:t>
      </w:r>
      <w:r>
        <w:rPr>
          <w:i/>
          <w:sz w:val="24"/>
        </w:rPr>
        <w:t>Clinical Vaccines Immunology. </w:t>
      </w:r>
      <w:r>
        <w:rPr>
          <w:sz w:val="24"/>
        </w:rPr>
        <w:t>9(</w:t>
      </w:r>
      <w:r>
        <w:rPr>
          <w:b/>
          <w:sz w:val="24"/>
        </w:rPr>
        <w:t>6</w:t>
      </w:r>
      <w:r>
        <w:rPr>
          <w:sz w:val="24"/>
        </w:rPr>
        <w:t>): 1145-1152.</w:t>
      </w:r>
    </w:p>
    <w:p>
      <w:pPr>
        <w:pStyle w:val="BodyText"/>
      </w:pPr>
    </w:p>
    <w:p>
      <w:pPr>
        <w:pStyle w:val="BodyText"/>
        <w:ind w:left="1280" w:right="806" w:hanging="720"/>
        <w:jc w:val="both"/>
      </w:pPr>
      <w:r>
        <w:rPr/>
        <w:t>Innocent, G., Marceline, D. N., Bertrand, P. M. J. and Honore, F. K. (2008). Iron status of malaria patients in Douala- Cameroon. </w:t>
      </w:r>
      <w:r>
        <w:rPr>
          <w:i/>
        </w:rPr>
        <w:t>Pakistan Journal of Nutrition</w:t>
      </w:r>
      <w:r>
        <w:rPr/>
        <w:t>; 7(</w:t>
      </w:r>
      <w:r>
        <w:rPr>
          <w:b/>
        </w:rPr>
        <w:t>5</w:t>
      </w:r>
      <w:r>
        <w:rPr/>
        <w:t>): 620-624.</w:t>
      </w:r>
    </w:p>
    <w:p>
      <w:pPr>
        <w:pStyle w:val="BodyText"/>
      </w:pPr>
    </w:p>
    <w:p>
      <w:pPr>
        <w:pStyle w:val="BodyText"/>
        <w:ind w:left="560"/>
        <w:jc w:val="both"/>
      </w:pPr>
      <w:r>
        <w:rPr/>
        <w:t>Iona</w:t>
      </w:r>
      <w:r>
        <w:rPr>
          <w:spacing w:val="5"/>
        </w:rPr>
        <w:t> </w:t>
      </w:r>
      <w:r>
        <w:rPr/>
        <w:t>O.</w:t>
      </w:r>
      <w:r>
        <w:rPr>
          <w:spacing w:val="6"/>
        </w:rPr>
        <w:t> </w:t>
      </w:r>
      <w:r>
        <w:rPr/>
        <w:t>D.,</w:t>
      </w:r>
      <w:r>
        <w:rPr>
          <w:spacing w:val="5"/>
        </w:rPr>
        <w:t> </w:t>
      </w:r>
      <w:r>
        <w:rPr/>
        <w:t>Rajeshwara,</w:t>
      </w:r>
      <w:r>
        <w:rPr>
          <w:spacing w:val="9"/>
        </w:rPr>
        <w:t> </w:t>
      </w:r>
      <w:r>
        <w:rPr/>
        <w:t>N.</w:t>
      </w:r>
      <w:r>
        <w:rPr>
          <w:spacing w:val="5"/>
        </w:rPr>
        <w:t> </w:t>
      </w:r>
      <w:r>
        <w:rPr/>
        <w:t>A.,</w:t>
      </w:r>
      <w:r>
        <w:rPr>
          <w:spacing w:val="6"/>
        </w:rPr>
        <w:t> </w:t>
      </w:r>
      <w:r>
        <w:rPr/>
        <w:t>Sean,</w:t>
      </w:r>
      <w:r>
        <w:rPr>
          <w:spacing w:val="5"/>
        </w:rPr>
        <w:t> </w:t>
      </w:r>
      <w:r>
        <w:rPr/>
        <w:t>T.</w:t>
      </w:r>
      <w:r>
        <w:rPr>
          <w:spacing w:val="8"/>
        </w:rPr>
        <w:t> </w:t>
      </w:r>
      <w:r>
        <w:rPr/>
        <w:t>A.,</w:t>
      </w:r>
      <w:r>
        <w:rPr>
          <w:spacing w:val="6"/>
        </w:rPr>
        <w:t> </w:t>
      </w:r>
      <w:r>
        <w:rPr/>
        <w:t>Manojkumar,</w:t>
      </w:r>
      <w:r>
        <w:rPr>
          <w:spacing w:val="5"/>
        </w:rPr>
        <w:t> </w:t>
      </w:r>
      <w:r>
        <w:rPr/>
        <w:t>V.,</w:t>
      </w:r>
      <w:r>
        <w:rPr>
          <w:spacing w:val="6"/>
        </w:rPr>
        <w:t> </w:t>
      </w:r>
      <w:r>
        <w:rPr/>
        <w:t>Ramachandra,</w:t>
      </w:r>
      <w:r>
        <w:rPr>
          <w:spacing w:val="6"/>
        </w:rPr>
        <w:t> </w:t>
      </w:r>
      <w:r>
        <w:rPr/>
        <w:t>S.</w:t>
      </w:r>
      <w:r>
        <w:rPr>
          <w:spacing w:val="5"/>
        </w:rPr>
        <w:t> </w:t>
      </w:r>
      <w:r>
        <w:rPr/>
        <w:t>A.,</w:t>
      </w:r>
      <w:r>
        <w:rPr>
          <w:spacing w:val="6"/>
        </w:rPr>
        <w:t> </w:t>
      </w:r>
      <w:r>
        <w:rPr>
          <w:spacing w:val="-2"/>
        </w:rPr>
        <w:t>Christian,</w:t>
      </w:r>
    </w:p>
    <w:p>
      <w:pPr>
        <w:pStyle w:val="BodyText"/>
        <w:ind w:left="1280" w:right="796"/>
        <w:jc w:val="both"/>
      </w:pPr>
      <w:r>
        <w:rPr/>
        <w:t>F. O., Ainong Z., Rosette, M., Rose, L., Diane, W. T. and D-Channe, G. (2001). Gravidity- Dependent Production of Antibodies that Inhibit Binding of Plasmodium falciparum – infected Eruthrocytes to placental chondroitin sulfate Proteoglycan during pregnancy. </w:t>
      </w:r>
      <w:r>
        <w:rPr>
          <w:i/>
        </w:rPr>
        <w:t>Infection and Immunity; </w:t>
      </w:r>
      <w:r>
        <w:rPr/>
        <w:t>69</w:t>
      </w:r>
      <w:r>
        <w:rPr>
          <w:b/>
        </w:rPr>
        <w:t>(12); </w:t>
      </w:r>
      <w:r>
        <w:rPr/>
        <w:t>7487 -7492</w:t>
      </w:r>
    </w:p>
    <w:p>
      <w:pPr>
        <w:spacing w:after="0"/>
        <w:jc w:val="both"/>
        <w:sectPr>
          <w:pgSz w:w="11910" w:h="16840"/>
          <w:pgMar w:header="0" w:footer="1067" w:top="1060" w:bottom="1260" w:left="880" w:right="640"/>
        </w:sectPr>
      </w:pPr>
    </w:p>
    <w:p>
      <w:pPr>
        <w:pStyle w:val="BodyText"/>
        <w:spacing w:before="70"/>
        <w:ind w:left="1280" w:right="799" w:hanging="720"/>
        <w:jc w:val="both"/>
      </w:pPr>
      <w:r>
        <w:rPr/>
        <w:t>Iriemenam, N. C., Dosunimu, A. O., Oyibo, W. A. and Fagbenro-Beyioku, A. F. (2011).Knowledge, attitude, perception of malaria and evaluation of malaria parasitaemia among pregnant women attending antenatal care clinic in metropolitan Lagos, Nigeria.</w:t>
      </w:r>
      <w:r>
        <w:rPr>
          <w:i/>
        </w:rPr>
        <w:t>Journal of Vector Borne Diseases</w:t>
      </w:r>
      <w:r>
        <w:rPr/>
        <w:t>; 48(</w:t>
      </w:r>
      <w:r>
        <w:rPr>
          <w:b/>
        </w:rPr>
        <w:t>1</w:t>
      </w:r>
      <w:r>
        <w:rPr/>
        <w:t>): 12-17.</w:t>
      </w:r>
    </w:p>
    <w:p>
      <w:pPr>
        <w:pStyle w:val="BodyText"/>
      </w:pPr>
    </w:p>
    <w:p>
      <w:pPr>
        <w:spacing w:before="1"/>
        <w:ind w:left="1280" w:right="795" w:hanging="720"/>
        <w:jc w:val="both"/>
        <w:rPr>
          <w:sz w:val="24"/>
        </w:rPr>
      </w:pPr>
      <w:r>
        <w:rPr>
          <w:sz w:val="24"/>
        </w:rPr>
        <w:t>Isah H.S., Fleming, A.F., Ujah, I.A., Ekwempu C.C., (1985): Anaemia and</w:t>
      </w:r>
      <w:r>
        <w:rPr>
          <w:spacing w:val="80"/>
          <w:w w:val="150"/>
          <w:sz w:val="24"/>
        </w:rPr>
        <w:t> </w:t>
      </w:r>
      <w:r>
        <w:rPr>
          <w:sz w:val="24"/>
        </w:rPr>
        <w:t>iron status of pregnant and non-pregnant women in the Guinea Savannah of Nigeria. </w:t>
      </w:r>
      <w:r>
        <w:rPr>
          <w:i/>
          <w:sz w:val="24"/>
        </w:rPr>
        <w:t>Annals of Tropical Medicine and Parasitology</w:t>
      </w:r>
      <w:r>
        <w:rPr>
          <w:b/>
          <w:sz w:val="24"/>
        </w:rPr>
        <w:t>79: </w:t>
      </w:r>
      <w:r>
        <w:rPr>
          <w:sz w:val="24"/>
        </w:rPr>
        <w:t>485-493.</w:t>
      </w:r>
    </w:p>
    <w:p>
      <w:pPr>
        <w:pStyle w:val="BodyText"/>
        <w:spacing w:before="276"/>
        <w:ind w:left="1280" w:right="799" w:hanging="720"/>
        <w:jc w:val="both"/>
      </w:pPr>
      <w:r>
        <w:rPr/>
        <w:t>Ismail, M. R., Ordi, J., Menedez, C., Ventura, P. J., Aponte, J. J., Kahigwa, E., Hirt, R., Cardesa, A. and Alonso, P. L. (2000). Placental pathology in malaria: a histological, immunohistochemical andquantitative study. </w:t>
      </w:r>
      <w:r>
        <w:rPr>
          <w:i/>
        </w:rPr>
        <w:t>Human Pathology</w:t>
      </w:r>
      <w:r>
        <w:rPr/>
        <w:t>; 31(</w:t>
      </w:r>
      <w:r>
        <w:rPr>
          <w:b/>
        </w:rPr>
        <w:t>1</w:t>
      </w:r>
      <w:r>
        <w:rPr/>
        <w:t>): 85-93.</w:t>
      </w:r>
    </w:p>
    <w:p>
      <w:pPr>
        <w:pStyle w:val="BodyText"/>
      </w:pPr>
    </w:p>
    <w:p>
      <w:pPr>
        <w:pStyle w:val="BodyText"/>
        <w:ind w:left="1280" w:right="794" w:hanging="720"/>
        <w:jc w:val="both"/>
      </w:pPr>
      <w:r>
        <w:rPr/>
        <w:t>Jeremiah, Z. A. and Uko, E. K. (2007), Comparative Analysis of malaria parasite density using actual and assumed white blood cell contents. </w:t>
      </w:r>
      <w:r>
        <w:rPr>
          <w:i/>
        </w:rPr>
        <w:t>Annals of Tropical Paediatrics</w:t>
      </w:r>
      <w:r>
        <w:rPr/>
        <w:t>; 27</w:t>
      </w:r>
      <w:r>
        <w:rPr>
          <w:b/>
        </w:rPr>
        <w:t>(1)</w:t>
      </w:r>
      <w:r>
        <w:rPr/>
        <w:t>: 75 - 79</w:t>
      </w:r>
    </w:p>
    <w:p>
      <w:pPr>
        <w:pStyle w:val="BodyText"/>
      </w:pPr>
    </w:p>
    <w:p>
      <w:pPr>
        <w:pStyle w:val="BodyText"/>
        <w:ind w:left="1280" w:right="795" w:hanging="720"/>
        <w:jc w:val="both"/>
      </w:pPr>
      <w:r>
        <w:rPr/>
        <w:t>Jumbo, G. T. A., Mbaawuaga, E. M., Ayegba, A. S. and Araoye, M. A. (2011).Anaemia, malaria burden and its control methods among pregnant women in a semi-urban community of northern Nigeria.</w:t>
      </w:r>
      <w:r>
        <w:rPr>
          <w:i/>
        </w:rPr>
        <w:t>Journal of Public Health and Epidemiology</w:t>
      </w:r>
      <w:r>
        <w:rPr/>
        <w:t>; 3(</w:t>
      </w:r>
      <w:r>
        <w:rPr>
          <w:b/>
        </w:rPr>
        <w:t>7</w:t>
      </w:r>
      <w:r>
        <w:rPr/>
        <w:t>): </w:t>
      </w:r>
      <w:r>
        <w:rPr>
          <w:spacing w:val="-2"/>
        </w:rPr>
        <w:t>317-323.</w:t>
      </w:r>
    </w:p>
    <w:p>
      <w:pPr>
        <w:pStyle w:val="BodyText"/>
      </w:pPr>
    </w:p>
    <w:p>
      <w:pPr>
        <w:spacing w:before="1"/>
        <w:ind w:left="1280" w:right="795" w:hanging="720"/>
        <w:jc w:val="both"/>
        <w:rPr>
          <w:sz w:val="24"/>
        </w:rPr>
      </w:pPr>
      <w:r>
        <w:rPr>
          <w:sz w:val="24"/>
        </w:rPr>
        <w:t>Kalilani, L., Mofolo, I., Chaponda, M., Rogerson, S. J. and Meshnick, S. R. (2010). The</w:t>
      </w:r>
      <w:r>
        <w:rPr>
          <w:spacing w:val="40"/>
          <w:sz w:val="24"/>
        </w:rPr>
        <w:t> </w:t>
      </w:r>
      <w:r>
        <w:rPr>
          <w:sz w:val="24"/>
        </w:rPr>
        <w:t>effect of timing and frequency of </w:t>
      </w:r>
      <w:r>
        <w:rPr>
          <w:i/>
          <w:sz w:val="24"/>
        </w:rPr>
        <w:t>plasmodium falciparum </w:t>
      </w:r>
      <w:r>
        <w:rPr>
          <w:sz w:val="24"/>
        </w:rPr>
        <w:t>infection during pregnancy on the risk of low birth weight and maternal anaemia.</w:t>
      </w:r>
      <w:r>
        <w:rPr>
          <w:i/>
          <w:sz w:val="24"/>
        </w:rPr>
        <w:t>Transactions of the Royal Society of Tropical Medicine and Hygiene</w:t>
      </w:r>
      <w:r>
        <w:rPr>
          <w:sz w:val="24"/>
        </w:rPr>
        <w:t>; 104(</w:t>
      </w:r>
      <w:r>
        <w:rPr>
          <w:b/>
          <w:sz w:val="24"/>
        </w:rPr>
        <w:t>6</w:t>
      </w:r>
      <w:r>
        <w:rPr>
          <w:sz w:val="24"/>
        </w:rPr>
        <w:t>): 416-422.</w:t>
      </w:r>
    </w:p>
    <w:p>
      <w:pPr>
        <w:pStyle w:val="BodyText"/>
      </w:pPr>
    </w:p>
    <w:p>
      <w:pPr>
        <w:pStyle w:val="BodyText"/>
        <w:ind w:right="244"/>
        <w:jc w:val="center"/>
      </w:pPr>
      <w:r>
        <w:rPr/>
        <w:t>Kawthalkar</w:t>
      </w:r>
      <w:r>
        <w:rPr>
          <w:spacing w:val="21"/>
        </w:rPr>
        <w:t> </w:t>
      </w:r>
      <w:r>
        <w:rPr/>
        <w:t>S.</w:t>
      </w:r>
      <w:r>
        <w:rPr>
          <w:spacing w:val="23"/>
        </w:rPr>
        <w:t> </w:t>
      </w:r>
      <w:r>
        <w:rPr/>
        <w:t>M.</w:t>
      </w:r>
      <w:r>
        <w:rPr>
          <w:spacing w:val="26"/>
        </w:rPr>
        <w:t> </w:t>
      </w:r>
      <w:r>
        <w:rPr/>
        <w:t>(2008).</w:t>
      </w:r>
      <w:r>
        <w:rPr>
          <w:spacing w:val="22"/>
        </w:rPr>
        <w:t> </w:t>
      </w:r>
      <w:r>
        <w:rPr/>
        <w:t>Overview</w:t>
      </w:r>
      <w:r>
        <w:rPr>
          <w:spacing w:val="25"/>
        </w:rPr>
        <w:t> </w:t>
      </w:r>
      <w:r>
        <w:rPr/>
        <w:t>of</w:t>
      </w:r>
      <w:r>
        <w:rPr>
          <w:spacing w:val="23"/>
        </w:rPr>
        <w:t> </w:t>
      </w:r>
      <w:r>
        <w:rPr/>
        <w:t>Physiology</w:t>
      </w:r>
      <w:r>
        <w:rPr>
          <w:spacing w:val="21"/>
        </w:rPr>
        <w:t> </w:t>
      </w:r>
      <w:r>
        <w:rPr/>
        <w:t>of</w:t>
      </w:r>
      <w:r>
        <w:rPr>
          <w:spacing w:val="22"/>
        </w:rPr>
        <w:t> </w:t>
      </w:r>
      <w:r>
        <w:rPr/>
        <w:t>blood.In.</w:t>
      </w:r>
      <w:r>
        <w:rPr>
          <w:spacing w:val="25"/>
        </w:rPr>
        <w:t> </w:t>
      </w:r>
      <w:r>
        <w:rPr/>
        <w:t>Essentials</w:t>
      </w:r>
      <w:r>
        <w:rPr>
          <w:spacing w:val="24"/>
        </w:rPr>
        <w:t> </w:t>
      </w:r>
      <w:r>
        <w:rPr/>
        <w:t>of</w:t>
      </w:r>
      <w:r>
        <w:rPr>
          <w:spacing w:val="23"/>
        </w:rPr>
        <w:t> </w:t>
      </w:r>
      <w:r>
        <w:rPr>
          <w:spacing w:val="-2"/>
        </w:rPr>
        <w:t>Haematology.</w:t>
      </w:r>
    </w:p>
    <w:p>
      <w:pPr>
        <w:pStyle w:val="BodyText"/>
        <w:ind w:left="546" w:right="537"/>
        <w:jc w:val="center"/>
      </w:pPr>
      <w:r>
        <w:rPr/>
        <w:t>Reprint</w:t>
      </w:r>
      <w:r>
        <w:rPr>
          <w:spacing w:val="-2"/>
        </w:rPr>
        <w:t> </w:t>
      </w:r>
      <w:r>
        <w:rPr/>
        <w:t>ed.</w:t>
      </w:r>
      <w:r>
        <w:rPr>
          <w:spacing w:val="-2"/>
        </w:rPr>
        <w:t> </w:t>
      </w:r>
      <w:r>
        <w:rPr/>
        <w:t>Jaypee</w:t>
      </w:r>
      <w:r>
        <w:rPr>
          <w:spacing w:val="-2"/>
        </w:rPr>
        <w:t> </w:t>
      </w:r>
      <w:r>
        <w:rPr/>
        <w:t>Brothers</w:t>
      </w:r>
      <w:r>
        <w:rPr>
          <w:spacing w:val="-2"/>
        </w:rPr>
        <w:t> </w:t>
      </w:r>
      <w:r>
        <w:rPr/>
        <w:t>Medical</w:t>
      </w:r>
      <w:r>
        <w:rPr>
          <w:spacing w:val="-2"/>
        </w:rPr>
        <w:t> </w:t>
      </w:r>
      <w:r>
        <w:rPr/>
        <w:t>Publishers</w:t>
      </w:r>
      <w:r>
        <w:rPr>
          <w:spacing w:val="4"/>
        </w:rPr>
        <w:t> </w:t>
      </w:r>
      <w:r>
        <w:rPr/>
        <w:t>Ltd.</w:t>
      </w:r>
      <w:r>
        <w:rPr>
          <w:spacing w:val="-2"/>
        </w:rPr>
        <w:t> </w:t>
      </w:r>
      <w:r>
        <w:rPr/>
        <w:t>New</w:t>
      </w:r>
      <w:r>
        <w:rPr>
          <w:spacing w:val="-2"/>
        </w:rPr>
        <w:t> </w:t>
      </w:r>
      <w:r>
        <w:rPr/>
        <w:t>Delhi;</w:t>
      </w:r>
      <w:r>
        <w:rPr>
          <w:spacing w:val="1"/>
        </w:rPr>
        <w:t> </w:t>
      </w:r>
      <w:r>
        <w:rPr/>
        <w:t>India.</w:t>
      </w:r>
      <w:r>
        <w:rPr>
          <w:spacing w:val="-2"/>
        </w:rPr>
        <w:t> </w:t>
      </w:r>
      <w:r>
        <w:rPr/>
        <w:t>Page</w:t>
      </w:r>
      <w:r>
        <w:rPr>
          <w:spacing w:val="-2"/>
        </w:rPr>
        <w:t> </w:t>
      </w:r>
      <w:r>
        <w:rPr/>
        <w:t>3-</w:t>
      </w:r>
      <w:r>
        <w:rPr>
          <w:spacing w:val="-5"/>
        </w:rPr>
        <w:t>52</w:t>
      </w:r>
    </w:p>
    <w:p>
      <w:pPr>
        <w:pStyle w:val="BodyText"/>
      </w:pPr>
    </w:p>
    <w:p>
      <w:pPr>
        <w:pStyle w:val="BodyText"/>
        <w:ind w:right="805"/>
        <w:jc w:val="right"/>
      </w:pPr>
      <w:r>
        <w:rPr/>
        <w:t>Keelan,</w:t>
      </w:r>
      <w:r>
        <w:rPr>
          <w:spacing w:val="3"/>
        </w:rPr>
        <w:t> </w:t>
      </w:r>
      <w:r>
        <w:rPr/>
        <w:t>J.</w:t>
      </w:r>
      <w:r>
        <w:rPr>
          <w:spacing w:val="6"/>
        </w:rPr>
        <w:t> </w:t>
      </w:r>
      <w:r>
        <w:rPr/>
        <w:t>A.,</w:t>
      </w:r>
      <w:r>
        <w:rPr>
          <w:spacing w:val="6"/>
        </w:rPr>
        <w:t> </w:t>
      </w:r>
      <w:r>
        <w:rPr/>
        <w:t>Blumenstein,</w:t>
      </w:r>
      <w:r>
        <w:rPr>
          <w:spacing w:val="7"/>
        </w:rPr>
        <w:t> </w:t>
      </w:r>
      <w:r>
        <w:rPr/>
        <w:t>M.,</w:t>
      </w:r>
      <w:r>
        <w:rPr>
          <w:spacing w:val="6"/>
        </w:rPr>
        <w:t> </w:t>
      </w:r>
      <w:r>
        <w:rPr/>
        <w:t>Helliwell,</w:t>
      </w:r>
      <w:r>
        <w:rPr>
          <w:spacing w:val="6"/>
        </w:rPr>
        <w:t> </w:t>
      </w:r>
      <w:r>
        <w:rPr/>
        <w:t>R.</w:t>
      </w:r>
      <w:r>
        <w:rPr>
          <w:spacing w:val="6"/>
        </w:rPr>
        <w:t> </w:t>
      </w:r>
      <w:r>
        <w:rPr/>
        <w:t>J.,</w:t>
      </w:r>
      <w:r>
        <w:rPr>
          <w:spacing w:val="6"/>
        </w:rPr>
        <w:t> </w:t>
      </w:r>
      <w:r>
        <w:rPr/>
        <w:t>Sato,</w:t>
      </w:r>
      <w:r>
        <w:rPr>
          <w:spacing w:val="6"/>
        </w:rPr>
        <w:t> </w:t>
      </w:r>
      <w:r>
        <w:rPr/>
        <w:t>T.</w:t>
      </w:r>
      <w:r>
        <w:rPr>
          <w:spacing w:val="6"/>
        </w:rPr>
        <w:t> </w:t>
      </w:r>
      <w:r>
        <w:rPr/>
        <w:t>A.,</w:t>
      </w:r>
      <w:r>
        <w:rPr>
          <w:spacing w:val="6"/>
        </w:rPr>
        <w:t> </w:t>
      </w:r>
      <w:r>
        <w:rPr/>
        <w:t>Marvin,</w:t>
      </w:r>
      <w:r>
        <w:rPr>
          <w:spacing w:val="6"/>
        </w:rPr>
        <w:t> </w:t>
      </w:r>
      <w:r>
        <w:rPr/>
        <w:t>K.</w:t>
      </w:r>
      <w:r>
        <w:rPr>
          <w:spacing w:val="5"/>
        </w:rPr>
        <w:t> </w:t>
      </w:r>
      <w:r>
        <w:rPr/>
        <w:t>W.</w:t>
      </w:r>
      <w:r>
        <w:rPr>
          <w:spacing w:val="6"/>
        </w:rPr>
        <w:t> </w:t>
      </w:r>
      <w:r>
        <w:rPr/>
        <w:t>and</w:t>
      </w:r>
      <w:r>
        <w:rPr>
          <w:spacing w:val="6"/>
        </w:rPr>
        <w:t> </w:t>
      </w:r>
      <w:r>
        <w:rPr/>
        <w:t>Mitchell,</w:t>
      </w:r>
      <w:r>
        <w:rPr>
          <w:spacing w:val="6"/>
        </w:rPr>
        <w:t> </w:t>
      </w:r>
      <w:r>
        <w:rPr>
          <w:spacing w:val="-5"/>
        </w:rPr>
        <w:t>M.</w:t>
      </w:r>
    </w:p>
    <w:p>
      <w:pPr>
        <w:pStyle w:val="BodyText"/>
        <w:ind w:right="844"/>
        <w:jc w:val="right"/>
      </w:pPr>
      <w:r>
        <w:rPr/>
        <w:t>D.</w:t>
      </w:r>
      <w:r>
        <w:rPr>
          <w:spacing w:val="-3"/>
        </w:rPr>
        <w:t> </w:t>
      </w:r>
      <w:r>
        <w:rPr/>
        <w:t>(2003).Cytokines,</w:t>
      </w:r>
      <w:r>
        <w:rPr>
          <w:spacing w:val="-1"/>
        </w:rPr>
        <w:t> </w:t>
      </w:r>
      <w:r>
        <w:rPr/>
        <w:t>prostaglandins and</w:t>
      </w:r>
      <w:r>
        <w:rPr>
          <w:spacing w:val="-1"/>
        </w:rPr>
        <w:t> </w:t>
      </w:r>
      <w:r>
        <w:rPr/>
        <w:t>parturition-</w:t>
      </w:r>
      <w:r>
        <w:rPr>
          <w:spacing w:val="-2"/>
        </w:rPr>
        <w:t> </w:t>
      </w:r>
      <w:r>
        <w:rPr/>
        <w:t>a</w:t>
      </w:r>
      <w:r>
        <w:rPr>
          <w:spacing w:val="-1"/>
        </w:rPr>
        <w:t> </w:t>
      </w:r>
      <w:r>
        <w:rPr/>
        <w:t>review.</w:t>
      </w:r>
      <w:r>
        <w:rPr>
          <w:i/>
        </w:rPr>
        <w:t>Placenta</w:t>
      </w:r>
      <w:r>
        <w:rPr/>
        <w:t>;</w:t>
      </w:r>
      <w:r>
        <w:rPr>
          <w:spacing w:val="-1"/>
        </w:rPr>
        <w:t> </w:t>
      </w:r>
      <w:r>
        <w:rPr/>
        <w:t>241: s33-</w:t>
      </w:r>
      <w:r>
        <w:rPr>
          <w:spacing w:val="-4"/>
        </w:rPr>
        <w:t>s46.</w:t>
      </w:r>
    </w:p>
    <w:p>
      <w:pPr>
        <w:pStyle w:val="BodyText"/>
      </w:pPr>
    </w:p>
    <w:p>
      <w:pPr>
        <w:pStyle w:val="BodyText"/>
        <w:ind w:left="1280" w:right="793" w:hanging="720"/>
        <w:jc w:val="both"/>
      </w:pPr>
      <w:r>
        <w:rPr/>
        <w:t>Ketema T. and Bacha K. (2013). Plasmodium vivax associated severe malaria complications among children in some malaria endemic areas of Ethopia. </w:t>
      </w:r>
      <w:r>
        <w:rPr>
          <w:i/>
        </w:rPr>
        <w:t>BioMed Central.</w:t>
      </w:r>
      <w:r>
        <w:rPr/>
        <w:t>Open access publisher; 13:637/DOI:10.1186/1471-2458-13-6371.</w:t>
      </w:r>
    </w:p>
    <w:p>
      <w:pPr>
        <w:pStyle w:val="BodyText"/>
        <w:spacing w:before="1"/>
      </w:pPr>
    </w:p>
    <w:p>
      <w:pPr>
        <w:pStyle w:val="BodyText"/>
        <w:ind w:left="1280" w:right="800" w:hanging="720"/>
        <w:jc w:val="both"/>
      </w:pPr>
      <w:r>
        <w:rPr/>
        <w:t>Kimberly, M.M. and Vesper, H.W. (2003). Standardization of immunoassays for measurement of high- sensitivity C- reactive protein (hsC-RP) phase 1: Evaluation of Secondary Reference Materials. </w:t>
      </w:r>
      <w:r>
        <w:rPr>
          <w:i/>
        </w:rPr>
        <w:t>ClinicalChemistry</w:t>
      </w:r>
      <w:r>
        <w:rPr/>
        <w:t>; 49: 611-616.</w:t>
      </w:r>
    </w:p>
    <w:p>
      <w:pPr>
        <w:pStyle w:val="BodyText"/>
      </w:pPr>
    </w:p>
    <w:p>
      <w:pPr>
        <w:pStyle w:val="BodyText"/>
        <w:ind w:left="1280" w:right="795" w:hanging="720"/>
        <w:jc w:val="both"/>
      </w:pPr>
      <w:r>
        <w:rPr/>
        <w:t>Kishimoto, K., Sandner, S., Imitola, J., Sho, M., Li, Y., Langmuir, P.B., Rothstein, D.M., Strom, T.B., Turka, L.A. and Sayegh, M.H. (2002). T</w:t>
      </w:r>
      <w:r>
        <w:rPr>
          <w:vertAlign w:val="subscript"/>
        </w:rPr>
        <w:t>H</w:t>
      </w:r>
      <w:r>
        <w:rPr>
          <w:vertAlign w:val="baseline"/>
        </w:rPr>
        <w:t>1 cytokines, programmed cell death and alloreactive T cell clone size in transplant tolerance. </w:t>
      </w:r>
      <w:r>
        <w:rPr>
          <w:i/>
          <w:vertAlign w:val="baseline"/>
        </w:rPr>
        <w:t>Journal of Clinical Investigations</w:t>
      </w:r>
      <w:r>
        <w:rPr>
          <w:vertAlign w:val="baseline"/>
        </w:rPr>
        <w:t>; 109(11): 1471-1479.</w:t>
      </w:r>
    </w:p>
    <w:p>
      <w:pPr>
        <w:pStyle w:val="BodyText"/>
      </w:pPr>
    </w:p>
    <w:p>
      <w:pPr>
        <w:pStyle w:val="BodyText"/>
        <w:ind w:left="1280" w:right="795" w:hanging="720"/>
        <w:jc w:val="both"/>
      </w:pPr>
      <w:r>
        <w:rPr/>
        <w:t>Koorts, A. M., Levay, P. F., Becker, P. J. and Viljoen, M. (2011). Pro- and Anti- inflammatory</w:t>
      </w:r>
      <w:r>
        <w:rPr>
          <w:spacing w:val="-1"/>
        </w:rPr>
        <w:t> </w:t>
      </w:r>
      <w:r>
        <w:rPr/>
        <w:t>cytokines during immune stimulation: modulation of iron status and red blood cell profile. </w:t>
      </w:r>
      <w:r>
        <w:rPr>
          <w:i/>
        </w:rPr>
        <w:t>Mediators of Inflammation: </w:t>
      </w:r>
      <w:r>
        <w:rPr/>
        <w:t>716301</w:t>
      </w:r>
    </w:p>
    <w:p>
      <w:pPr>
        <w:spacing w:after="0"/>
        <w:jc w:val="both"/>
        <w:sectPr>
          <w:pgSz w:w="11910" w:h="16840"/>
          <w:pgMar w:header="0" w:footer="1067" w:top="1060" w:bottom="1260" w:left="880" w:right="640"/>
        </w:sectPr>
      </w:pPr>
    </w:p>
    <w:p>
      <w:pPr>
        <w:pStyle w:val="BodyText"/>
        <w:spacing w:before="70"/>
        <w:ind w:left="1280" w:right="798" w:hanging="720"/>
        <w:jc w:val="both"/>
      </w:pPr>
      <w:r>
        <w:rPr/>
        <w:t>Kraus, T. A., Sperling, R. S., Engel, S. M. Lo, Y., Kellerman, L., Singh, T., Loubeau, M, Ge, Y., Garrido, J. L., Rodriguez, G. M. and Moran, T. M. (2010) Peripheral Blood cytokine profiling during pregnancy and post-partum periods. American Journal of Immunology; 64(</w:t>
      </w:r>
      <w:r>
        <w:rPr>
          <w:b/>
        </w:rPr>
        <w:t>6</w:t>
      </w:r>
      <w:r>
        <w:rPr/>
        <w:t>): 411 – 426.</w:t>
      </w:r>
    </w:p>
    <w:p>
      <w:pPr>
        <w:pStyle w:val="BodyText"/>
      </w:pPr>
    </w:p>
    <w:p>
      <w:pPr>
        <w:pStyle w:val="BodyText"/>
        <w:spacing w:before="1"/>
        <w:ind w:left="1280" w:right="797" w:hanging="720"/>
        <w:jc w:val="both"/>
      </w:pPr>
      <w:r>
        <w:rPr/>
        <w:t>Krause, A., Neitz, S., Magert, H.J., Schulz, A., Forssmann, W.G., Schulz-Knappe, P. and Adermann, K. (2000). LEAP-1, a novel highly disulfide-bonded human peptide, exhibits antimicrobial activity. </w:t>
      </w:r>
      <w:r>
        <w:rPr>
          <w:i/>
        </w:rPr>
        <w:t>FEBS Letters</w:t>
      </w:r>
      <w:r>
        <w:rPr/>
        <w:t>; 480(</w:t>
      </w:r>
      <w:r>
        <w:rPr>
          <w:b/>
        </w:rPr>
        <w:t>2-3</w:t>
      </w:r>
      <w:r>
        <w:rPr/>
        <w:t>): 147-150.</w:t>
      </w:r>
    </w:p>
    <w:p>
      <w:pPr>
        <w:pStyle w:val="BodyText"/>
        <w:spacing w:before="276"/>
        <w:ind w:left="1371" w:right="879" w:hanging="812"/>
      </w:pPr>
      <w:r>
        <w:rPr/>
        <w:t>Kremsner,</w:t>
      </w:r>
      <w:r>
        <w:rPr>
          <w:spacing w:val="-4"/>
        </w:rPr>
        <w:t> </w:t>
      </w:r>
      <w:r>
        <w:rPr/>
        <w:t>P.G.,</w:t>
      </w:r>
      <w:r>
        <w:rPr>
          <w:spacing w:val="-4"/>
        </w:rPr>
        <w:t> </w:t>
      </w:r>
      <w:r>
        <w:rPr/>
        <w:t>Greve,</w:t>
      </w:r>
      <w:r>
        <w:rPr>
          <w:spacing w:val="-2"/>
        </w:rPr>
        <w:t> </w:t>
      </w:r>
      <w:r>
        <w:rPr/>
        <w:t>B.,</w:t>
      </w:r>
      <w:r>
        <w:rPr>
          <w:spacing w:val="-2"/>
        </w:rPr>
        <w:t> </w:t>
      </w:r>
      <w:r>
        <w:rPr/>
        <w:t>Lell,</w:t>
      </w:r>
      <w:r>
        <w:rPr>
          <w:spacing w:val="-4"/>
        </w:rPr>
        <w:t> </w:t>
      </w:r>
      <w:r>
        <w:rPr/>
        <w:t>B.,</w:t>
      </w:r>
      <w:r>
        <w:rPr>
          <w:spacing w:val="-2"/>
        </w:rPr>
        <w:t> </w:t>
      </w:r>
      <w:r>
        <w:rPr/>
        <w:t>Luckner,</w:t>
      </w:r>
      <w:r>
        <w:rPr>
          <w:spacing w:val="-4"/>
        </w:rPr>
        <w:t> </w:t>
      </w:r>
      <w:r>
        <w:rPr/>
        <w:t>D.</w:t>
      </w:r>
      <w:r>
        <w:rPr>
          <w:spacing w:val="-2"/>
        </w:rPr>
        <w:t> </w:t>
      </w:r>
      <w:r>
        <w:rPr/>
        <w:t>and</w:t>
      </w:r>
      <w:r>
        <w:rPr>
          <w:spacing w:val="-4"/>
        </w:rPr>
        <w:t> </w:t>
      </w:r>
      <w:r>
        <w:rPr/>
        <w:t>Schmid,</w:t>
      </w:r>
      <w:r>
        <w:rPr>
          <w:spacing w:val="-1"/>
        </w:rPr>
        <w:t> </w:t>
      </w:r>
      <w:r>
        <w:rPr/>
        <w:t>D.</w:t>
      </w:r>
      <w:r>
        <w:rPr>
          <w:spacing w:val="-4"/>
        </w:rPr>
        <w:t> </w:t>
      </w:r>
      <w:r>
        <w:rPr/>
        <w:t>(2000).</w:t>
      </w:r>
      <w:r>
        <w:rPr>
          <w:spacing w:val="-2"/>
        </w:rPr>
        <w:t> </w:t>
      </w:r>
      <w:r>
        <w:rPr/>
        <w:t>Malarial</w:t>
      </w:r>
      <w:r>
        <w:rPr>
          <w:spacing w:val="-4"/>
        </w:rPr>
        <w:t> </w:t>
      </w:r>
      <w:r>
        <w:rPr/>
        <w:t>anaemia</w:t>
      </w:r>
      <w:r>
        <w:rPr>
          <w:spacing w:val="-5"/>
        </w:rPr>
        <w:t> </w:t>
      </w:r>
      <w:r>
        <w:rPr/>
        <w:t>in African children associated with high oxygen-radical production. </w:t>
      </w:r>
      <w:r>
        <w:rPr>
          <w:i/>
        </w:rPr>
        <w:t>Lancet</w:t>
      </w:r>
      <w:r>
        <w:rPr/>
        <w:t>; 355: 40- </w:t>
      </w:r>
      <w:r>
        <w:rPr>
          <w:spacing w:val="-4"/>
        </w:rPr>
        <w:t>41.</w:t>
      </w:r>
    </w:p>
    <w:p>
      <w:pPr>
        <w:pStyle w:val="BodyText"/>
        <w:spacing w:before="240"/>
        <w:ind w:left="1371" w:right="1208" w:hanging="812"/>
        <w:jc w:val="both"/>
      </w:pPr>
      <w:r>
        <w:rPr/>
        <w:t>Kulkarni,</w:t>
      </w:r>
      <w:r>
        <w:rPr>
          <w:spacing w:val="-3"/>
        </w:rPr>
        <w:t> </w:t>
      </w:r>
      <w:r>
        <w:rPr/>
        <w:t>A.</w:t>
      </w:r>
      <w:r>
        <w:rPr>
          <w:spacing w:val="-3"/>
        </w:rPr>
        <w:t> </w:t>
      </w:r>
      <w:r>
        <w:rPr/>
        <w:t>G.,</w:t>
      </w:r>
      <w:r>
        <w:rPr>
          <w:spacing w:val="-3"/>
        </w:rPr>
        <w:t> </w:t>
      </w:r>
      <w:r>
        <w:rPr/>
        <w:t>Suryakar,</w:t>
      </w:r>
      <w:r>
        <w:rPr>
          <w:spacing w:val="-3"/>
        </w:rPr>
        <w:t> </w:t>
      </w:r>
      <w:r>
        <w:rPr/>
        <w:t>A.</w:t>
      </w:r>
      <w:r>
        <w:rPr>
          <w:spacing w:val="-3"/>
        </w:rPr>
        <w:t> </w:t>
      </w:r>
      <w:r>
        <w:rPr/>
        <w:t>N.,</w:t>
      </w:r>
      <w:r>
        <w:rPr>
          <w:spacing w:val="-3"/>
        </w:rPr>
        <w:t> </w:t>
      </w:r>
      <w:r>
        <w:rPr/>
        <w:t>Sardeshmukh,</w:t>
      </w:r>
      <w:r>
        <w:rPr>
          <w:spacing w:val="-3"/>
        </w:rPr>
        <w:t> </w:t>
      </w:r>
      <w:r>
        <w:rPr/>
        <w:t>A.</w:t>
      </w:r>
      <w:r>
        <w:rPr>
          <w:spacing w:val="-3"/>
        </w:rPr>
        <w:t> </w:t>
      </w:r>
      <w:r>
        <w:rPr/>
        <w:t>S.</w:t>
      </w:r>
      <w:r>
        <w:rPr>
          <w:spacing w:val="-3"/>
        </w:rPr>
        <w:t> </w:t>
      </w:r>
      <w:r>
        <w:rPr/>
        <w:t>and</w:t>
      </w:r>
      <w:r>
        <w:rPr>
          <w:spacing w:val="-3"/>
        </w:rPr>
        <w:t> </w:t>
      </w:r>
      <w:r>
        <w:rPr/>
        <w:t>Raithi,</w:t>
      </w:r>
      <w:r>
        <w:rPr>
          <w:spacing w:val="-3"/>
        </w:rPr>
        <w:t> </w:t>
      </w:r>
      <w:r>
        <w:rPr/>
        <w:t>D.</w:t>
      </w:r>
      <w:r>
        <w:rPr>
          <w:spacing w:val="-3"/>
        </w:rPr>
        <w:t> </w:t>
      </w:r>
      <w:r>
        <w:rPr/>
        <w:t>B.</w:t>
      </w:r>
      <w:r>
        <w:rPr>
          <w:spacing w:val="-3"/>
        </w:rPr>
        <w:t> </w:t>
      </w:r>
      <w:r>
        <w:rPr/>
        <w:t>(2003).Studies</w:t>
      </w:r>
      <w:r>
        <w:rPr>
          <w:spacing w:val="-3"/>
        </w:rPr>
        <w:t> </w:t>
      </w:r>
      <w:r>
        <w:rPr/>
        <w:t>on biochemical changes with special reference</w:t>
      </w:r>
      <w:r>
        <w:rPr>
          <w:spacing w:val="-1"/>
        </w:rPr>
        <w:t> </w:t>
      </w:r>
      <w:r>
        <w:rPr/>
        <w:t>to oxidant and antioxidant in malaria patients.</w:t>
      </w:r>
      <w:r>
        <w:rPr>
          <w:i/>
        </w:rPr>
        <w:t>Indian Journal of Clinical Biochemistry</w:t>
      </w:r>
      <w:r>
        <w:rPr/>
        <w:t>; 18: 136- 149.</w:t>
      </w:r>
    </w:p>
    <w:p>
      <w:pPr>
        <w:pStyle w:val="BodyText"/>
      </w:pPr>
    </w:p>
    <w:p>
      <w:pPr>
        <w:pStyle w:val="BodyText"/>
        <w:ind w:left="1280" w:right="795" w:hanging="720"/>
      </w:pPr>
      <w:r>
        <w:rPr/>
        <w:t>Kumar V, Abbas A. K., Fausto N. and Aster J. C. (2004).Diseases of the Immune System.In. Robbins</w:t>
      </w:r>
      <w:r>
        <w:rPr>
          <w:spacing w:val="4"/>
        </w:rPr>
        <w:t> </w:t>
      </w:r>
      <w:r>
        <w:rPr/>
        <w:t>and</w:t>
      </w:r>
      <w:r>
        <w:rPr>
          <w:spacing w:val="3"/>
        </w:rPr>
        <w:t> </w:t>
      </w:r>
      <w:r>
        <w:rPr/>
        <w:t>Cotran.Pathological</w:t>
      </w:r>
      <w:r>
        <w:rPr>
          <w:spacing w:val="5"/>
        </w:rPr>
        <w:t> </w:t>
      </w:r>
      <w:r>
        <w:rPr/>
        <w:t>Basic</w:t>
      </w:r>
      <w:r>
        <w:rPr>
          <w:spacing w:val="3"/>
        </w:rPr>
        <w:t> </w:t>
      </w:r>
      <w:r>
        <w:rPr/>
        <w:t>of</w:t>
      </w:r>
      <w:r>
        <w:rPr>
          <w:spacing w:val="3"/>
        </w:rPr>
        <w:t> </w:t>
      </w:r>
      <w:r>
        <w:rPr/>
        <w:t>Diseases.8</w:t>
      </w:r>
      <w:r>
        <w:rPr>
          <w:vertAlign w:val="superscript"/>
        </w:rPr>
        <w:t>th</w:t>
      </w:r>
      <w:r>
        <w:rPr>
          <w:spacing w:val="5"/>
          <w:vertAlign w:val="baseline"/>
        </w:rPr>
        <w:t> </w:t>
      </w:r>
      <w:r>
        <w:rPr>
          <w:vertAlign w:val="baseline"/>
        </w:rPr>
        <w:t>Ed. Saunders</w:t>
      </w:r>
      <w:r>
        <w:rPr>
          <w:spacing w:val="4"/>
          <w:vertAlign w:val="baseline"/>
        </w:rPr>
        <w:t> </w:t>
      </w:r>
      <w:r>
        <w:rPr>
          <w:vertAlign w:val="baseline"/>
        </w:rPr>
        <w:t>Elsevier.</w:t>
      </w:r>
      <w:r>
        <w:rPr>
          <w:spacing w:val="2"/>
          <w:vertAlign w:val="baseline"/>
        </w:rPr>
        <w:t> </w:t>
      </w:r>
      <w:r>
        <w:rPr>
          <w:vertAlign w:val="baseline"/>
        </w:rPr>
        <w:t>Pp.</w:t>
      </w:r>
      <w:r>
        <w:rPr>
          <w:spacing w:val="4"/>
          <w:vertAlign w:val="baseline"/>
        </w:rPr>
        <w:t> </w:t>
      </w:r>
      <w:r>
        <w:rPr>
          <w:spacing w:val="-5"/>
          <w:vertAlign w:val="baseline"/>
        </w:rPr>
        <w:t>183</w:t>
      </w:r>
    </w:p>
    <w:p>
      <w:pPr>
        <w:pStyle w:val="BodyText"/>
        <w:ind w:left="1280"/>
      </w:pPr>
      <w:r>
        <w:rPr/>
        <w:t>-</w:t>
      </w:r>
      <w:r>
        <w:rPr>
          <w:spacing w:val="-1"/>
        </w:rPr>
        <w:t> </w:t>
      </w:r>
      <w:r>
        <w:rPr>
          <w:spacing w:val="-5"/>
        </w:rPr>
        <w:t>258</w:t>
      </w:r>
    </w:p>
    <w:p>
      <w:pPr>
        <w:pStyle w:val="BodyText"/>
        <w:spacing w:before="240"/>
        <w:ind w:left="1280" w:right="798" w:hanging="720"/>
        <w:jc w:val="both"/>
      </w:pPr>
      <w:r>
        <w:rPr/>
        <w:t>Kumar, C. C., Kremsner, P. G., Hottner, J. B., Mosukonis, M. A., Weinberg, J. B. and Perkins, D. J. (2004). Elevated Nitric oxide production in children with malaria anaemia: Haemozoin-induced nitric oxide synthase type-2 transcripts and nitric oxide in blood mononuclear cells. </w:t>
      </w:r>
      <w:r>
        <w:rPr>
          <w:i/>
        </w:rPr>
        <w:t>Infection Immunology</w:t>
      </w:r>
      <w:r>
        <w:rPr/>
        <w:t>: 72(</w:t>
      </w:r>
      <w:r>
        <w:rPr>
          <w:b/>
        </w:rPr>
        <w:t>8</w:t>
      </w:r>
      <w:r>
        <w:rPr/>
        <w:t>): 4868-4873</w:t>
      </w:r>
    </w:p>
    <w:p>
      <w:pPr>
        <w:pStyle w:val="BodyText"/>
        <w:spacing w:before="1"/>
      </w:pPr>
    </w:p>
    <w:p>
      <w:pPr>
        <w:pStyle w:val="BodyText"/>
        <w:ind w:left="560"/>
        <w:jc w:val="both"/>
      </w:pPr>
      <w:r>
        <w:rPr/>
        <w:t>Laishram,</w:t>
      </w:r>
      <w:r>
        <w:rPr>
          <w:spacing w:val="16"/>
        </w:rPr>
        <w:t> </w:t>
      </w:r>
      <w:r>
        <w:rPr/>
        <w:t>D.D.,</w:t>
      </w:r>
      <w:r>
        <w:rPr>
          <w:spacing w:val="17"/>
        </w:rPr>
        <w:t> </w:t>
      </w:r>
      <w:r>
        <w:rPr/>
        <w:t>Sutton,</w:t>
      </w:r>
      <w:r>
        <w:rPr>
          <w:spacing w:val="15"/>
        </w:rPr>
        <w:t> </w:t>
      </w:r>
      <w:r>
        <w:rPr/>
        <w:t>P.L.,</w:t>
      </w:r>
      <w:r>
        <w:rPr>
          <w:spacing w:val="15"/>
        </w:rPr>
        <w:t> </w:t>
      </w:r>
      <w:r>
        <w:rPr/>
        <w:t>Nanda,</w:t>
      </w:r>
      <w:r>
        <w:rPr>
          <w:spacing w:val="18"/>
        </w:rPr>
        <w:t> </w:t>
      </w:r>
      <w:r>
        <w:rPr/>
        <w:t>N.,</w:t>
      </w:r>
      <w:r>
        <w:rPr>
          <w:spacing w:val="15"/>
        </w:rPr>
        <w:t> </w:t>
      </w:r>
      <w:r>
        <w:rPr/>
        <w:t>Sharma,</w:t>
      </w:r>
      <w:r>
        <w:rPr>
          <w:spacing w:val="15"/>
        </w:rPr>
        <w:t> </w:t>
      </w:r>
      <w:r>
        <w:rPr/>
        <w:t>V.L.,</w:t>
      </w:r>
      <w:r>
        <w:rPr>
          <w:spacing w:val="15"/>
        </w:rPr>
        <w:t> </w:t>
      </w:r>
      <w:r>
        <w:rPr/>
        <w:t>Sobti,</w:t>
      </w:r>
      <w:r>
        <w:rPr>
          <w:spacing w:val="16"/>
        </w:rPr>
        <w:t> </w:t>
      </w:r>
      <w:r>
        <w:rPr/>
        <w:t>R.C.,</w:t>
      </w:r>
      <w:r>
        <w:rPr>
          <w:spacing w:val="15"/>
        </w:rPr>
        <w:t> </w:t>
      </w:r>
      <w:r>
        <w:rPr/>
        <w:t>Carlton,</w:t>
      </w:r>
      <w:r>
        <w:rPr>
          <w:spacing w:val="15"/>
        </w:rPr>
        <w:t> </w:t>
      </w:r>
      <w:r>
        <w:rPr/>
        <w:t>J.M.</w:t>
      </w:r>
      <w:r>
        <w:rPr>
          <w:spacing w:val="15"/>
        </w:rPr>
        <w:t> </w:t>
      </w:r>
      <w:r>
        <w:rPr/>
        <w:t>and</w:t>
      </w:r>
      <w:r>
        <w:rPr>
          <w:spacing w:val="16"/>
        </w:rPr>
        <w:t> </w:t>
      </w:r>
      <w:r>
        <w:rPr>
          <w:spacing w:val="-2"/>
        </w:rPr>
        <w:t>Josh,</w:t>
      </w:r>
    </w:p>
    <w:p>
      <w:pPr>
        <w:pStyle w:val="BodyText"/>
        <w:ind w:left="1280" w:right="805"/>
        <w:jc w:val="both"/>
      </w:pPr>
      <w:r>
        <w:rPr/>
        <w:t>H. (2012).The complexities of malaria disease manifestations with a focus on asymptomatic malaria.</w:t>
      </w:r>
      <w:r>
        <w:rPr>
          <w:i/>
        </w:rPr>
        <w:t>Malaria Journal</w:t>
      </w:r>
      <w:r>
        <w:rPr/>
        <w:t>; 11: 29-44.</w:t>
      </w:r>
    </w:p>
    <w:p>
      <w:pPr>
        <w:pStyle w:val="BodyText"/>
      </w:pPr>
    </w:p>
    <w:p>
      <w:pPr>
        <w:pStyle w:val="BodyText"/>
        <w:ind w:left="1280" w:right="795" w:hanging="720"/>
        <w:jc w:val="both"/>
      </w:pPr>
      <w:r>
        <w:rPr/>
        <w:t>Lao.T.T, Tam, K.F. and Chan, L.Y. (2000). Third trimester Iron status and pregnancy outcome in non-anaemic women; pregnancy unfavourably affected by maternal Iron excess. </w:t>
      </w:r>
      <w:r>
        <w:rPr>
          <w:i/>
        </w:rPr>
        <w:t>Human Reproduction</w:t>
      </w:r>
      <w:r>
        <w:rPr/>
        <w:t>; 15(</w:t>
      </w:r>
      <w:r>
        <w:rPr>
          <w:b/>
        </w:rPr>
        <w:t>8</w:t>
      </w:r>
      <w:r>
        <w:rPr/>
        <w:t>): 1843-1848.</w:t>
      </w:r>
    </w:p>
    <w:p>
      <w:pPr>
        <w:pStyle w:val="BodyText"/>
      </w:pPr>
    </w:p>
    <w:p>
      <w:pPr>
        <w:pStyle w:val="BodyText"/>
        <w:ind w:left="1280" w:right="803" w:hanging="720"/>
        <w:jc w:val="both"/>
      </w:pPr>
      <w:r>
        <w:rPr/>
        <w:t>Lashley, L., Van der Hoorn, M.L., Van der Mast, B., Tilburgs, T., Van der</w:t>
      </w:r>
      <w:r>
        <w:rPr>
          <w:spacing w:val="40"/>
        </w:rPr>
        <w:t> </w:t>
      </w:r>
      <w:r>
        <w:rPr/>
        <w:t>Lee, N., Van der Keur, C., Van Beelen, E., Roelen, D., Claas, F. and Scherjon, S. (2011). Changes in cytokine production and composition of peripheral blood leukocytes during</w:t>
      </w:r>
      <w:r>
        <w:rPr>
          <w:spacing w:val="40"/>
        </w:rPr>
        <w:t> </w:t>
      </w:r>
      <w:r>
        <w:rPr/>
        <w:t>pregnancy</w:t>
      </w:r>
      <w:r>
        <w:rPr>
          <w:spacing w:val="-4"/>
        </w:rPr>
        <w:t> </w:t>
      </w:r>
      <w:r>
        <w:rPr/>
        <w:t>are</w:t>
      </w:r>
      <w:r>
        <w:rPr>
          <w:spacing w:val="-3"/>
        </w:rPr>
        <w:t> </w:t>
      </w:r>
      <w:r>
        <w:rPr/>
        <w:t>not</w:t>
      </w:r>
      <w:r>
        <w:rPr>
          <w:spacing w:val="-1"/>
        </w:rPr>
        <w:t> </w:t>
      </w:r>
      <w:r>
        <w:rPr/>
        <w:t>associated</w:t>
      </w:r>
      <w:r>
        <w:rPr>
          <w:spacing w:val="-2"/>
        </w:rPr>
        <w:t> </w:t>
      </w:r>
      <w:r>
        <w:rPr/>
        <w:t>with</w:t>
      </w:r>
      <w:r>
        <w:rPr>
          <w:spacing w:val="-1"/>
        </w:rPr>
        <w:t> </w:t>
      </w:r>
      <w:r>
        <w:rPr/>
        <w:t>a</w:t>
      </w:r>
      <w:r>
        <w:rPr>
          <w:spacing w:val="-2"/>
        </w:rPr>
        <w:t> </w:t>
      </w:r>
      <w:r>
        <w:rPr/>
        <w:t>difference</w:t>
      </w:r>
      <w:r>
        <w:rPr>
          <w:spacing w:val="-2"/>
        </w:rPr>
        <w:t> </w:t>
      </w:r>
      <w:r>
        <w:rPr/>
        <w:t>in</w:t>
      </w:r>
      <w:r>
        <w:rPr>
          <w:spacing w:val="-1"/>
        </w:rPr>
        <w:t> </w:t>
      </w:r>
      <w:r>
        <w:rPr/>
        <w:t>the</w:t>
      </w:r>
      <w:r>
        <w:rPr>
          <w:spacing w:val="-2"/>
        </w:rPr>
        <w:t> </w:t>
      </w:r>
      <w:r>
        <w:rPr/>
        <w:t>proliferative</w:t>
      </w:r>
      <w:r>
        <w:rPr>
          <w:spacing w:val="-2"/>
        </w:rPr>
        <w:t> </w:t>
      </w:r>
      <w:r>
        <w:rPr/>
        <w:t>immune</w:t>
      </w:r>
      <w:r>
        <w:rPr>
          <w:spacing w:val="-2"/>
        </w:rPr>
        <w:t> </w:t>
      </w:r>
      <w:r>
        <w:rPr/>
        <w:t>response</w:t>
      </w:r>
      <w:r>
        <w:rPr>
          <w:spacing w:val="-2"/>
        </w:rPr>
        <w:t> </w:t>
      </w:r>
      <w:r>
        <w:rPr/>
        <w:t>to the fetus. </w:t>
      </w:r>
      <w:r>
        <w:rPr>
          <w:i/>
        </w:rPr>
        <w:t>Human Immunology</w:t>
      </w:r>
      <w:r>
        <w:rPr/>
        <w:t>; 72(</w:t>
      </w:r>
      <w:r>
        <w:rPr>
          <w:b/>
        </w:rPr>
        <w:t>10</w:t>
      </w:r>
      <w:r>
        <w:rPr/>
        <w:t>): 805-811.</w:t>
      </w:r>
    </w:p>
    <w:p>
      <w:pPr>
        <w:pStyle w:val="BodyText"/>
        <w:spacing w:before="1"/>
      </w:pPr>
    </w:p>
    <w:p>
      <w:pPr>
        <w:pStyle w:val="BodyText"/>
        <w:ind w:left="1280" w:right="793" w:hanging="720"/>
        <w:jc w:val="both"/>
      </w:pPr>
      <w:r>
        <w:rPr/>
        <w:t>Le, J. and Vilcek, J. (1989). Interleukin-6: a multifunctional cytokine regulating</w:t>
      </w:r>
      <w:r>
        <w:rPr>
          <w:spacing w:val="40"/>
        </w:rPr>
        <w:t> </w:t>
      </w:r>
      <w:r>
        <w:rPr/>
        <w:t>immune reactions and the acute phase protein response. </w:t>
      </w:r>
      <w:r>
        <w:rPr>
          <w:i/>
        </w:rPr>
        <w:t>Laboratory Investigation, </w:t>
      </w:r>
      <w:r>
        <w:rPr>
          <w:b/>
        </w:rPr>
        <w:t>61</w:t>
      </w:r>
      <w:r>
        <w:rPr/>
        <w:t>: 588 – </w:t>
      </w:r>
      <w:r>
        <w:rPr>
          <w:spacing w:val="-4"/>
        </w:rPr>
        <w:t>602</w:t>
      </w:r>
    </w:p>
    <w:p>
      <w:pPr>
        <w:pStyle w:val="BodyText"/>
      </w:pPr>
    </w:p>
    <w:p>
      <w:pPr>
        <w:pStyle w:val="BodyText"/>
        <w:ind w:left="560"/>
        <w:jc w:val="both"/>
      </w:pPr>
      <w:r>
        <w:rPr/>
        <w:t>Leoratti,</w:t>
      </w:r>
      <w:r>
        <w:rPr>
          <w:spacing w:val="45"/>
        </w:rPr>
        <w:t> </w:t>
      </w:r>
      <w:r>
        <w:rPr/>
        <w:t>F.M.,</w:t>
      </w:r>
      <w:r>
        <w:rPr>
          <w:spacing w:val="47"/>
        </w:rPr>
        <w:t> </w:t>
      </w:r>
      <w:r>
        <w:rPr/>
        <w:t>Durlacher,</w:t>
      </w:r>
      <w:r>
        <w:rPr>
          <w:spacing w:val="46"/>
        </w:rPr>
        <w:t> </w:t>
      </w:r>
      <w:r>
        <w:rPr/>
        <w:t>R.R.,</w:t>
      </w:r>
      <w:r>
        <w:rPr>
          <w:spacing w:val="49"/>
        </w:rPr>
        <w:t> </w:t>
      </w:r>
      <w:r>
        <w:rPr/>
        <w:t>Lacerda,</w:t>
      </w:r>
      <w:r>
        <w:rPr>
          <w:spacing w:val="46"/>
        </w:rPr>
        <w:t> </w:t>
      </w:r>
      <w:r>
        <w:rPr/>
        <w:t>M.V.,</w:t>
      </w:r>
      <w:r>
        <w:rPr>
          <w:spacing w:val="48"/>
        </w:rPr>
        <w:t> </w:t>
      </w:r>
      <w:r>
        <w:rPr/>
        <w:t>Alecrim,</w:t>
      </w:r>
      <w:r>
        <w:rPr>
          <w:spacing w:val="47"/>
        </w:rPr>
        <w:t> </w:t>
      </w:r>
      <w:r>
        <w:rPr/>
        <w:t>M.G.,</w:t>
      </w:r>
      <w:r>
        <w:rPr>
          <w:spacing w:val="46"/>
        </w:rPr>
        <w:t> </w:t>
      </w:r>
      <w:r>
        <w:rPr/>
        <w:t>Ferreira,</w:t>
      </w:r>
      <w:r>
        <w:rPr>
          <w:spacing w:val="46"/>
        </w:rPr>
        <w:t> </w:t>
      </w:r>
      <w:r>
        <w:rPr/>
        <w:t>A.W.,</w:t>
      </w:r>
      <w:r>
        <w:rPr>
          <w:spacing w:val="47"/>
        </w:rPr>
        <w:t> </w:t>
      </w:r>
      <w:r>
        <w:rPr>
          <w:spacing w:val="-2"/>
        </w:rPr>
        <w:t>Sanchez,</w:t>
      </w:r>
    </w:p>
    <w:p>
      <w:pPr>
        <w:pStyle w:val="BodyText"/>
        <w:ind w:left="1280" w:right="798"/>
        <w:jc w:val="both"/>
      </w:pPr>
      <w:r>
        <w:rPr/>
        <w:t>M.C. and Moraes, S.L. (2008).Pattern of humoral immune response to plasmodium falciparum blood stages in individuals presenting different clinical expressions of malaria.</w:t>
      </w:r>
      <w:r>
        <w:rPr>
          <w:i/>
        </w:rPr>
        <w:t>Malaria Journal</w:t>
      </w:r>
      <w:r>
        <w:rPr/>
        <w:t>; 7: 186-197.</w:t>
      </w:r>
    </w:p>
    <w:p>
      <w:pPr>
        <w:pStyle w:val="BodyText"/>
      </w:pPr>
    </w:p>
    <w:p>
      <w:pPr>
        <w:pStyle w:val="BodyText"/>
        <w:spacing w:before="1"/>
        <w:ind w:left="1280" w:hanging="720"/>
      </w:pPr>
      <w:r>
        <w:rPr/>
        <w:t>Levin,</w:t>
      </w:r>
      <w:r>
        <w:rPr>
          <w:spacing w:val="80"/>
        </w:rPr>
        <w:t> </w:t>
      </w:r>
      <w:r>
        <w:rPr/>
        <w:t>A.</w:t>
      </w:r>
      <w:r>
        <w:rPr>
          <w:spacing w:val="80"/>
        </w:rPr>
        <w:t> </w:t>
      </w:r>
      <w:r>
        <w:rPr/>
        <w:t>and</w:t>
      </w:r>
      <w:r>
        <w:rPr>
          <w:spacing w:val="80"/>
        </w:rPr>
        <w:t> </w:t>
      </w:r>
      <w:r>
        <w:rPr/>
        <w:t>Rocco,</w:t>
      </w:r>
      <w:r>
        <w:rPr>
          <w:spacing w:val="80"/>
        </w:rPr>
        <w:t> </w:t>
      </w:r>
      <w:r>
        <w:rPr/>
        <w:t>M.</w:t>
      </w:r>
      <w:r>
        <w:rPr>
          <w:spacing w:val="80"/>
        </w:rPr>
        <w:t> </w:t>
      </w:r>
      <w:r>
        <w:rPr/>
        <w:t>(2006).</w:t>
      </w:r>
      <w:r>
        <w:rPr>
          <w:spacing w:val="80"/>
        </w:rPr>
        <w:t> </w:t>
      </w:r>
      <w:r>
        <w:rPr/>
        <w:t>Clinical</w:t>
      </w:r>
      <w:r>
        <w:rPr>
          <w:spacing w:val="80"/>
        </w:rPr>
        <w:t> </w:t>
      </w:r>
      <w:r>
        <w:rPr/>
        <w:t>Practice</w:t>
      </w:r>
      <w:r>
        <w:rPr>
          <w:spacing w:val="80"/>
        </w:rPr>
        <w:t> </w:t>
      </w:r>
      <w:r>
        <w:rPr/>
        <w:t>guidelines</w:t>
      </w:r>
      <w:r>
        <w:rPr>
          <w:spacing w:val="80"/>
        </w:rPr>
        <w:t> </w:t>
      </w:r>
      <w:r>
        <w:rPr/>
        <w:t>and</w:t>
      </w:r>
      <w:r>
        <w:rPr>
          <w:spacing w:val="80"/>
        </w:rPr>
        <w:t> </w:t>
      </w:r>
      <w:r>
        <w:rPr/>
        <w:t>Clinical</w:t>
      </w:r>
      <w:r>
        <w:rPr>
          <w:spacing w:val="80"/>
        </w:rPr>
        <w:t> </w:t>
      </w:r>
      <w:r>
        <w:rPr/>
        <w:t>practice</w:t>
      </w:r>
      <w:r>
        <w:rPr>
          <w:spacing w:val="40"/>
        </w:rPr>
        <w:t> </w:t>
      </w:r>
      <w:r>
        <w:rPr/>
        <w:t>recommendation for anaemia. </w:t>
      </w:r>
      <w:r>
        <w:rPr>
          <w:i/>
        </w:rPr>
        <w:t>American Journal of Kidney; </w:t>
      </w:r>
      <w:r>
        <w:rPr/>
        <w:t>47(</w:t>
      </w:r>
      <w:r>
        <w:rPr>
          <w:b/>
        </w:rPr>
        <w:t>3</w:t>
      </w:r>
      <w:r>
        <w:rPr/>
        <w:t>): 59 – 510.</w:t>
      </w:r>
    </w:p>
    <w:p>
      <w:pPr>
        <w:spacing w:after="0"/>
        <w:sectPr>
          <w:pgSz w:w="11910" w:h="16840"/>
          <w:pgMar w:header="0" w:footer="1067" w:top="1060" w:bottom="1260" w:left="880" w:right="640"/>
        </w:sectPr>
      </w:pPr>
    </w:p>
    <w:p>
      <w:pPr>
        <w:pStyle w:val="BodyText"/>
        <w:spacing w:before="70"/>
        <w:ind w:left="1280" w:right="796" w:hanging="720"/>
        <w:jc w:val="both"/>
        <w:rPr>
          <w:b/>
        </w:rPr>
      </w:pPr>
      <w:r>
        <w:rPr/>
        <w:t>Lewis and Bates (2012).</w:t>
      </w:r>
      <w:r>
        <w:rPr>
          <w:spacing w:val="40"/>
        </w:rPr>
        <w:t> </w:t>
      </w:r>
      <w:r>
        <w:rPr/>
        <w:t>Reference ranges and normal values. In: Dacie and Lewis Practical Haematology. Lewis S. M., Bain, B. J., Bates I. (eds). 11th edition London. Churchill Livingstone PP: </w:t>
      </w:r>
      <w:r>
        <w:rPr>
          <w:b/>
        </w:rPr>
        <w:t>11-22.</w:t>
      </w:r>
    </w:p>
    <w:p>
      <w:pPr>
        <w:pStyle w:val="BodyText"/>
        <w:rPr>
          <w:b/>
        </w:rPr>
      </w:pPr>
    </w:p>
    <w:p>
      <w:pPr>
        <w:pStyle w:val="BodyText"/>
        <w:spacing w:before="1"/>
        <w:ind w:left="1280" w:right="795" w:hanging="720"/>
        <w:jc w:val="both"/>
      </w:pPr>
      <w:r>
        <w:rPr/>
        <w:t>Lin, H., Mosmann, T.R., Guilbert, L., Tuntipopipat, S. and Wegmann, T.G. (1993).Synthesis of T helper 2-type cytokines at the maternal-foetal interface.</w:t>
      </w:r>
      <w:r>
        <w:rPr>
          <w:i/>
        </w:rPr>
        <w:t>Journal of Immunology</w:t>
      </w:r>
      <w:r>
        <w:rPr/>
        <w:t>; 151(</w:t>
      </w:r>
      <w:r>
        <w:rPr>
          <w:b/>
        </w:rPr>
        <w:t>9</w:t>
      </w:r>
      <w:r>
        <w:rPr/>
        <w:t>): 4562-4573.</w:t>
      </w:r>
    </w:p>
    <w:p>
      <w:pPr>
        <w:pStyle w:val="BodyText"/>
        <w:spacing w:before="276"/>
        <w:ind w:left="1280" w:right="797" w:hanging="720"/>
        <w:jc w:val="both"/>
      </w:pPr>
      <w:r>
        <w:rPr/>
        <w:t>Ludwiczek, S., Aigner, E., Theurl, I. and Weiss, G. (2003).“Cytokine-mediated regulation of iron transport in human monocytic cells”</w:t>
      </w:r>
      <w:r>
        <w:rPr>
          <w:i/>
        </w:rPr>
        <w:t>Blood</w:t>
      </w:r>
      <w:r>
        <w:rPr/>
        <w:t>; 101(</w:t>
      </w:r>
      <w:r>
        <w:rPr>
          <w:b/>
        </w:rPr>
        <w:t>10</w:t>
      </w:r>
      <w:r>
        <w:rPr/>
        <w:t>): 4148-4154.</w:t>
      </w:r>
    </w:p>
    <w:p>
      <w:pPr>
        <w:pStyle w:val="BodyText"/>
        <w:spacing w:before="276"/>
        <w:ind w:left="1280" w:right="794" w:hanging="720"/>
        <w:jc w:val="both"/>
      </w:pPr>
      <w:r>
        <w:rPr/>
        <w:t>Luty, A.J.F., Lell, B., Schmidt-Ott, R., Lehman, L.G., Lucker, D., Greve, B., Matousek, P., Herbich, K., Schmid, D., Migot-Nabias, F., Deloron, P., Nussenzweig, R.S. and Kremsner, P.G. (1999). Interferon-gamma responses are associated with resistance to reinfection with </w:t>
      </w:r>
      <w:r>
        <w:rPr>
          <w:i/>
        </w:rPr>
        <w:t>Plasmodium falciparum </w:t>
      </w:r>
      <w:r>
        <w:rPr/>
        <w:t>in young African children. </w:t>
      </w:r>
      <w:r>
        <w:rPr>
          <w:i/>
        </w:rPr>
        <w:t>Journal of Infectious Diseases</w:t>
      </w:r>
      <w:r>
        <w:rPr/>
        <w:t>; 179(</w:t>
      </w:r>
      <w:r>
        <w:rPr>
          <w:b/>
        </w:rPr>
        <w:t>4</w:t>
      </w:r>
      <w:r>
        <w:rPr/>
        <w:t>): 980- 988.</w:t>
      </w:r>
    </w:p>
    <w:p>
      <w:pPr>
        <w:pStyle w:val="BodyText"/>
      </w:pPr>
    </w:p>
    <w:p>
      <w:pPr>
        <w:pStyle w:val="BodyText"/>
        <w:ind w:left="1280" w:right="795" w:hanging="720"/>
        <w:jc w:val="both"/>
      </w:pPr>
      <w:r>
        <w:rPr/>
        <w:t>Lynch, S. (2012). The rational for selecting and standardizing Iron status indicators. In:</w:t>
      </w:r>
      <w:r>
        <w:rPr>
          <w:spacing w:val="40"/>
        </w:rPr>
        <w:t> </w:t>
      </w:r>
      <w:r>
        <w:rPr/>
        <w:t>World</w:t>
      </w:r>
      <w:r>
        <w:rPr>
          <w:spacing w:val="-1"/>
        </w:rPr>
        <w:t> </w:t>
      </w:r>
      <w:r>
        <w:rPr/>
        <w:t>Health</w:t>
      </w:r>
      <w:r>
        <w:rPr>
          <w:spacing w:val="-1"/>
        </w:rPr>
        <w:t> </w:t>
      </w:r>
      <w:r>
        <w:rPr/>
        <w:t>Organization</w:t>
      </w:r>
      <w:r>
        <w:rPr>
          <w:spacing w:val="-1"/>
        </w:rPr>
        <w:t> </w:t>
      </w:r>
      <w:r>
        <w:rPr/>
        <w:t>Report:</w:t>
      </w:r>
      <w:r>
        <w:rPr>
          <w:spacing w:val="-1"/>
        </w:rPr>
        <w:t> </w:t>
      </w:r>
      <w:r>
        <w:rPr/>
        <w:t>Priorities</w:t>
      </w:r>
      <w:r>
        <w:rPr>
          <w:spacing w:val="-2"/>
        </w:rPr>
        <w:t> </w:t>
      </w:r>
      <w:r>
        <w:rPr/>
        <w:t>in</w:t>
      </w:r>
      <w:r>
        <w:rPr>
          <w:spacing w:val="-1"/>
        </w:rPr>
        <w:t> </w:t>
      </w:r>
      <w:r>
        <w:rPr/>
        <w:t>the</w:t>
      </w:r>
      <w:r>
        <w:rPr>
          <w:spacing w:val="-2"/>
        </w:rPr>
        <w:t> </w:t>
      </w:r>
      <w:r>
        <w:rPr/>
        <w:t>assessment</w:t>
      </w:r>
      <w:r>
        <w:rPr>
          <w:spacing w:val="-1"/>
        </w:rPr>
        <w:t> </w:t>
      </w:r>
      <w:r>
        <w:rPr/>
        <w:t>of Vitamin</w:t>
      </w:r>
      <w:r>
        <w:rPr>
          <w:spacing w:val="-1"/>
        </w:rPr>
        <w:t> </w:t>
      </w:r>
      <w:r>
        <w:rPr/>
        <w:t>A</w:t>
      </w:r>
      <w:r>
        <w:rPr>
          <w:spacing w:val="-2"/>
        </w:rPr>
        <w:t> </w:t>
      </w:r>
      <w:r>
        <w:rPr/>
        <w:t>and Iron Status in Population,</w:t>
      </w:r>
      <w:r>
        <w:rPr>
          <w:spacing w:val="-2"/>
        </w:rPr>
        <w:t> </w:t>
      </w:r>
      <w:r>
        <w:rPr/>
        <w:t>Panama City, Panama, Geneva, World Health Organisation; 55 - </w:t>
      </w:r>
      <w:r>
        <w:rPr>
          <w:spacing w:val="-6"/>
        </w:rPr>
        <w:t>62</w:t>
      </w:r>
    </w:p>
    <w:p>
      <w:pPr>
        <w:pStyle w:val="BodyText"/>
      </w:pPr>
    </w:p>
    <w:p>
      <w:pPr>
        <w:pStyle w:val="BodyText"/>
        <w:spacing w:before="1"/>
        <w:ind w:left="1280" w:right="802" w:hanging="720"/>
        <w:jc w:val="both"/>
      </w:pPr>
      <w:r>
        <w:rPr/>
        <w:t>Mackintosh, C.L., Beeson, J.G. and Marsh, K. (2004).Clinical features and pathogenesis of severe malaria.</w:t>
      </w:r>
      <w:r>
        <w:rPr>
          <w:i/>
        </w:rPr>
        <w:t>Trends in Parasitology</w:t>
      </w:r>
      <w:r>
        <w:rPr/>
        <w:t>; 20(</w:t>
      </w:r>
      <w:r>
        <w:rPr>
          <w:b/>
        </w:rPr>
        <w:t>12</w:t>
      </w:r>
      <w:r>
        <w:rPr/>
        <w:t>): 597-603.</w:t>
      </w:r>
    </w:p>
    <w:p>
      <w:pPr>
        <w:pStyle w:val="BodyText"/>
        <w:spacing w:before="240"/>
        <w:ind w:left="1280" w:right="800" w:hanging="720"/>
        <w:jc w:val="both"/>
      </w:pPr>
      <w:r>
        <w:rPr/>
        <w:t>Maitland, K., Levin, M., English, M., Mithwani, S., Peshu, N., Marsh, K. and Newton, C. R. (2003). Severe plasmodium falciparum malaria in kenyan children: evidence for hypovolaemia. </w:t>
      </w:r>
      <w:r>
        <w:rPr>
          <w:i/>
        </w:rPr>
        <w:t>Quarterly Journal of Medicine</w:t>
      </w:r>
      <w:r>
        <w:rPr/>
        <w:t>; 96(</w:t>
      </w:r>
      <w:r>
        <w:rPr>
          <w:b/>
        </w:rPr>
        <w:t>6</w:t>
      </w:r>
      <w:r>
        <w:rPr/>
        <w:t>): 427- 434.</w:t>
      </w:r>
    </w:p>
    <w:p>
      <w:pPr>
        <w:pStyle w:val="BodyText"/>
      </w:pPr>
    </w:p>
    <w:p>
      <w:pPr>
        <w:spacing w:before="0"/>
        <w:ind w:left="1280" w:right="798" w:hanging="720"/>
        <w:jc w:val="both"/>
        <w:rPr>
          <w:sz w:val="24"/>
        </w:rPr>
      </w:pPr>
      <w:r>
        <w:rPr>
          <w:sz w:val="24"/>
        </w:rPr>
        <w:t>Males, S., Gaye, O., Garcia, A. (2008). Long-term asymptomatic carriage of </w:t>
      </w:r>
      <w:r>
        <w:rPr>
          <w:i/>
          <w:sz w:val="24"/>
        </w:rPr>
        <w:t>plasmodium falciparum </w:t>
      </w:r>
      <w:r>
        <w:rPr>
          <w:sz w:val="24"/>
        </w:rPr>
        <w:t>protects from malaria attacks: a prospective study among Senegalese children. </w:t>
      </w:r>
      <w:r>
        <w:rPr>
          <w:i/>
          <w:sz w:val="24"/>
        </w:rPr>
        <w:t>Clinical Infectious Diseases</w:t>
      </w:r>
      <w:r>
        <w:rPr>
          <w:sz w:val="24"/>
        </w:rPr>
        <w:t>; 46(</w:t>
      </w:r>
      <w:r>
        <w:rPr>
          <w:b/>
          <w:sz w:val="24"/>
        </w:rPr>
        <w:t>4</w:t>
      </w:r>
      <w:r>
        <w:rPr>
          <w:sz w:val="24"/>
        </w:rPr>
        <w:t>): 516-522.</w:t>
      </w:r>
    </w:p>
    <w:p>
      <w:pPr>
        <w:pStyle w:val="BodyText"/>
      </w:pPr>
    </w:p>
    <w:p>
      <w:pPr>
        <w:pStyle w:val="BodyText"/>
        <w:ind w:left="1280" w:right="801" w:hanging="720"/>
        <w:jc w:val="both"/>
      </w:pPr>
      <w:r>
        <w:rPr/>
        <w:t>Malyszko, J., Malyszko, J. S., Pawlak, K. and Mysliwiec, M. (2006).Hepcidin, Iron Status and renal function in chronic renal failure, kidney transplantation and haemolysis.</w:t>
      </w:r>
      <w:r>
        <w:rPr>
          <w:i/>
        </w:rPr>
        <w:t>American Journal of Haematology. </w:t>
      </w:r>
      <w:r>
        <w:rPr/>
        <w:t>81: 832 – 837</w:t>
      </w:r>
    </w:p>
    <w:p>
      <w:pPr>
        <w:pStyle w:val="BodyText"/>
        <w:spacing w:before="27"/>
      </w:pPr>
    </w:p>
    <w:p>
      <w:pPr>
        <w:spacing w:line="249" w:lineRule="auto" w:before="0"/>
        <w:ind w:left="1280" w:right="796" w:hanging="720"/>
        <w:jc w:val="both"/>
        <w:rPr>
          <w:sz w:val="26"/>
        </w:rPr>
      </w:pPr>
      <w:r>
        <w:rPr>
          <w:sz w:val="24"/>
        </w:rPr>
        <w:t>Mamoru ,N., Shin-Ichi, I. and Fumie K. (2011) Role of Interleukin-10 in Malaria: Focusing on Coinfection with Lethal and Nonlethal Murine Malaria Parasites. </w:t>
      </w:r>
      <w:r>
        <w:rPr>
          <w:i/>
          <w:sz w:val="24"/>
        </w:rPr>
        <w:t>Journal of Biomedicine and Biotechnology.</w:t>
      </w:r>
      <w:r>
        <w:rPr>
          <w:sz w:val="26"/>
        </w:rPr>
        <w:t>Volume 2011 (2011), Pp 383-396</w:t>
      </w:r>
    </w:p>
    <w:p>
      <w:pPr>
        <w:pStyle w:val="BodyText"/>
        <w:spacing w:before="258"/>
        <w:ind w:left="1280" w:right="796" w:hanging="720"/>
        <w:jc w:val="both"/>
      </w:pPr>
      <w:r>
        <w:rPr/>
        <w:t>Mark W., (2002). The measurement of ferritin. In: Advanced Laboratory Methods in Haematology. Martin R.R., Onno W, Van A, Eric F.P. (eds). London. Arnold Publishers pp 241-258.</w:t>
      </w:r>
    </w:p>
    <w:p>
      <w:pPr>
        <w:pStyle w:val="BodyText"/>
      </w:pPr>
    </w:p>
    <w:p>
      <w:pPr>
        <w:pStyle w:val="BodyText"/>
        <w:ind w:left="1280" w:right="795" w:hanging="720"/>
        <w:jc w:val="both"/>
      </w:pPr>
      <w:r>
        <w:rPr/>
        <w:t>Matejevic, D. Neudeck, H, Graf, R. Muller, T. and Diett, J. (2001).Localization of</w:t>
      </w:r>
      <w:r>
        <w:rPr>
          <w:spacing w:val="40"/>
        </w:rPr>
        <w:t> </w:t>
      </w:r>
      <w:r>
        <w:rPr/>
        <w:t>hyaluronan with a hyaluronan-specific hyaluronic acid binding protein in the placenta in pre-eclampsia. Gynecologic and Obstetric investigation; 52(</w:t>
      </w:r>
      <w:r>
        <w:rPr>
          <w:b/>
        </w:rPr>
        <w:t>4</w:t>
      </w:r>
      <w:r>
        <w:rPr/>
        <w:t>): 257-259</w:t>
      </w:r>
    </w:p>
    <w:p>
      <w:pPr>
        <w:spacing w:after="0"/>
        <w:jc w:val="both"/>
        <w:sectPr>
          <w:pgSz w:w="11910" w:h="16840"/>
          <w:pgMar w:header="0" w:footer="1067" w:top="1060" w:bottom="1260" w:left="880" w:right="640"/>
        </w:sectPr>
      </w:pPr>
    </w:p>
    <w:p>
      <w:pPr>
        <w:pStyle w:val="BodyText"/>
        <w:spacing w:before="70"/>
        <w:ind w:left="1280" w:right="796" w:hanging="720"/>
        <w:jc w:val="both"/>
      </w:pPr>
      <w:r>
        <w:rPr/>
        <w:t>Matteelli, A., Donato, F., Shein, A., Muchi, J.A., Leopardi, O., Astori, L. and Carosi, G. (1994).Malaria and anaemia in pregnant women in urban Zanzibar, Tanzania.</w:t>
      </w:r>
      <w:r>
        <w:rPr>
          <w:i/>
        </w:rPr>
        <w:t>Annals of Tropical Medicine and Parasitology</w:t>
      </w:r>
      <w:r>
        <w:rPr/>
        <w:t>; 88(</w:t>
      </w:r>
      <w:r>
        <w:rPr>
          <w:b/>
        </w:rPr>
        <w:t>5</w:t>
      </w:r>
      <w:r>
        <w:rPr/>
        <w:t>): 475-483.</w:t>
      </w:r>
    </w:p>
    <w:p>
      <w:pPr>
        <w:pStyle w:val="BodyText"/>
      </w:pPr>
    </w:p>
    <w:p>
      <w:pPr>
        <w:pStyle w:val="BodyText"/>
        <w:spacing w:before="1"/>
        <w:ind w:left="1280" w:right="799" w:hanging="720"/>
        <w:jc w:val="both"/>
      </w:pPr>
      <w:r>
        <w:rPr/>
        <w:t>Matthew, A.K., James, O.O.A., Bolanle, D. and Stephen, O.O. (2013).Hematological parameters and malaria parasite infection among pregnant women in Northwest Nigeria.</w:t>
      </w:r>
      <w:r>
        <w:rPr>
          <w:i/>
        </w:rPr>
        <w:t>Asian Pacific Journal of Tropical Disease</w:t>
      </w:r>
      <w:r>
        <w:rPr/>
        <w:t>; 3(</w:t>
      </w:r>
      <w:r>
        <w:rPr>
          <w:b/>
        </w:rPr>
        <w:t>1</w:t>
      </w:r>
      <w:r>
        <w:rPr/>
        <w:t>): 47-50.</w:t>
      </w:r>
    </w:p>
    <w:p>
      <w:pPr>
        <w:pStyle w:val="BodyText"/>
        <w:spacing w:before="276"/>
        <w:ind w:left="1280" w:right="801" w:hanging="720"/>
        <w:jc w:val="both"/>
      </w:pPr>
      <w:r>
        <w:rPr/>
        <w:t>Maubert, B., Fievet, N., Tami, G., Cot, M., Boudio, C. and Deloron, P. (1999).Development of antibodies against chondroitin sulfate A-adherent plasmodium in pregnant women.</w:t>
      </w:r>
      <w:r>
        <w:rPr>
          <w:i/>
        </w:rPr>
        <w:t>Infection and Immunity</w:t>
      </w:r>
      <w:r>
        <w:rPr/>
        <w:t>; 67(</w:t>
      </w:r>
      <w:r>
        <w:rPr>
          <w:b/>
        </w:rPr>
        <w:t>10</w:t>
      </w:r>
      <w:r>
        <w:rPr/>
        <w:t>): 5367-5371.</w:t>
      </w:r>
    </w:p>
    <w:p>
      <w:pPr>
        <w:pStyle w:val="BodyText"/>
      </w:pPr>
    </w:p>
    <w:p>
      <w:pPr>
        <w:pStyle w:val="BodyText"/>
        <w:ind w:left="1280" w:right="797" w:hanging="720"/>
        <w:jc w:val="both"/>
      </w:pPr>
      <w:r>
        <w:rPr/>
        <w:t>Maubert, B., Guilbert, L.J. and Deloron, P. (1997).Cytoadherence of </w:t>
      </w:r>
      <w:r>
        <w:rPr>
          <w:i/>
        </w:rPr>
        <w:t>plasmodium falciparum </w:t>
      </w:r>
      <w:r>
        <w:rPr/>
        <w:t>to intercellular adhesion molecule 1 and chondroitin-4-sulfate expressed by the syncytiotrophoblast of the placenta.</w:t>
      </w:r>
      <w:r>
        <w:rPr>
          <w:i/>
        </w:rPr>
        <w:t>Infection and Immunity</w:t>
      </w:r>
      <w:r>
        <w:rPr/>
        <w:t>; 65(</w:t>
      </w:r>
      <w:r>
        <w:rPr>
          <w:b/>
        </w:rPr>
        <w:t>4</w:t>
      </w:r>
      <w:r>
        <w:rPr/>
        <w:t>): 1251-1257.</w:t>
      </w:r>
    </w:p>
    <w:p>
      <w:pPr>
        <w:pStyle w:val="BodyText"/>
      </w:pPr>
    </w:p>
    <w:p>
      <w:pPr>
        <w:pStyle w:val="BodyText"/>
        <w:ind w:left="1280" w:right="804" w:hanging="720"/>
        <w:jc w:val="both"/>
      </w:pPr>
      <w:r>
        <w:rPr/>
        <w:t>Mazza, J. J. (2002). Anaemia of Chronic</w:t>
      </w:r>
      <w:r>
        <w:rPr>
          <w:spacing w:val="40"/>
        </w:rPr>
        <w:t> </w:t>
      </w:r>
      <w:r>
        <w:rPr/>
        <w:t>Disease. In:</w:t>
      </w:r>
      <w:r>
        <w:rPr>
          <w:spacing w:val="40"/>
        </w:rPr>
        <w:t> </w:t>
      </w:r>
      <w:r>
        <w:rPr/>
        <w:t>Mazza, J. J. (edn). Manual of Clinical Haematology 3</w:t>
      </w:r>
      <w:r>
        <w:rPr>
          <w:vertAlign w:val="superscript"/>
        </w:rPr>
        <w:t>rd</w:t>
      </w:r>
      <w:r>
        <w:rPr>
          <w:vertAlign w:val="baseline"/>
        </w:rPr>
        <w:t> edn; Lippincott; Baltimore.Pp: 54-61</w:t>
      </w:r>
    </w:p>
    <w:p>
      <w:pPr>
        <w:pStyle w:val="BodyText"/>
      </w:pPr>
    </w:p>
    <w:p>
      <w:pPr>
        <w:pStyle w:val="BodyText"/>
        <w:ind w:left="1280" w:right="794" w:hanging="720"/>
        <w:jc w:val="both"/>
      </w:pPr>
      <w:r>
        <w:rPr/>
        <w:t>Medina, T.S., Costa, S.P., Oliveira, M.D., Ventura, A.M., Souza, J.M., Gomes, T.F., Vallinoto, A.C., Póvoa, M.M., Silva, J.S. and Cunha, M.G. (2011). Increased interleukin-10 and interferon-gamma levels in </w:t>
      </w:r>
      <w:r>
        <w:rPr>
          <w:i/>
        </w:rPr>
        <w:t>plasmodium vivax </w:t>
      </w:r>
      <w:r>
        <w:rPr/>
        <w:t>malaria suggest a reciprocal regulation which is not altered by IL-10 gene promoter polymorphism. </w:t>
      </w:r>
      <w:r>
        <w:rPr>
          <w:i/>
        </w:rPr>
        <w:t>Malaria Journal</w:t>
      </w:r>
      <w:r>
        <w:rPr/>
        <w:t>; 10: 264-274.</w:t>
      </w:r>
    </w:p>
    <w:p>
      <w:pPr>
        <w:pStyle w:val="BodyText"/>
        <w:spacing w:before="1"/>
      </w:pPr>
    </w:p>
    <w:p>
      <w:pPr>
        <w:pStyle w:val="BodyText"/>
        <w:ind w:left="1280" w:right="795" w:hanging="720"/>
      </w:pPr>
      <w:r>
        <w:rPr/>
        <w:t>Mehta,</w:t>
      </w:r>
      <w:r>
        <w:rPr>
          <w:spacing w:val="-4"/>
        </w:rPr>
        <w:t> </w:t>
      </w:r>
      <w:r>
        <w:rPr/>
        <w:t>A.</w:t>
      </w:r>
      <w:r>
        <w:rPr>
          <w:spacing w:val="-4"/>
        </w:rPr>
        <w:t> </w:t>
      </w:r>
      <w:r>
        <w:rPr/>
        <w:t>B.</w:t>
      </w:r>
      <w:r>
        <w:rPr>
          <w:spacing w:val="-4"/>
        </w:rPr>
        <w:t> </w:t>
      </w:r>
      <w:r>
        <w:rPr/>
        <w:t>and</w:t>
      </w:r>
      <w:r>
        <w:rPr>
          <w:spacing w:val="-5"/>
        </w:rPr>
        <w:t> </w:t>
      </w:r>
      <w:r>
        <w:rPr/>
        <w:t>Hoffbrand</w:t>
      </w:r>
      <w:r>
        <w:rPr>
          <w:spacing w:val="-3"/>
        </w:rPr>
        <w:t> </w:t>
      </w:r>
      <w:r>
        <w:rPr/>
        <w:t>V.</w:t>
      </w:r>
      <w:r>
        <w:rPr>
          <w:spacing w:val="-4"/>
        </w:rPr>
        <w:t> </w:t>
      </w:r>
      <w:r>
        <w:rPr/>
        <w:t>A.</w:t>
      </w:r>
      <w:r>
        <w:rPr>
          <w:spacing w:val="-4"/>
        </w:rPr>
        <w:t> </w:t>
      </w:r>
      <w:r>
        <w:rPr/>
        <w:t>(2001).Haematological</w:t>
      </w:r>
      <w:r>
        <w:rPr>
          <w:spacing w:val="-4"/>
        </w:rPr>
        <w:t> </w:t>
      </w:r>
      <w:r>
        <w:rPr/>
        <w:t>Aspects</w:t>
      </w:r>
      <w:r>
        <w:rPr>
          <w:spacing w:val="-4"/>
        </w:rPr>
        <w:t> </w:t>
      </w:r>
      <w:r>
        <w:rPr/>
        <w:t>of</w:t>
      </w:r>
      <w:r>
        <w:rPr>
          <w:spacing w:val="-4"/>
        </w:rPr>
        <w:t> </w:t>
      </w:r>
      <w:r>
        <w:rPr/>
        <w:t>Systemic</w:t>
      </w:r>
      <w:r>
        <w:rPr>
          <w:spacing w:val="-5"/>
        </w:rPr>
        <w:t> </w:t>
      </w:r>
      <w:r>
        <w:rPr/>
        <w:t>Diseases.</w:t>
      </w:r>
      <w:r>
        <w:rPr>
          <w:spacing w:val="-2"/>
        </w:rPr>
        <w:t> </w:t>
      </w:r>
      <w:r>
        <w:rPr/>
        <w:t>In: Post Graduate Haematology. Eds Hoffbrand A. V., Lewis S. M. and Tuddenham</w:t>
      </w:r>
    </w:p>
    <w:p>
      <w:pPr>
        <w:pStyle w:val="BodyText"/>
        <w:ind w:left="1280"/>
      </w:pPr>
      <w:r>
        <w:rPr/>
        <w:t>E.G.D.</w:t>
      </w:r>
      <w:r>
        <w:rPr>
          <w:spacing w:val="-1"/>
        </w:rPr>
        <w:t> </w:t>
      </w:r>
      <w:r>
        <w:rPr/>
        <w:t>4</w:t>
      </w:r>
      <w:r>
        <w:rPr>
          <w:vertAlign w:val="superscript"/>
        </w:rPr>
        <w:t>th</w:t>
      </w:r>
      <w:r>
        <w:rPr>
          <w:vertAlign w:val="baseline"/>
        </w:rPr>
        <w:t>edn. OxfordUniversity</w:t>
      </w:r>
      <w:r>
        <w:rPr>
          <w:spacing w:val="-5"/>
          <w:vertAlign w:val="baseline"/>
        </w:rPr>
        <w:t> </w:t>
      </w:r>
      <w:r>
        <w:rPr>
          <w:vertAlign w:val="baseline"/>
        </w:rPr>
        <w:t>Press.</w:t>
      </w:r>
      <w:r>
        <w:rPr>
          <w:spacing w:val="-1"/>
          <w:vertAlign w:val="baseline"/>
        </w:rPr>
        <w:t> </w:t>
      </w:r>
      <w:r>
        <w:rPr>
          <w:vertAlign w:val="baseline"/>
        </w:rPr>
        <w:t>United States of</w:t>
      </w:r>
      <w:r>
        <w:rPr>
          <w:spacing w:val="-2"/>
          <w:vertAlign w:val="baseline"/>
        </w:rPr>
        <w:t> </w:t>
      </w:r>
      <w:r>
        <w:rPr>
          <w:vertAlign w:val="baseline"/>
        </w:rPr>
        <w:t>America</w:t>
      </w:r>
      <w:r>
        <w:rPr>
          <w:spacing w:val="-1"/>
          <w:vertAlign w:val="baseline"/>
        </w:rPr>
        <w:t> </w:t>
      </w:r>
      <w:r>
        <w:rPr>
          <w:vertAlign w:val="baseline"/>
        </w:rPr>
        <w:t>Pp: 675-</w:t>
      </w:r>
      <w:r>
        <w:rPr>
          <w:spacing w:val="-4"/>
          <w:vertAlign w:val="baseline"/>
        </w:rPr>
        <w:t>695.</w:t>
      </w:r>
    </w:p>
    <w:p>
      <w:pPr>
        <w:pStyle w:val="BodyText"/>
      </w:pPr>
    </w:p>
    <w:p>
      <w:pPr>
        <w:pStyle w:val="BodyText"/>
        <w:ind w:left="560"/>
      </w:pPr>
      <w:r>
        <w:rPr/>
        <w:t>Mendis,</w:t>
      </w:r>
      <w:r>
        <w:rPr>
          <w:spacing w:val="16"/>
        </w:rPr>
        <w:t> </w:t>
      </w:r>
      <w:r>
        <w:rPr/>
        <w:t>K.N.,</w:t>
      </w:r>
      <w:r>
        <w:rPr>
          <w:spacing w:val="15"/>
        </w:rPr>
        <w:t> </w:t>
      </w:r>
      <w:r>
        <w:rPr/>
        <w:t>Naotunne,</w:t>
      </w:r>
      <w:r>
        <w:rPr>
          <w:spacing w:val="16"/>
        </w:rPr>
        <w:t> </w:t>
      </w:r>
      <w:r>
        <w:rPr/>
        <w:t>T.D.,</w:t>
      </w:r>
      <w:r>
        <w:rPr>
          <w:spacing w:val="15"/>
        </w:rPr>
        <w:t> </w:t>
      </w:r>
      <w:r>
        <w:rPr/>
        <w:t>Karunaweera,</w:t>
      </w:r>
      <w:r>
        <w:rPr>
          <w:spacing w:val="17"/>
        </w:rPr>
        <w:t> </w:t>
      </w:r>
      <w:r>
        <w:rPr/>
        <w:t>N.D.,</w:t>
      </w:r>
      <w:r>
        <w:rPr>
          <w:spacing w:val="15"/>
        </w:rPr>
        <w:t> </w:t>
      </w:r>
      <w:r>
        <w:rPr/>
        <w:t>Del</w:t>
      </w:r>
      <w:r>
        <w:rPr>
          <w:spacing w:val="16"/>
        </w:rPr>
        <w:t> </w:t>
      </w:r>
      <w:r>
        <w:rPr/>
        <w:t>Giudice,</w:t>
      </w:r>
      <w:r>
        <w:rPr>
          <w:spacing w:val="15"/>
        </w:rPr>
        <w:t> </w:t>
      </w:r>
      <w:r>
        <w:rPr/>
        <w:t>G.,</w:t>
      </w:r>
      <w:r>
        <w:rPr>
          <w:spacing w:val="15"/>
        </w:rPr>
        <w:t> </w:t>
      </w:r>
      <w:r>
        <w:rPr/>
        <w:t>Grau,</w:t>
      </w:r>
      <w:r>
        <w:rPr>
          <w:spacing w:val="15"/>
        </w:rPr>
        <w:t> </w:t>
      </w:r>
      <w:r>
        <w:rPr/>
        <w:t>G.E.</w:t>
      </w:r>
      <w:r>
        <w:rPr>
          <w:spacing w:val="15"/>
        </w:rPr>
        <w:t> </w:t>
      </w:r>
      <w:r>
        <w:rPr/>
        <w:t>and</w:t>
      </w:r>
      <w:r>
        <w:rPr>
          <w:spacing w:val="15"/>
        </w:rPr>
        <w:t> </w:t>
      </w:r>
      <w:r>
        <w:rPr>
          <w:spacing w:val="-2"/>
        </w:rPr>
        <w:t>Carter,</w:t>
      </w:r>
    </w:p>
    <w:p>
      <w:pPr>
        <w:pStyle w:val="BodyText"/>
        <w:ind w:left="1280" w:right="798"/>
      </w:pPr>
      <w:r>
        <w:rPr/>
        <w:t>R. (1990).Anti-parasite effects of cytokines in malaria.</w:t>
      </w:r>
      <w:r>
        <w:rPr>
          <w:i/>
        </w:rPr>
        <w:t>Immunology Letters</w:t>
      </w:r>
      <w:r>
        <w:rPr/>
        <w:t>. 25(1-3): </w:t>
      </w:r>
      <w:r>
        <w:rPr>
          <w:spacing w:val="-2"/>
        </w:rPr>
        <w:t>217-220.</w:t>
      </w:r>
    </w:p>
    <w:p>
      <w:pPr>
        <w:pStyle w:val="BodyText"/>
      </w:pPr>
    </w:p>
    <w:p>
      <w:pPr>
        <w:pStyle w:val="BodyText"/>
        <w:ind w:left="1280" w:right="795" w:hanging="720"/>
      </w:pPr>
      <w:r>
        <w:rPr/>
        <w:t>Menedez,</w:t>
      </w:r>
      <w:r>
        <w:rPr>
          <w:spacing w:val="40"/>
        </w:rPr>
        <w:t> </w:t>
      </w:r>
      <w:r>
        <w:rPr/>
        <w:t>C.</w:t>
      </w:r>
      <w:r>
        <w:rPr>
          <w:spacing w:val="40"/>
        </w:rPr>
        <w:t> </w:t>
      </w:r>
      <w:r>
        <w:rPr/>
        <w:t>(1995).</w:t>
      </w:r>
      <w:r>
        <w:rPr>
          <w:spacing w:val="40"/>
        </w:rPr>
        <w:t> </w:t>
      </w:r>
      <w:r>
        <w:rPr/>
        <w:t>Malaria</w:t>
      </w:r>
      <w:r>
        <w:rPr>
          <w:spacing w:val="40"/>
        </w:rPr>
        <w:t> </w:t>
      </w:r>
      <w:r>
        <w:rPr/>
        <w:t>during</w:t>
      </w:r>
      <w:r>
        <w:rPr>
          <w:spacing w:val="40"/>
        </w:rPr>
        <w:t> </w:t>
      </w:r>
      <w:r>
        <w:rPr/>
        <w:t>pregnancy:</w:t>
      </w:r>
      <w:r>
        <w:rPr>
          <w:spacing w:val="40"/>
        </w:rPr>
        <w:t> </w:t>
      </w:r>
      <w:r>
        <w:rPr/>
        <w:t>a</w:t>
      </w:r>
      <w:r>
        <w:rPr>
          <w:spacing w:val="40"/>
        </w:rPr>
        <w:t> </w:t>
      </w:r>
      <w:r>
        <w:rPr/>
        <w:t>priority</w:t>
      </w:r>
      <w:r>
        <w:rPr>
          <w:spacing w:val="40"/>
        </w:rPr>
        <w:t> </w:t>
      </w:r>
      <w:r>
        <w:rPr/>
        <w:t>area</w:t>
      </w:r>
      <w:r>
        <w:rPr>
          <w:spacing w:val="40"/>
        </w:rPr>
        <w:t> </w:t>
      </w:r>
      <w:r>
        <w:rPr/>
        <w:t>of</w:t>
      </w:r>
      <w:r>
        <w:rPr>
          <w:spacing w:val="40"/>
        </w:rPr>
        <w:t> </w:t>
      </w:r>
      <w:r>
        <w:rPr/>
        <w:t>malaria</w:t>
      </w:r>
      <w:r>
        <w:rPr>
          <w:spacing w:val="40"/>
        </w:rPr>
        <w:t> </w:t>
      </w:r>
      <w:r>
        <w:rPr/>
        <w:t>research</w:t>
      </w:r>
      <w:r>
        <w:rPr>
          <w:spacing w:val="40"/>
        </w:rPr>
        <w:t> </w:t>
      </w:r>
      <w:r>
        <w:rPr/>
        <w:t>and control. </w:t>
      </w:r>
      <w:r>
        <w:rPr>
          <w:i/>
        </w:rPr>
        <w:t>Parasitology Today</w:t>
      </w:r>
      <w:r>
        <w:rPr/>
        <w:t>; 11(</w:t>
      </w:r>
      <w:r>
        <w:rPr>
          <w:b/>
        </w:rPr>
        <w:t>5</w:t>
      </w:r>
      <w:r>
        <w:rPr/>
        <w:t>): 178-183.</w:t>
      </w:r>
    </w:p>
    <w:p>
      <w:pPr>
        <w:pStyle w:val="BodyText"/>
        <w:spacing w:before="1"/>
      </w:pPr>
    </w:p>
    <w:p>
      <w:pPr>
        <w:pStyle w:val="BodyText"/>
        <w:ind w:left="1280" w:right="795" w:hanging="720"/>
      </w:pPr>
      <w:r>
        <w:rPr/>
        <w:t>Menedez,</w:t>
      </w:r>
      <w:r>
        <w:rPr>
          <w:spacing w:val="29"/>
        </w:rPr>
        <w:t> </w:t>
      </w:r>
      <w:r>
        <w:rPr/>
        <w:t>C.,</w:t>
      </w:r>
      <w:r>
        <w:rPr>
          <w:spacing w:val="29"/>
        </w:rPr>
        <w:t> </w:t>
      </w:r>
      <w:r>
        <w:rPr/>
        <w:t>Fleming, A.F.</w:t>
      </w:r>
      <w:r>
        <w:rPr>
          <w:spacing w:val="29"/>
        </w:rPr>
        <w:t> </w:t>
      </w:r>
      <w:r>
        <w:rPr/>
        <w:t>and</w:t>
      </w:r>
      <w:r>
        <w:rPr>
          <w:spacing w:val="29"/>
        </w:rPr>
        <w:t> </w:t>
      </w:r>
      <w:r>
        <w:rPr/>
        <w:t>Alonso,</w:t>
      </w:r>
      <w:r>
        <w:rPr>
          <w:spacing w:val="29"/>
        </w:rPr>
        <w:t> </w:t>
      </w:r>
      <w:r>
        <w:rPr/>
        <w:t>P.L.</w:t>
      </w:r>
      <w:r>
        <w:rPr>
          <w:spacing w:val="29"/>
        </w:rPr>
        <w:t> </w:t>
      </w:r>
      <w:r>
        <w:rPr/>
        <w:t>(2000).Malaria-related</w:t>
      </w:r>
      <w:r>
        <w:rPr>
          <w:spacing w:val="29"/>
        </w:rPr>
        <w:t> </w:t>
      </w:r>
      <w:r>
        <w:rPr/>
        <w:t>anaemia.</w:t>
      </w:r>
      <w:r>
        <w:rPr>
          <w:i/>
        </w:rPr>
        <w:t>Parasitology Today</w:t>
      </w:r>
      <w:r>
        <w:rPr/>
        <w:t>; 16(</w:t>
      </w:r>
      <w:r>
        <w:rPr>
          <w:b/>
        </w:rPr>
        <w:t>11</w:t>
      </w:r>
      <w:r>
        <w:rPr/>
        <w:t>): 469-476.</w:t>
      </w:r>
    </w:p>
    <w:p>
      <w:pPr>
        <w:pStyle w:val="BodyText"/>
      </w:pPr>
    </w:p>
    <w:p>
      <w:pPr>
        <w:pStyle w:val="BodyText"/>
        <w:ind w:left="1280" w:right="802" w:hanging="720"/>
        <w:jc w:val="both"/>
      </w:pPr>
      <w:r>
        <w:rPr/>
        <w:t>Mibei, E.K., Otieno, W.O., Orago, A.S. and Stoute, J.A. (2008).Distinct pattern of class and subclass antibodies in immune complexes of children with cerebral malaria and</w:t>
      </w:r>
      <w:r>
        <w:rPr>
          <w:spacing w:val="40"/>
        </w:rPr>
        <w:t> </w:t>
      </w:r>
      <w:r>
        <w:rPr/>
        <w:t>severe malarial anaemia.</w:t>
      </w:r>
      <w:r>
        <w:rPr>
          <w:i/>
        </w:rPr>
        <w:t>Parasite Immunology</w:t>
      </w:r>
      <w:r>
        <w:rPr/>
        <w:t>; 30(</w:t>
      </w:r>
      <w:r>
        <w:rPr>
          <w:b/>
        </w:rPr>
        <w:t>6-7</w:t>
      </w:r>
      <w:r>
        <w:rPr/>
        <w:t>): 334-341.</w:t>
      </w:r>
    </w:p>
    <w:p>
      <w:pPr>
        <w:pStyle w:val="BodyText"/>
      </w:pPr>
    </w:p>
    <w:p>
      <w:pPr>
        <w:spacing w:before="0"/>
        <w:ind w:left="1280" w:right="796" w:hanging="720"/>
        <w:jc w:val="both"/>
        <w:rPr>
          <w:sz w:val="24"/>
        </w:rPr>
      </w:pPr>
      <w:r>
        <w:rPr>
          <w:sz w:val="24"/>
        </w:rPr>
        <w:t>Miller, L. L., Miller, S. C., Torti, S. V., Tsuji, Y. and Torti, F. M. (1991).Iron-independent induction of ferritin H chain by tumor necrosis factor.</w:t>
      </w:r>
      <w:r>
        <w:rPr>
          <w:i/>
          <w:sz w:val="24"/>
        </w:rPr>
        <w:t>Proceedings of the National Academy of Sciences of the United States of America.</w:t>
      </w:r>
      <w:r>
        <w:rPr>
          <w:sz w:val="24"/>
        </w:rPr>
        <w:t>88</w:t>
      </w:r>
      <w:r>
        <w:rPr>
          <w:b/>
          <w:sz w:val="24"/>
        </w:rPr>
        <w:t>(11): </w:t>
      </w:r>
      <w:r>
        <w:rPr>
          <w:sz w:val="24"/>
        </w:rPr>
        <w:t>4946-4950</w:t>
      </w:r>
    </w:p>
    <w:p>
      <w:pPr>
        <w:pStyle w:val="BodyText"/>
      </w:pPr>
    </w:p>
    <w:p>
      <w:pPr>
        <w:pStyle w:val="BodyText"/>
        <w:spacing w:before="1"/>
        <w:ind w:left="1280" w:hanging="720"/>
      </w:pPr>
      <w:r>
        <w:rPr/>
        <w:t>Miller,</w:t>
      </w:r>
      <w:r>
        <w:rPr>
          <w:spacing w:val="40"/>
        </w:rPr>
        <w:t> </w:t>
      </w:r>
      <w:r>
        <w:rPr/>
        <w:t>L.H.,</w:t>
      </w:r>
      <w:r>
        <w:rPr>
          <w:spacing w:val="40"/>
        </w:rPr>
        <w:t> </w:t>
      </w:r>
      <w:r>
        <w:rPr/>
        <w:t>Baruch,</w:t>
      </w:r>
      <w:r>
        <w:rPr>
          <w:spacing w:val="40"/>
        </w:rPr>
        <w:t> </w:t>
      </w:r>
      <w:r>
        <w:rPr/>
        <w:t>D.I.,</w:t>
      </w:r>
      <w:r>
        <w:rPr>
          <w:spacing w:val="40"/>
        </w:rPr>
        <w:t> </w:t>
      </w:r>
      <w:r>
        <w:rPr/>
        <w:t>Marsh,</w:t>
      </w:r>
      <w:r>
        <w:rPr>
          <w:spacing w:val="40"/>
        </w:rPr>
        <w:t> </w:t>
      </w:r>
      <w:r>
        <w:rPr/>
        <w:t>K.</w:t>
      </w:r>
      <w:r>
        <w:rPr>
          <w:spacing w:val="40"/>
        </w:rPr>
        <w:t> </w:t>
      </w:r>
      <w:r>
        <w:rPr/>
        <w:t>and</w:t>
      </w:r>
      <w:r>
        <w:rPr>
          <w:spacing w:val="40"/>
        </w:rPr>
        <w:t> </w:t>
      </w:r>
      <w:r>
        <w:rPr/>
        <w:t>Doumbo,</w:t>
      </w:r>
      <w:r>
        <w:rPr>
          <w:spacing w:val="40"/>
        </w:rPr>
        <w:t> </w:t>
      </w:r>
      <w:r>
        <w:rPr/>
        <w:t>O.K.</w:t>
      </w:r>
      <w:r>
        <w:rPr>
          <w:spacing w:val="40"/>
        </w:rPr>
        <w:t> </w:t>
      </w:r>
      <w:r>
        <w:rPr/>
        <w:t>(2002).The</w:t>
      </w:r>
      <w:r>
        <w:rPr>
          <w:spacing w:val="40"/>
        </w:rPr>
        <w:t> </w:t>
      </w:r>
      <w:r>
        <w:rPr/>
        <w:t>pathogenic</w:t>
      </w:r>
      <w:r>
        <w:rPr>
          <w:spacing w:val="40"/>
        </w:rPr>
        <w:t> </w:t>
      </w:r>
      <w:r>
        <w:rPr/>
        <w:t>basis</w:t>
      </w:r>
      <w:r>
        <w:rPr>
          <w:spacing w:val="40"/>
        </w:rPr>
        <w:t> </w:t>
      </w:r>
      <w:r>
        <w:rPr/>
        <w:t>of malaria.</w:t>
      </w:r>
      <w:r>
        <w:rPr>
          <w:i/>
        </w:rPr>
        <w:t>Nature</w:t>
      </w:r>
      <w:r>
        <w:rPr/>
        <w:t>; 415(</w:t>
      </w:r>
      <w:r>
        <w:rPr>
          <w:b/>
        </w:rPr>
        <w:t>6872</w:t>
      </w:r>
      <w:r>
        <w:rPr/>
        <w:t>): 673-679.</w:t>
      </w:r>
    </w:p>
    <w:p>
      <w:pPr>
        <w:spacing w:after="0"/>
        <w:sectPr>
          <w:pgSz w:w="11910" w:h="16840"/>
          <w:pgMar w:header="0" w:footer="1067" w:top="1060" w:bottom="1260" w:left="880" w:right="640"/>
        </w:sectPr>
      </w:pPr>
    </w:p>
    <w:p>
      <w:pPr>
        <w:pStyle w:val="BodyText"/>
        <w:spacing w:before="70"/>
        <w:ind w:left="1280" w:right="795" w:hanging="720"/>
        <w:jc w:val="both"/>
      </w:pPr>
      <w:r>
        <w:rPr/>
        <w:t>Miller, L.H., Good, M.F. and Milon, G. (1994).Malaria pathogenesis.</w:t>
      </w:r>
      <w:r>
        <w:rPr>
          <w:i/>
        </w:rPr>
        <w:t>Science</w:t>
      </w:r>
      <w:r>
        <w:rPr/>
        <w:t>; 264(</w:t>
      </w:r>
      <w:r>
        <w:rPr>
          <w:b/>
        </w:rPr>
        <w:t>5167</w:t>
      </w:r>
      <w:r>
        <w:rPr/>
        <w:t>): </w:t>
      </w:r>
      <w:r>
        <w:rPr>
          <w:spacing w:val="-2"/>
        </w:rPr>
        <w:t>1878-1883.</w:t>
      </w:r>
    </w:p>
    <w:p>
      <w:pPr>
        <w:pStyle w:val="BodyText"/>
      </w:pPr>
    </w:p>
    <w:p>
      <w:pPr>
        <w:spacing w:before="1"/>
        <w:ind w:left="1280" w:right="795" w:hanging="720"/>
        <w:jc w:val="both"/>
        <w:rPr>
          <w:sz w:val="24"/>
        </w:rPr>
      </w:pPr>
      <w:r>
        <w:rPr>
          <w:sz w:val="24"/>
        </w:rPr>
        <w:t>Milman, N. (2006). Iron and pregnancy – a delicate balance.</w:t>
      </w:r>
      <w:r>
        <w:rPr>
          <w:i/>
          <w:sz w:val="24"/>
        </w:rPr>
        <w:t>Annals of Haematology</w:t>
      </w:r>
      <w:r>
        <w:rPr>
          <w:sz w:val="24"/>
        </w:rPr>
        <w:t>; 85(</w:t>
      </w:r>
      <w:r>
        <w:rPr>
          <w:b/>
          <w:sz w:val="24"/>
        </w:rPr>
        <w:t>9</w:t>
      </w:r>
      <w:r>
        <w:rPr>
          <w:sz w:val="24"/>
        </w:rPr>
        <w:t>): 559 – 65.</w:t>
      </w:r>
    </w:p>
    <w:p>
      <w:pPr>
        <w:spacing w:before="276"/>
        <w:ind w:left="1280" w:right="798" w:hanging="720"/>
        <w:jc w:val="both"/>
        <w:rPr>
          <w:sz w:val="24"/>
        </w:rPr>
      </w:pPr>
      <w:r>
        <w:rPr>
          <w:sz w:val="24"/>
        </w:rPr>
        <w:t>Milman, N. (2008). Prepartum anaemia: Prevention and treatment. </w:t>
      </w:r>
      <w:r>
        <w:rPr>
          <w:i/>
          <w:sz w:val="24"/>
        </w:rPr>
        <w:t>Annals of Haematology</w:t>
      </w:r>
      <w:r>
        <w:rPr>
          <w:sz w:val="24"/>
        </w:rPr>
        <w:t>; 87(</w:t>
      </w:r>
      <w:r>
        <w:rPr>
          <w:b/>
          <w:sz w:val="24"/>
        </w:rPr>
        <w:t>12</w:t>
      </w:r>
      <w:r>
        <w:rPr>
          <w:sz w:val="24"/>
        </w:rPr>
        <w:t>): 949 – 959.</w:t>
      </w:r>
    </w:p>
    <w:p>
      <w:pPr>
        <w:pStyle w:val="BodyText"/>
        <w:spacing w:before="240"/>
        <w:ind w:left="560"/>
        <w:jc w:val="both"/>
      </w:pPr>
      <w:r>
        <w:rPr/>
        <w:t>Milner,</w:t>
      </w:r>
      <w:r>
        <w:rPr>
          <w:spacing w:val="-4"/>
        </w:rPr>
        <w:t> </w:t>
      </w:r>
      <w:r>
        <w:rPr/>
        <w:t>D.</w:t>
      </w:r>
      <w:r>
        <w:rPr>
          <w:spacing w:val="-1"/>
        </w:rPr>
        <w:t> </w:t>
      </w:r>
      <w:r>
        <w:rPr/>
        <w:t>A.,</w:t>
      </w:r>
      <w:r>
        <w:rPr>
          <w:spacing w:val="-1"/>
        </w:rPr>
        <w:t> </w:t>
      </w:r>
      <w:r>
        <w:rPr/>
        <w:t>Daily,</w:t>
      </w:r>
      <w:r>
        <w:rPr>
          <w:spacing w:val="-2"/>
        </w:rPr>
        <w:t> </w:t>
      </w:r>
      <w:r>
        <w:rPr/>
        <w:t>J.</w:t>
      </w:r>
      <w:r>
        <w:rPr>
          <w:spacing w:val="-1"/>
        </w:rPr>
        <w:t> </w:t>
      </w:r>
      <w:r>
        <w:rPr/>
        <w:t>and</w:t>
      </w:r>
      <w:r>
        <w:rPr>
          <w:spacing w:val="-1"/>
        </w:rPr>
        <w:t> </w:t>
      </w:r>
      <w:r>
        <w:rPr/>
        <w:t>Baron,</w:t>
      </w:r>
      <w:r>
        <w:rPr>
          <w:spacing w:val="-2"/>
        </w:rPr>
        <w:t> </w:t>
      </w:r>
      <w:r>
        <w:rPr/>
        <w:t>E. L.</w:t>
      </w:r>
      <w:r>
        <w:rPr>
          <w:spacing w:val="-1"/>
        </w:rPr>
        <w:t> </w:t>
      </w:r>
      <w:r>
        <w:rPr/>
        <w:t>(2011).Pathogenesis</w:t>
      </w:r>
      <w:r>
        <w:rPr>
          <w:spacing w:val="-2"/>
        </w:rPr>
        <w:t> </w:t>
      </w:r>
      <w:r>
        <w:rPr/>
        <w:t>of</w:t>
      </w:r>
      <w:r>
        <w:rPr>
          <w:spacing w:val="-1"/>
        </w:rPr>
        <w:t> </w:t>
      </w:r>
      <w:r>
        <w:rPr/>
        <w:t>malaria.Retrieved</w:t>
      </w:r>
      <w:r>
        <w:rPr>
          <w:spacing w:val="-1"/>
        </w:rPr>
        <w:t> </w:t>
      </w:r>
      <w:r>
        <w:rPr>
          <w:spacing w:val="-4"/>
        </w:rPr>
        <w:t>from</w:t>
      </w:r>
    </w:p>
    <w:p>
      <w:pPr>
        <w:spacing w:before="0"/>
        <w:ind w:left="1371" w:right="0" w:firstLine="0"/>
        <w:jc w:val="left"/>
        <w:rPr>
          <w:i/>
          <w:sz w:val="24"/>
        </w:rPr>
      </w:pPr>
      <w:hyperlink r:id="rId22">
        <w:r>
          <w:rPr>
            <w:i/>
            <w:color w:val="0000FF"/>
            <w:sz w:val="24"/>
            <w:u w:val="single" w:color="0000FF"/>
          </w:rPr>
          <w:t>http://www</w:t>
        </w:r>
      </w:hyperlink>
      <w:r>
        <w:rPr>
          <w:i/>
          <w:sz w:val="24"/>
        </w:rPr>
        <w:t>.Uptodate.com/contents/pathogenesis-of-malaria?View=</w:t>
      </w:r>
      <w:r>
        <w:rPr>
          <w:i/>
          <w:spacing w:val="-11"/>
          <w:sz w:val="24"/>
        </w:rPr>
        <w:t> </w:t>
      </w:r>
      <w:r>
        <w:rPr>
          <w:i/>
          <w:spacing w:val="-2"/>
          <w:sz w:val="24"/>
        </w:rPr>
        <w:t>print.</w:t>
      </w:r>
    </w:p>
    <w:p>
      <w:pPr>
        <w:pStyle w:val="BodyText"/>
        <w:rPr>
          <w:i/>
        </w:rPr>
      </w:pPr>
    </w:p>
    <w:p>
      <w:pPr>
        <w:pStyle w:val="BodyText"/>
        <w:ind w:left="1280" w:right="797" w:hanging="720"/>
        <w:jc w:val="both"/>
      </w:pPr>
      <w:r>
        <w:rPr/>
        <w:t>Mitchell, R. N. (2010) Haemodynamic disorders, Thromboembolic Diseases and Shock. In: Robbins and Cotram Pathological Basis of Diseases. 8</w:t>
      </w:r>
      <w:r>
        <w:rPr>
          <w:vertAlign w:val="superscript"/>
        </w:rPr>
        <w:t>th</w:t>
      </w:r>
      <w:r>
        <w:rPr>
          <w:vertAlign w:val="baseline"/>
        </w:rPr>
        <w:t> Edn. Editors; Vinay, K., Abdul, K. A., Nelson, F. and Jon, C. A. Sauders Elsevier‟s coy Philadelphia, U.S.A. Pp 111-134</w:t>
      </w:r>
    </w:p>
    <w:p>
      <w:pPr>
        <w:pStyle w:val="BodyText"/>
      </w:pPr>
    </w:p>
    <w:p>
      <w:pPr>
        <w:spacing w:before="0"/>
        <w:ind w:left="1280" w:right="803" w:hanging="720"/>
        <w:jc w:val="both"/>
        <w:rPr>
          <w:sz w:val="24"/>
        </w:rPr>
      </w:pPr>
      <w:r>
        <w:rPr>
          <w:sz w:val="24"/>
        </w:rPr>
        <w:t>Mockenhaupt, F. P. (1999) Serum transferrin receptor levels are increased in asymptomatic and mild </w:t>
      </w:r>
      <w:r>
        <w:rPr>
          <w:i/>
          <w:sz w:val="24"/>
        </w:rPr>
        <w:t>plasmodium falciparum </w:t>
      </w:r>
      <w:r>
        <w:rPr>
          <w:sz w:val="24"/>
        </w:rPr>
        <w:t>infection. </w:t>
      </w:r>
      <w:r>
        <w:rPr>
          <w:i/>
          <w:sz w:val="24"/>
        </w:rPr>
        <w:t>Haematologica.</w:t>
      </w:r>
      <w:r>
        <w:rPr>
          <w:sz w:val="24"/>
        </w:rPr>
        <w:t>84: 869 – 873</w:t>
      </w:r>
    </w:p>
    <w:p>
      <w:pPr>
        <w:pStyle w:val="BodyText"/>
      </w:pPr>
    </w:p>
    <w:p>
      <w:pPr>
        <w:pStyle w:val="BodyText"/>
        <w:ind w:left="1280" w:right="798" w:hanging="720"/>
        <w:jc w:val="both"/>
      </w:pPr>
      <w:r>
        <w:rPr/>
        <w:t>Mooremann, A.M., Sullivan, A.D., Rochford, R.A., Chensue, S.W., Bock, P.J., Nyirenda, T. and</w:t>
      </w:r>
      <w:r>
        <w:rPr>
          <w:spacing w:val="-2"/>
        </w:rPr>
        <w:t> </w:t>
      </w:r>
      <w:r>
        <w:rPr/>
        <w:t>Meshnick,</w:t>
      </w:r>
      <w:r>
        <w:rPr>
          <w:spacing w:val="-2"/>
        </w:rPr>
        <w:t> </w:t>
      </w:r>
      <w:r>
        <w:rPr/>
        <w:t>S.R.</w:t>
      </w:r>
      <w:r>
        <w:rPr>
          <w:spacing w:val="-2"/>
        </w:rPr>
        <w:t> </w:t>
      </w:r>
      <w:r>
        <w:rPr/>
        <w:t>(1999).</w:t>
      </w:r>
      <w:r>
        <w:rPr>
          <w:spacing w:val="-3"/>
        </w:rPr>
        <w:t> </w:t>
      </w:r>
      <w:r>
        <w:rPr/>
        <w:t>Malaria</w:t>
      </w:r>
      <w:r>
        <w:rPr>
          <w:spacing w:val="-4"/>
        </w:rPr>
        <w:t> </w:t>
      </w:r>
      <w:r>
        <w:rPr/>
        <w:t>and</w:t>
      </w:r>
      <w:r>
        <w:rPr>
          <w:spacing w:val="-2"/>
        </w:rPr>
        <w:t> </w:t>
      </w:r>
      <w:r>
        <w:rPr/>
        <w:t>pregnancy: placental</w:t>
      </w:r>
      <w:r>
        <w:rPr>
          <w:spacing w:val="-2"/>
        </w:rPr>
        <w:t> </w:t>
      </w:r>
      <w:r>
        <w:rPr/>
        <w:t>cytokine</w:t>
      </w:r>
      <w:r>
        <w:rPr>
          <w:spacing w:val="-3"/>
        </w:rPr>
        <w:t> </w:t>
      </w:r>
      <w:r>
        <w:rPr/>
        <w:t>expression</w:t>
      </w:r>
      <w:r>
        <w:rPr>
          <w:spacing w:val="-2"/>
        </w:rPr>
        <w:t> </w:t>
      </w:r>
      <w:r>
        <w:rPr/>
        <w:t>and its relationship to Intrauterine Growth Retardation. </w:t>
      </w:r>
      <w:r>
        <w:rPr>
          <w:i/>
        </w:rPr>
        <w:t>The Journal of Infectious</w:t>
      </w:r>
      <w:r>
        <w:rPr>
          <w:i/>
          <w:spacing w:val="40"/>
        </w:rPr>
        <w:t> </w:t>
      </w:r>
      <w:r>
        <w:rPr>
          <w:i/>
        </w:rPr>
        <w:t>Diseases</w:t>
      </w:r>
      <w:r>
        <w:rPr/>
        <w:t>; 180(</w:t>
      </w:r>
      <w:r>
        <w:rPr>
          <w:b/>
        </w:rPr>
        <w:t>6</w:t>
      </w:r>
      <w:r>
        <w:rPr/>
        <w:t>): 1987-1993.</w:t>
      </w:r>
    </w:p>
    <w:p>
      <w:pPr>
        <w:pStyle w:val="BodyText"/>
        <w:spacing w:before="1"/>
      </w:pPr>
    </w:p>
    <w:p>
      <w:pPr>
        <w:pStyle w:val="BodyText"/>
        <w:ind w:left="560"/>
        <w:jc w:val="both"/>
      </w:pPr>
      <w:r>
        <w:rPr/>
        <w:t>Mor</w:t>
      </w:r>
      <w:r>
        <w:rPr>
          <w:spacing w:val="27"/>
        </w:rPr>
        <w:t> </w:t>
      </w:r>
      <w:r>
        <w:rPr/>
        <w:t>G.</w:t>
      </w:r>
      <w:r>
        <w:rPr>
          <w:spacing w:val="29"/>
        </w:rPr>
        <w:t> </w:t>
      </w:r>
      <w:r>
        <w:rPr/>
        <w:t>and</w:t>
      </w:r>
      <w:r>
        <w:rPr>
          <w:spacing w:val="30"/>
        </w:rPr>
        <w:t> </w:t>
      </w:r>
      <w:r>
        <w:rPr/>
        <w:t>Cardenas</w:t>
      </w:r>
      <w:r>
        <w:rPr>
          <w:spacing w:val="30"/>
        </w:rPr>
        <w:t> </w:t>
      </w:r>
      <w:r>
        <w:rPr/>
        <w:t>F.</w:t>
      </w:r>
      <w:r>
        <w:rPr>
          <w:spacing w:val="30"/>
        </w:rPr>
        <w:t> </w:t>
      </w:r>
      <w:r>
        <w:rPr/>
        <w:t>(2010).</w:t>
      </w:r>
      <w:r>
        <w:rPr>
          <w:spacing w:val="29"/>
        </w:rPr>
        <w:t> </w:t>
      </w:r>
      <w:r>
        <w:rPr/>
        <w:t>The</w:t>
      </w:r>
      <w:r>
        <w:rPr>
          <w:spacing w:val="34"/>
        </w:rPr>
        <w:t> </w:t>
      </w:r>
      <w:r>
        <w:rPr/>
        <w:t>Immune</w:t>
      </w:r>
      <w:r>
        <w:rPr>
          <w:spacing w:val="29"/>
        </w:rPr>
        <w:t> </w:t>
      </w:r>
      <w:r>
        <w:rPr/>
        <w:t>system</w:t>
      </w:r>
      <w:r>
        <w:rPr>
          <w:spacing w:val="31"/>
        </w:rPr>
        <w:t> </w:t>
      </w:r>
      <w:r>
        <w:rPr/>
        <w:t>in</w:t>
      </w:r>
      <w:r>
        <w:rPr>
          <w:spacing w:val="30"/>
        </w:rPr>
        <w:t> </w:t>
      </w:r>
      <w:r>
        <w:rPr/>
        <w:t>pregnancy:</w:t>
      </w:r>
      <w:r>
        <w:rPr>
          <w:spacing w:val="38"/>
        </w:rPr>
        <w:t> </w:t>
      </w:r>
      <w:r>
        <w:rPr/>
        <w:t>A</w:t>
      </w:r>
      <w:r>
        <w:rPr>
          <w:spacing w:val="29"/>
        </w:rPr>
        <w:t> </w:t>
      </w:r>
      <w:r>
        <w:rPr/>
        <w:t>unique</w:t>
      </w:r>
      <w:r>
        <w:rPr>
          <w:spacing w:val="30"/>
        </w:rPr>
        <w:t> </w:t>
      </w:r>
      <w:r>
        <w:rPr>
          <w:spacing w:val="-2"/>
        </w:rPr>
        <w:t>complexity.</w:t>
      </w:r>
    </w:p>
    <w:p>
      <w:pPr>
        <w:spacing w:before="0"/>
        <w:ind w:left="1280" w:right="0" w:firstLine="0"/>
        <w:jc w:val="left"/>
        <w:rPr>
          <w:sz w:val="24"/>
        </w:rPr>
      </w:pPr>
      <w:r>
        <w:rPr>
          <w:i/>
          <w:sz w:val="24"/>
        </w:rPr>
        <w:t>American</w:t>
      </w:r>
      <w:r>
        <w:rPr>
          <w:i/>
          <w:spacing w:val="-3"/>
          <w:sz w:val="24"/>
        </w:rPr>
        <w:t> </w:t>
      </w:r>
      <w:r>
        <w:rPr>
          <w:i/>
          <w:sz w:val="24"/>
        </w:rPr>
        <w:t>Journal</w:t>
      </w:r>
      <w:r>
        <w:rPr>
          <w:i/>
          <w:spacing w:val="-1"/>
          <w:sz w:val="24"/>
        </w:rPr>
        <w:t> </w:t>
      </w:r>
      <w:r>
        <w:rPr>
          <w:i/>
          <w:sz w:val="24"/>
        </w:rPr>
        <w:t>of</w:t>
      </w:r>
      <w:r>
        <w:rPr>
          <w:i/>
          <w:spacing w:val="-1"/>
          <w:sz w:val="24"/>
        </w:rPr>
        <w:t> </w:t>
      </w:r>
      <w:r>
        <w:rPr>
          <w:i/>
          <w:sz w:val="24"/>
        </w:rPr>
        <w:t>Reproductive</w:t>
      </w:r>
      <w:r>
        <w:rPr>
          <w:i/>
          <w:spacing w:val="-2"/>
          <w:sz w:val="24"/>
        </w:rPr>
        <w:t> </w:t>
      </w:r>
      <w:r>
        <w:rPr>
          <w:i/>
          <w:sz w:val="24"/>
        </w:rPr>
        <w:t>Immunology; </w:t>
      </w:r>
      <w:r>
        <w:rPr>
          <w:sz w:val="24"/>
        </w:rPr>
        <w:t>63</w:t>
      </w:r>
      <w:r>
        <w:rPr>
          <w:spacing w:val="-1"/>
          <w:sz w:val="24"/>
        </w:rPr>
        <w:t> </w:t>
      </w:r>
      <w:r>
        <w:rPr>
          <w:sz w:val="24"/>
        </w:rPr>
        <w:t>(</w:t>
      </w:r>
      <w:r>
        <w:rPr>
          <w:b/>
          <w:sz w:val="24"/>
        </w:rPr>
        <w:t>6</w:t>
      </w:r>
      <w:r>
        <w:rPr>
          <w:sz w:val="24"/>
        </w:rPr>
        <w:t>):</w:t>
      </w:r>
      <w:r>
        <w:rPr>
          <w:spacing w:val="-1"/>
          <w:sz w:val="24"/>
        </w:rPr>
        <w:t> </w:t>
      </w:r>
      <w:r>
        <w:rPr>
          <w:sz w:val="24"/>
        </w:rPr>
        <w:t>425-</w:t>
      </w:r>
      <w:r>
        <w:rPr>
          <w:spacing w:val="-5"/>
          <w:sz w:val="24"/>
        </w:rPr>
        <w:t>433</w:t>
      </w:r>
    </w:p>
    <w:p>
      <w:pPr>
        <w:pStyle w:val="BodyText"/>
      </w:pPr>
    </w:p>
    <w:p>
      <w:pPr>
        <w:pStyle w:val="BodyText"/>
        <w:ind w:left="1280" w:right="795" w:hanging="720"/>
        <w:jc w:val="both"/>
      </w:pPr>
      <w:r>
        <w:rPr/>
        <w:t>Murphy, S.P., Tayade, C., Ashkar, A.A., Hatta, K., Zhang, J. and Croy, B.A. (2009).Interferon gamma in successful pregnancies.</w:t>
      </w:r>
      <w:r>
        <w:rPr>
          <w:i/>
        </w:rPr>
        <w:t>Biology of Reproduction</w:t>
      </w:r>
      <w:r>
        <w:rPr/>
        <w:t>; 80(</w:t>
      </w:r>
      <w:r>
        <w:rPr>
          <w:b/>
        </w:rPr>
        <w:t>5</w:t>
      </w:r>
      <w:r>
        <w:rPr/>
        <w:t>): </w:t>
      </w:r>
      <w:r>
        <w:rPr>
          <w:spacing w:val="-2"/>
        </w:rPr>
        <w:t>848-859.</w:t>
      </w:r>
    </w:p>
    <w:p>
      <w:pPr>
        <w:pStyle w:val="BodyText"/>
      </w:pPr>
    </w:p>
    <w:p>
      <w:pPr>
        <w:pStyle w:val="BodyText"/>
        <w:ind w:left="1280" w:right="798" w:hanging="720"/>
        <w:jc w:val="both"/>
      </w:pPr>
      <w:r>
        <w:rPr/>
        <w:t>Nadadur, S.S., Srirama, K. and Mudipalli, A. (2008). Iron transport and homeostasis mechanisms: Their role in health and disease. </w:t>
      </w:r>
      <w:r>
        <w:rPr>
          <w:i/>
        </w:rPr>
        <w:t>Indian Journal of Medical Research</w:t>
      </w:r>
      <w:r>
        <w:rPr/>
        <w:t>; 128(</w:t>
      </w:r>
      <w:r>
        <w:rPr>
          <w:b/>
        </w:rPr>
        <w:t>4</w:t>
      </w:r>
      <w:r>
        <w:rPr/>
        <w:t>): 533-544.</w:t>
      </w:r>
    </w:p>
    <w:p>
      <w:pPr>
        <w:pStyle w:val="BodyText"/>
        <w:spacing w:before="1"/>
      </w:pPr>
    </w:p>
    <w:p>
      <w:pPr>
        <w:pStyle w:val="BodyText"/>
        <w:ind w:left="560"/>
        <w:jc w:val="both"/>
      </w:pPr>
      <w:r>
        <w:rPr/>
        <w:t>Naik,</w:t>
      </w:r>
      <w:r>
        <w:rPr>
          <w:spacing w:val="6"/>
        </w:rPr>
        <w:t> </w:t>
      </w:r>
      <w:r>
        <w:rPr/>
        <w:t>R.</w:t>
      </w:r>
      <w:r>
        <w:rPr>
          <w:spacing w:val="6"/>
        </w:rPr>
        <w:t> </w:t>
      </w:r>
      <w:r>
        <w:rPr/>
        <w:t>S.,</w:t>
      </w:r>
      <w:r>
        <w:rPr>
          <w:spacing w:val="5"/>
        </w:rPr>
        <w:t> </w:t>
      </w:r>
      <w:r>
        <w:rPr/>
        <w:t>Branch,</w:t>
      </w:r>
      <w:r>
        <w:rPr>
          <w:spacing w:val="6"/>
        </w:rPr>
        <w:t> </w:t>
      </w:r>
      <w:r>
        <w:rPr/>
        <w:t>O.</w:t>
      </w:r>
      <w:r>
        <w:rPr>
          <w:spacing w:val="5"/>
        </w:rPr>
        <w:t> </w:t>
      </w:r>
      <w:r>
        <w:rPr/>
        <w:t>H.,</w:t>
      </w:r>
      <w:r>
        <w:rPr>
          <w:spacing w:val="6"/>
        </w:rPr>
        <w:t> </w:t>
      </w:r>
      <w:r>
        <w:rPr/>
        <w:t>Woods,</w:t>
      </w:r>
      <w:r>
        <w:rPr>
          <w:spacing w:val="7"/>
        </w:rPr>
        <w:t> </w:t>
      </w:r>
      <w:r>
        <w:rPr/>
        <w:t>A.</w:t>
      </w:r>
      <w:r>
        <w:rPr>
          <w:spacing w:val="5"/>
        </w:rPr>
        <w:t> </w:t>
      </w:r>
      <w:r>
        <w:rPr/>
        <w:t>S.,</w:t>
      </w:r>
      <w:r>
        <w:rPr>
          <w:spacing w:val="6"/>
        </w:rPr>
        <w:t> </w:t>
      </w:r>
      <w:r>
        <w:rPr/>
        <w:t>Vijajkumar,</w:t>
      </w:r>
      <w:r>
        <w:rPr>
          <w:spacing w:val="5"/>
        </w:rPr>
        <w:t> </w:t>
      </w:r>
      <w:r>
        <w:rPr/>
        <w:t>M.,</w:t>
      </w:r>
      <w:r>
        <w:rPr>
          <w:spacing w:val="7"/>
        </w:rPr>
        <w:t> </w:t>
      </w:r>
      <w:r>
        <w:rPr/>
        <w:t>Perkins,</w:t>
      </w:r>
      <w:r>
        <w:rPr>
          <w:spacing w:val="6"/>
        </w:rPr>
        <w:t> </w:t>
      </w:r>
      <w:r>
        <w:rPr/>
        <w:t>D.</w:t>
      </w:r>
      <w:r>
        <w:rPr>
          <w:spacing w:val="5"/>
        </w:rPr>
        <w:t> </w:t>
      </w:r>
      <w:r>
        <w:rPr/>
        <w:t>J.,</w:t>
      </w:r>
      <w:r>
        <w:rPr>
          <w:spacing w:val="4"/>
        </w:rPr>
        <w:t> </w:t>
      </w:r>
      <w:r>
        <w:rPr/>
        <w:t>Wahlen,</w:t>
      </w:r>
      <w:r>
        <w:rPr>
          <w:spacing w:val="5"/>
        </w:rPr>
        <w:t> </w:t>
      </w:r>
      <w:r>
        <w:rPr/>
        <w:t>B.</w:t>
      </w:r>
      <w:r>
        <w:rPr>
          <w:spacing w:val="6"/>
        </w:rPr>
        <w:t> </w:t>
      </w:r>
      <w:r>
        <w:rPr/>
        <w:t>L.,</w:t>
      </w:r>
      <w:r>
        <w:rPr>
          <w:spacing w:val="9"/>
        </w:rPr>
        <w:t> </w:t>
      </w:r>
      <w:r>
        <w:rPr>
          <w:spacing w:val="-4"/>
        </w:rPr>
        <w:t>Lal,</w:t>
      </w:r>
    </w:p>
    <w:p>
      <w:pPr>
        <w:pStyle w:val="BodyText"/>
        <w:ind w:left="1280"/>
        <w:jc w:val="both"/>
      </w:pPr>
      <w:r>
        <w:rPr/>
        <w:t>A.</w:t>
      </w:r>
      <w:r>
        <w:rPr>
          <w:spacing w:val="10"/>
        </w:rPr>
        <w:t> </w:t>
      </w:r>
      <w:r>
        <w:rPr/>
        <w:t>A.,</w:t>
      </w:r>
      <w:r>
        <w:rPr>
          <w:spacing w:val="12"/>
        </w:rPr>
        <w:t> </w:t>
      </w:r>
      <w:r>
        <w:rPr/>
        <w:t>Cotter,</w:t>
      </w:r>
      <w:r>
        <w:rPr>
          <w:spacing w:val="13"/>
        </w:rPr>
        <w:t> </w:t>
      </w:r>
      <w:r>
        <w:rPr/>
        <w:t>R.</w:t>
      </w:r>
      <w:r>
        <w:rPr>
          <w:spacing w:val="13"/>
        </w:rPr>
        <w:t> </w:t>
      </w:r>
      <w:r>
        <w:rPr/>
        <w:t>J.,</w:t>
      </w:r>
      <w:r>
        <w:rPr>
          <w:spacing w:val="14"/>
        </w:rPr>
        <w:t> </w:t>
      </w:r>
      <w:r>
        <w:rPr/>
        <w:t>Costello,</w:t>
      </w:r>
      <w:r>
        <w:rPr>
          <w:spacing w:val="13"/>
        </w:rPr>
        <w:t> </w:t>
      </w:r>
      <w:r>
        <w:rPr/>
        <w:t>C.</w:t>
      </w:r>
      <w:r>
        <w:rPr>
          <w:spacing w:val="13"/>
        </w:rPr>
        <w:t> </w:t>
      </w:r>
      <w:r>
        <w:rPr/>
        <w:t>E.,</w:t>
      </w:r>
      <w:r>
        <w:rPr>
          <w:spacing w:val="13"/>
        </w:rPr>
        <w:t> </w:t>
      </w:r>
      <w:r>
        <w:rPr/>
        <w:t>Ockenhause,</w:t>
      </w:r>
      <w:r>
        <w:rPr>
          <w:spacing w:val="15"/>
        </w:rPr>
        <w:t> </w:t>
      </w:r>
      <w:r>
        <w:rPr/>
        <w:t>C.</w:t>
      </w:r>
      <w:r>
        <w:rPr>
          <w:spacing w:val="14"/>
        </w:rPr>
        <w:t> </w:t>
      </w:r>
      <w:r>
        <w:rPr/>
        <w:t>F.,</w:t>
      </w:r>
      <w:r>
        <w:rPr>
          <w:spacing w:val="13"/>
        </w:rPr>
        <w:t> </w:t>
      </w:r>
      <w:r>
        <w:rPr/>
        <w:t>Davidson,</w:t>
      </w:r>
      <w:r>
        <w:rPr>
          <w:spacing w:val="13"/>
        </w:rPr>
        <w:t> </w:t>
      </w:r>
      <w:r>
        <w:rPr/>
        <w:t>E.</w:t>
      </w:r>
      <w:r>
        <w:rPr>
          <w:spacing w:val="13"/>
        </w:rPr>
        <w:t> </w:t>
      </w:r>
      <w:r>
        <w:rPr/>
        <w:t>A.</w:t>
      </w:r>
      <w:r>
        <w:rPr>
          <w:spacing w:val="12"/>
        </w:rPr>
        <w:t> </w:t>
      </w:r>
      <w:r>
        <w:rPr/>
        <w:t>and</w:t>
      </w:r>
      <w:r>
        <w:rPr>
          <w:spacing w:val="14"/>
        </w:rPr>
        <w:t> </w:t>
      </w:r>
      <w:r>
        <w:rPr>
          <w:spacing w:val="-2"/>
        </w:rPr>
        <w:t>Gowda,</w:t>
      </w:r>
    </w:p>
    <w:p>
      <w:pPr>
        <w:pStyle w:val="BodyText"/>
        <w:ind w:left="1280" w:right="797"/>
        <w:jc w:val="both"/>
      </w:pPr>
      <w:r>
        <w:rPr/>
        <w:t>D. C. (2000) Glycosylphosphatidylinositol anchors of plasmodium falciparum: Molecular characterization and naturally elicited antibody response that may provide immunity</w:t>
      </w:r>
      <w:r>
        <w:rPr>
          <w:spacing w:val="-3"/>
        </w:rPr>
        <w:t> </w:t>
      </w:r>
      <w:r>
        <w:rPr/>
        <w:t>to malaria pathogenesis. </w:t>
      </w:r>
      <w:r>
        <w:rPr>
          <w:i/>
        </w:rPr>
        <w:t>Journal of Experimental Medicine</w:t>
      </w:r>
      <w:r>
        <w:rPr/>
        <w:t>; 192 (</w:t>
      </w:r>
      <w:r>
        <w:rPr>
          <w:b/>
        </w:rPr>
        <w:t>11</w:t>
      </w:r>
      <w:r>
        <w:rPr/>
        <w:t>): 1563 – 1576</w:t>
      </w:r>
    </w:p>
    <w:p>
      <w:pPr>
        <w:pStyle w:val="BodyText"/>
      </w:pPr>
    </w:p>
    <w:p>
      <w:pPr>
        <w:spacing w:before="0"/>
        <w:ind w:left="1280" w:right="795" w:hanging="720"/>
        <w:jc w:val="both"/>
        <w:rPr>
          <w:sz w:val="24"/>
        </w:rPr>
      </w:pPr>
      <w:r>
        <w:rPr>
          <w:sz w:val="24"/>
        </w:rPr>
        <w:t>Nathwani, D., P. F. Currie, J. G. Douglas, S. T. Green, and N. C. Smith.(1992).</w:t>
      </w:r>
      <w:r>
        <w:rPr>
          <w:i/>
          <w:sz w:val="24"/>
        </w:rPr>
        <w:t>Plasmodium falciparum </w:t>
      </w:r>
      <w:r>
        <w:rPr>
          <w:sz w:val="24"/>
        </w:rPr>
        <w:t>malaria in pregnancy: a review. </w:t>
      </w:r>
      <w:r>
        <w:rPr>
          <w:i/>
          <w:sz w:val="24"/>
        </w:rPr>
        <w:t>British Journal of Obstetrics and Gynaecology; </w:t>
      </w:r>
      <w:r>
        <w:rPr>
          <w:sz w:val="24"/>
        </w:rPr>
        <w:t>99:118.</w:t>
      </w:r>
    </w:p>
    <w:p>
      <w:pPr>
        <w:pStyle w:val="BodyText"/>
      </w:pPr>
    </w:p>
    <w:p>
      <w:pPr>
        <w:pStyle w:val="BodyText"/>
        <w:ind w:left="560"/>
        <w:jc w:val="both"/>
      </w:pPr>
      <w:r>
        <w:rPr/>
        <w:t>National</w:t>
      </w:r>
      <w:r>
        <w:rPr>
          <w:spacing w:val="-3"/>
        </w:rPr>
        <w:t> </w:t>
      </w:r>
      <w:r>
        <w:rPr/>
        <w:t>Population</w:t>
      </w:r>
      <w:r>
        <w:rPr>
          <w:spacing w:val="-2"/>
        </w:rPr>
        <w:t> </w:t>
      </w:r>
      <w:r>
        <w:rPr/>
        <w:t>Commission,</w:t>
      </w:r>
      <w:r>
        <w:rPr>
          <w:spacing w:val="-1"/>
        </w:rPr>
        <w:t> </w:t>
      </w:r>
      <w:r>
        <w:rPr/>
        <w:t>(2006).The</w:t>
      </w:r>
      <w:r>
        <w:rPr>
          <w:spacing w:val="-2"/>
        </w:rPr>
        <w:t> </w:t>
      </w:r>
      <w:r>
        <w:rPr/>
        <w:t>Nigeria</w:t>
      </w:r>
      <w:r>
        <w:rPr>
          <w:spacing w:val="-3"/>
        </w:rPr>
        <w:t> </w:t>
      </w:r>
      <w:r>
        <w:rPr/>
        <w:t>2006</w:t>
      </w:r>
      <w:r>
        <w:rPr>
          <w:spacing w:val="-1"/>
        </w:rPr>
        <w:t> </w:t>
      </w:r>
      <w:r>
        <w:rPr/>
        <w:t>census</w:t>
      </w:r>
      <w:r>
        <w:rPr>
          <w:spacing w:val="-1"/>
        </w:rPr>
        <w:t> </w:t>
      </w:r>
      <w:r>
        <w:rPr>
          <w:spacing w:val="-2"/>
        </w:rPr>
        <w:t>figure.</w:t>
      </w:r>
    </w:p>
    <w:p>
      <w:pPr>
        <w:spacing w:after="0"/>
        <w:jc w:val="both"/>
        <w:sectPr>
          <w:pgSz w:w="11910" w:h="16840"/>
          <w:pgMar w:header="0" w:footer="1067" w:top="1060" w:bottom="1260" w:left="880" w:right="640"/>
        </w:sectPr>
      </w:pPr>
    </w:p>
    <w:p>
      <w:pPr>
        <w:pStyle w:val="BodyText"/>
        <w:spacing w:before="70"/>
        <w:ind w:left="1280" w:right="798" w:hanging="720"/>
        <w:jc w:val="both"/>
      </w:pPr>
      <w:r>
        <w:rPr/>
        <w:t>Nduka, F.O., Egbu, A., Okafor, C. and Nwaugo, V.O. (2006).Prevalence of malaria parasites and anaemia in pregnant and non-pregnant women in Aba and Okigwe towns of Southeast Nigeria.</w:t>
      </w:r>
      <w:r>
        <w:rPr>
          <w:i/>
        </w:rPr>
        <w:t>Animal Research International</w:t>
      </w:r>
      <w:r>
        <w:rPr/>
        <w:t>; 3(</w:t>
      </w:r>
      <w:r>
        <w:rPr>
          <w:b/>
        </w:rPr>
        <w:t>3</w:t>
      </w:r>
      <w:r>
        <w:rPr/>
        <w:t>): 508-512.</w:t>
      </w:r>
    </w:p>
    <w:p>
      <w:pPr>
        <w:pStyle w:val="BodyText"/>
      </w:pPr>
    </w:p>
    <w:p>
      <w:pPr>
        <w:pStyle w:val="BodyText"/>
        <w:spacing w:before="1"/>
        <w:ind w:left="1280" w:right="797" w:hanging="720"/>
        <w:jc w:val="both"/>
      </w:pPr>
      <w:r>
        <w:rPr/>
        <w:t>Neimeth, E., Rivera, S., Gabayan, V., Keller, C., Taudorf, S., Pedersen, B.K. and Ganz, T. (2004). IL-6 mediates hypoferremia of inflammation by inducing the synthesis of the iron regulatory hormone hepcidin. </w:t>
      </w:r>
      <w:r>
        <w:rPr>
          <w:i/>
        </w:rPr>
        <w:t>Journal of Clinical Investigation</w:t>
      </w:r>
      <w:r>
        <w:rPr/>
        <w:t>; 113(</w:t>
      </w:r>
      <w:r>
        <w:rPr>
          <w:b/>
        </w:rPr>
        <w:t>9</w:t>
      </w:r>
      <w:r>
        <w:rPr/>
        <w:t>): 1271- </w:t>
      </w:r>
      <w:r>
        <w:rPr>
          <w:spacing w:val="-2"/>
        </w:rPr>
        <w:t>1276.</w:t>
      </w:r>
    </w:p>
    <w:p>
      <w:pPr>
        <w:pStyle w:val="BodyText"/>
        <w:spacing w:before="276"/>
        <w:ind w:left="1280" w:right="797" w:hanging="720"/>
        <w:jc w:val="both"/>
      </w:pPr>
      <w:r>
        <w:rPr/>
        <w:t>Neimeth, E., Tuttle, M.S., Powelson, J., Vaughn, M.B., Donovan, A., Ward, D.M., Ganz, T. and</w:t>
      </w:r>
      <w:r>
        <w:rPr>
          <w:spacing w:val="-3"/>
        </w:rPr>
        <w:t> </w:t>
      </w:r>
      <w:r>
        <w:rPr/>
        <w:t>Kaplan,</w:t>
      </w:r>
      <w:r>
        <w:rPr>
          <w:spacing w:val="-3"/>
        </w:rPr>
        <w:t> </w:t>
      </w:r>
      <w:r>
        <w:rPr/>
        <w:t>J.</w:t>
      </w:r>
      <w:r>
        <w:rPr>
          <w:spacing w:val="-3"/>
        </w:rPr>
        <w:t> </w:t>
      </w:r>
      <w:r>
        <w:rPr/>
        <w:t>(2004).</w:t>
      </w:r>
      <w:r>
        <w:rPr>
          <w:spacing w:val="-1"/>
        </w:rPr>
        <w:t> </w:t>
      </w:r>
      <w:r>
        <w:rPr/>
        <w:t>Hepcidin</w:t>
      </w:r>
      <w:r>
        <w:rPr>
          <w:spacing w:val="-3"/>
        </w:rPr>
        <w:t> </w:t>
      </w:r>
      <w:r>
        <w:rPr/>
        <w:t>regulates</w:t>
      </w:r>
      <w:r>
        <w:rPr>
          <w:spacing w:val="-2"/>
        </w:rPr>
        <w:t> </w:t>
      </w:r>
      <w:r>
        <w:rPr/>
        <w:t>cellular</w:t>
      </w:r>
      <w:r>
        <w:rPr>
          <w:spacing w:val="-3"/>
        </w:rPr>
        <w:t> </w:t>
      </w:r>
      <w:r>
        <w:rPr/>
        <w:t>iron</w:t>
      </w:r>
      <w:r>
        <w:rPr>
          <w:spacing w:val="-3"/>
        </w:rPr>
        <w:t> </w:t>
      </w:r>
      <w:r>
        <w:rPr/>
        <w:t>efflux</w:t>
      </w:r>
      <w:r>
        <w:rPr>
          <w:spacing w:val="-3"/>
        </w:rPr>
        <w:t> </w:t>
      </w:r>
      <w:r>
        <w:rPr/>
        <w:t>by</w:t>
      </w:r>
      <w:r>
        <w:rPr>
          <w:spacing w:val="-7"/>
        </w:rPr>
        <w:t> </w:t>
      </w:r>
      <w:r>
        <w:rPr/>
        <w:t>binding</w:t>
      </w:r>
      <w:r>
        <w:rPr>
          <w:spacing w:val="-3"/>
        </w:rPr>
        <w:t> </w:t>
      </w:r>
      <w:r>
        <w:rPr/>
        <w:t>to</w:t>
      </w:r>
      <w:r>
        <w:rPr>
          <w:spacing w:val="-1"/>
        </w:rPr>
        <w:t> </w:t>
      </w:r>
      <w:r>
        <w:rPr/>
        <w:t>ferroportin and inducing its internalization. </w:t>
      </w:r>
      <w:r>
        <w:rPr>
          <w:i/>
        </w:rPr>
        <w:t>Science</w:t>
      </w:r>
      <w:r>
        <w:rPr/>
        <w:t>; 306(</w:t>
      </w:r>
      <w:r>
        <w:rPr>
          <w:b/>
        </w:rPr>
        <w:t>5704</w:t>
      </w:r>
      <w:r>
        <w:rPr/>
        <w:t>): 2090-2093.</w:t>
      </w:r>
    </w:p>
    <w:p>
      <w:pPr>
        <w:pStyle w:val="BodyText"/>
      </w:pPr>
    </w:p>
    <w:p>
      <w:pPr>
        <w:pStyle w:val="BodyText"/>
        <w:ind w:left="1280" w:right="795" w:hanging="720"/>
        <w:jc w:val="both"/>
      </w:pPr>
      <w:r>
        <w:rPr/>
        <w:t>Neimeth, E., Valore, E.V., Territo, M., Schiller, G., Lichtenstein, A. and Ganz, T. (2003). Hepcidin, a putative mediator of anaemia of inflammation, is a type II acute-phase protein. </w:t>
      </w:r>
      <w:r>
        <w:rPr>
          <w:i/>
        </w:rPr>
        <w:t>Blood</w:t>
      </w:r>
      <w:r>
        <w:rPr/>
        <w:t>; 101(</w:t>
      </w:r>
      <w:r>
        <w:rPr>
          <w:b/>
        </w:rPr>
        <w:t>7</w:t>
      </w:r>
      <w:r>
        <w:rPr/>
        <w:t>): 2461-2463.</w:t>
      </w:r>
    </w:p>
    <w:p>
      <w:pPr>
        <w:pStyle w:val="BodyText"/>
      </w:pPr>
    </w:p>
    <w:p>
      <w:pPr>
        <w:spacing w:before="0"/>
        <w:ind w:left="1280" w:right="793" w:hanging="720"/>
        <w:jc w:val="both"/>
        <w:rPr>
          <w:sz w:val="24"/>
        </w:rPr>
      </w:pPr>
      <w:r>
        <w:rPr>
          <w:sz w:val="24"/>
        </w:rPr>
        <w:t>Newbold, C., Craig, A., Kyes, S., Rowe, A., Fernandez-Reyes, D. and Fargan, T. (1999). Cytoadherence, pathogenesis and the infected red cell surface in </w:t>
      </w:r>
      <w:r>
        <w:rPr>
          <w:i/>
          <w:sz w:val="24"/>
        </w:rPr>
        <w:t>plasmodium falciparum.International Journal for Parasitology</w:t>
      </w:r>
      <w:r>
        <w:rPr>
          <w:sz w:val="24"/>
        </w:rPr>
        <w:t>; 29(</w:t>
      </w:r>
      <w:r>
        <w:rPr>
          <w:b/>
          <w:sz w:val="24"/>
        </w:rPr>
        <w:t>6</w:t>
      </w:r>
      <w:r>
        <w:rPr>
          <w:sz w:val="24"/>
        </w:rPr>
        <w:t>): 927-937.</w:t>
      </w:r>
    </w:p>
    <w:p>
      <w:pPr>
        <w:pStyle w:val="BodyText"/>
      </w:pPr>
    </w:p>
    <w:p>
      <w:pPr>
        <w:pStyle w:val="BodyText"/>
        <w:spacing w:before="1"/>
        <w:ind w:left="1280" w:right="800" w:hanging="720"/>
        <w:jc w:val="both"/>
      </w:pPr>
      <w:r>
        <w:rPr/>
        <w:t>Niederkorn, J.Y. (2006). See no evil, hear no evil, do no evil: the lessons of immune privilege. </w:t>
      </w:r>
      <w:r>
        <w:rPr>
          <w:i/>
        </w:rPr>
        <w:t>Nature Immunology</w:t>
      </w:r>
      <w:r>
        <w:rPr/>
        <w:t>; 7(</w:t>
      </w:r>
      <w:r>
        <w:rPr>
          <w:b/>
        </w:rPr>
        <w:t>4</w:t>
      </w:r>
      <w:r>
        <w:rPr/>
        <w:t>): 354- 359.</w:t>
      </w:r>
    </w:p>
    <w:p>
      <w:pPr>
        <w:pStyle w:val="BodyText"/>
      </w:pPr>
    </w:p>
    <w:p>
      <w:pPr>
        <w:spacing w:before="0"/>
        <w:ind w:left="1280" w:right="794" w:hanging="720"/>
        <w:jc w:val="both"/>
        <w:rPr>
          <w:sz w:val="24"/>
        </w:rPr>
      </w:pPr>
      <w:r>
        <w:rPr>
          <w:sz w:val="24"/>
        </w:rPr>
        <w:t>Nmorsi, O.P.G., Isaac, C., Ohaneme, B.A. and Obiazi, H.A.K. (2010). Pro-inflammatory cytokine profiles in Nigerian pregnant women infected with </w:t>
      </w:r>
      <w:r>
        <w:rPr>
          <w:i/>
          <w:sz w:val="24"/>
        </w:rPr>
        <w:t>plasmodium falciparum </w:t>
      </w:r>
      <w:r>
        <w:rPr>
          <w:sz w:val="24"/>
        </w:rPr>
        <w:t>malaria. </w:t>
      </w:r>
      <w:r>
        <w:rPr>
          <w:i/>
          <w:sz w:val="24"/>
        </w:rPr>
        <w:t>Asian Pacific Journal of Tropical Medicine</w:t>
      </w:r>
      <w:r>
        <w:rPr>
          <w:sz w:val="24"/>
        </w:rPr>
        <w:t>; 3(</w:t>
      </w:r>
      <w:r>
        <w:rPr>
          <w:b/>
          <w:sz w:val="24"/>
        </w:rPr>
        <w:t>9</w:t>
      </w:r>
      <w:r>
        <w:rPr>
          <w:sz w:val="24"/>
        </w:rPr>
        <w:t>): 731-733.</w:t>
      </w:r>
    </w:p>
    <w:p>
      <w:pPr>
        <w:pStyle w:val="BodyText"/>
      </w:pPr>
    </w:p>
    <w:p>
      <w:pPr>
        <w:spacing w:before="0"/>
        <w:ind w:left="1280" w:right="798" w:hanging="720"/>
        <w:jc w:val="both"/>
        <w:rPr>
          <w:sz w:val="24"/>
        </w:rPr>
      </w:pPr>
      <w:r>
        <w:rPr>
          <w:sz w:val="24"/>
        </w:rPr>
        <w:t>Nmorsi, O.P.G., Isaac, C., Ukwandu, N.C.D., Ohaneme, B.A. and Eifediyi, R.A. (2010). Serum anti-inflammatory interleukin profiles in Nigerian pregnant women infected with </w:t>
      </w:r>
      <w:r>
        <w:rPr>
          <w:i/>
          <w:sz w:val="24"/>
        </w:rPr>
        <w:t>plasmodium falciparum </w:t>
      </w:r>
      <w:r>
        <w:rPr>
          <w:sz w:val="24"/>
        </w:rPr>
        <w:t>malaria. </w:t>
      </w:r>
      <w:r>
        <w:rPr>
          <w:i/>
          <w:sz w:val="24"/>
        </w:rPr>
        <w:t>New York Science Journal</w:t>
      </w:r>
      <w:r>
        <w:rPr>
          <w:sz w:val="24"/>
        </w:rPr>
        <w:t>; 3(</w:t>
      </w:r>
      <w:r>
        <w:rPr>
          <w:b/>
          <w:sz w:val="24"/>
        </w:rPr>
        <w:t>10</w:t>
      </w:r>
      <w:r>
        <w:rPr>
          <w:sz w:val="24"/>
        </w:rPr>
        <w:t>): 1-4.</w:t>
      </w:r>
    </w:p>
    <w:p>
      <w:pPr>
        <w:pStyle w:val="BodyText"/>
      </w:pPr>
    </w:p>
    <w:p>
      <w:pPr>
        <w:pStyle w:val="BodyText"/>
        <w:ind w:left="1280" w:right="794" w:hanging="720"/>
        <w:jc w:val="both"/>
      </w:pPr>
      <w:r>
        <w:rPr/>
        <w:t>Nnaji, G.A., Okafor, C.I. and Ikechukwu, J.I. (2006).An evaluation of the effect of parity</w:t>
      </w:r>
      <w:r>
        <w:rPr>
          <w:spacing w:val="-3"/>
        </w:rPr>
        <w:t> </w:t>
      </w:r>
      <w:r>
        <w:rPr/>
        <w:t>and age on malaria parasitaemia in pregnancy.</w:t>
      </w:r>
      <w:r>
        <w:rPr>
          <w:i/>
        </w:rPr>
        <w:t>Journal of Obstetrics and Gynecology</w:t>
      </w:r>
      <w:r>
        <w:rPr/>
        <w:t>; 26(</w:t>
      </w:r>
      <w:r>
        <w:rPr>
          <w:b/>
        </w:rPr>
        <w:t>8</w:t>
      </w:r>
      <w:r>
        <w:rPr/>
        <w:t>): 755-758.</w:t>
      </w:r>
    </w:p>
    <w:p>
      <w:pPr>
        <w:pStyle w:val="BodyText"/>
        <w:spacing w:before="183"/>
        <w:ind w:left="1280" w:right="796" w:hanging="720"/>
        <w:jc w:val="both"/>
      </w:pPr>
      <w:r>
        <w:rPr/>
        <w:t>Northrop-Clewes, C.A (2008).Interpreting indicators of Iron status during an acute phase response – Lessons from malaria and human immunodeficiency virus.</w:t>
      </w:r>
      <w:r>
        <w:rPr>
          <w:i/>
        </w:rPr>
        <w:t>Annals of Clinical Biochemistry </w:t>
      </w:r>
      <w:r>
        <w:rPr/>
        <w:t>45</w:t>
      </w:r>
      <w:r>
        <w:rPr>
          <w:b/>
        </w:rPr>
        <w:t>(1): </w:t>
      </w:r>
      <w:r>
        <w:rPr/>
        <w:t>18-32</w:t>
      </w:r>
    </w:p>
    <w:p>
      <w:pPr>
        <w:pStyle w:val="BodyText"/>
      </w:pPr>
    </w:p>
    <w:p>
      <w:pPr>
        <w:pStyle w:val="BodyText"/>
        <w:ind w:left="1280" w:right="801" w:hanging="720"/>
        <w:jc w:val="both"/>
      </w:pPr>
      <w:r>
        <w:rPr/>
        <w:t>Nwachukwu, V. O. and Egbulonu, K. G. (2000).Simple Linear Regression and Correlation Analysis.In Elements of Statistical Inference.1</w:t>
      </w:r>
      <w:r>
        <w:rPr>
          <w:vertAlign w:val="superscript"/>
        </w:rPr>
        <w:t>st</w:t>
      </w:r>
      <w:r>
        <w:rPr>
          <w:vertAlign w:val="baseline"/>
        </w:rPr>
        <w:t> Edition. PEACE Publishers, owerri, Nigeria. Pg. 108 – 134</w:t>
      </w:r>
    </w:p>
    <w:p>
      <w:pPr>
        <w:pStyle w:val="BodyText"/>
      </w:pPr>
    </w:p>
    <w:p>
      <w:pPr>
        <w:pStyle w:val="BodyText"/>
        <w:ind w:left="1280" w:right="795" w:hanging="720"/>
        <w:jc w:val="both"/>
      </w:pPr>
      <w:r>
        <w:rPr/>
        <w:t>Nwonwu, E.U., Ibekwe, P.C., Ugwu, J.I., Obarezi, H.C. and Nwagbara, O.C. (2009). Prevalence of malaria parasitaemia and malaria related anaemia among pregnant women in Abakaliki, Southeast Nigeria. </w:t>
      </w:r>
      <w:r>
        <w:rPr>
          <w:i/>
        </w:rPr>
        <w:t>Nigerian Journal of Clinical Practice</w:t>
      </w:r>
      <w:r>
        <w:rPr/>
        <w:t>; 12(</w:t>
      </w:r>
      <w:r>
        <w:rPr>
          <w:b/>
        </w:rPr>
        <w:t>2</w:t>
      </w:r>
      <w:r>
        <w:rPr/>
        <w:t>): </w:t>
      </w:r>
      <w:r>
        <w:rPr>
          <w:spacing w:val="-2"/>
        </w:rPr>
        <w:t>182-186.</w:t>
      </w:r>
    </w:p>
    <w:p>
      <w:pPr>
        <w:pStyle w:val="BodyText"/>
        <w:spacing w:before="1"/>
      </w:pPr>
    </w:p>
    <w:p>
      <w:pPr>
        <w:pStyle w:val="BodyText"/>
        <w:ind w:left="1280" w:right="800" w:hanging="720"/>
        <w:jc w:val="both"/>
      </w:pPr>
      <w:r>
        <w:rPr/>
        <w:t>Nyakeriga, A.M., Williams, T.N., Marsh, K., Wambua, S., Perlmanny, H., Perlmanny, P., Grandien§,</w:t>
      </w:r>
      <w:r>
        <w:rPr>
          <w:spacing w:val="40"/>
        </w:rPr>
        <w:t> </w:t>
      </w:r>
      <w:r>
        <w:rPr/>
        <w:t>A.</w:t>
      </w:r>
      <w:r>
        <w:rPr>
          <w:spacing w:val="42"/>
        </w:rPr>
        <w:t> </w:t>
      </w:r>
      <w:r>
        <w:rPr/>
        <w:t>and</w:t>
      </w:r>
      <w:r>
        <w:rPr>
          <w:spacing w:val="44"/>
        </w:rPr>
        <w:t> </w:t>
      </w:r>
      <w:r>
        <w:rPr/>
        <w:t>Troye-Blombergy,</w:t>
      </w:r>
      <w:r>
        <w:rPr>
          <w:spacing w:val="43"/>
        </w:rPr>
        <w:t> </w:t>
      </w:r>
      <w:r>
        <w:rPr/>
        <w:t>M.</w:t>
      </w:r>
      <w:r>
        <w:rPr>
          <w:spacing w:val="43"/>
        </w:rPr>
        <w:t> </w:t>
      </w:r>
      <w:r>
        <w:rPr/>
        <w:t>(2005).</w:t>
      </w:r>
      <w:r>
        <w:rPr>
          <w:spacing w:val="43"/>
        </w:rPr>
        <w:t> </w:t>
      </w:r>
      <w:r>
        <w:rPr/>
        <w:t>Cytokine</w:t>
      </w:r>
      <w:r>
        <w:rPr>
          <w:spacing w:val="43"/>
        </w:rPr>
        <w:t> </w:t>
      </w:r>
      <w:r>
        <w:rPr/>
        <w:t>mRNA</w:t>
      </w:r>
      <w:r>
        <w:rPr>
          <w:spacing w:val="42"/>
        </w:rPr>
        <w:t> </w:t>
      </w:r>
      <w:r>
        <w:rPr/>
        <w:t>expression</w:t>
      </w:r>
      <w:r>
        <w:rPr>
          <w:spacing w:val="44"/>
        </w:rPr>
        <w:t> </w:t>
      </w:r>
      <w:r>
        <w:rPr>
          <w:spacing w:val="-5"/>
        </w:rPr>
        <w:t>and</w:t>
      </w:r>
    </w:p>
    <w:p>
      <w:pPr>
        <w:spacing w:after="0"/>
        <w:jc w:val="both"/>
        <w:sectPr>
          <w:pgSz w:w="11910" w:h="16840"/>
          <w:pgMar w:header="0" w:footer="1067" w:top="1060" w:bottom="1260" w:left="880" w:right="640"/>
        </w:sectPr>
      </w:pPr>
    </w:p>
    <w:p>
      <w:pPr>
        <w:spacing w:before="70"/>
        <w:ind w:left="1280" w:right="795" w:firstLine="0"/>
        <w:jc w:val="left"/>
        <w:rPr>
          <w:sz w:val="24"/>
        </w:rPr>
      </w:pPr>
      <w:r>
        <w:rPr>
          <w:sz w:val="24"/>
        </w:rPr>
        <w:t>Iron status in children living in a</w:t>
      </w:r>
      <w:r>
        <w:rPr>
          <w:spacing w:val="-1"/>
          <w:sz w:val="24"/>
        </w:rPr>
        <w:t> </w:t>
      </w:r>
      <w:r>
        <w:rPr>
          <w:sz w:val="24"/>
        </w:rPr>
        <w:t>malaria</w:t>
      </w:r>
      <w:r>
        <w:rPr>
          <w:spacing w:val="-2"/>
          <w:sz w:val="24"/>
        </w:rPr>
        <w:t> </w:t>
      </w:r>
      <w:r>
        <w:rPr>
          <w:sz w:val="24"/>
        </w:rPr>
        <w:t>endemic area.</w:t>
      </w:r>
      <w:r>
        <w:rPr>
          <w:i/>
          <w:sz w:val="24"/>
        </w:rPr>
        <w:t>Journal of Immunology</w:t>
      </w:r>
      <w:r>
        <w:rPr>
          <w:sz w:val="24"/>
        </w:rPr>
        <w:t>; 61(</w:t>
      </w:r>
      <w:r>
        <w:rPr>
          <w:b/>
          <w:sz w:val="24"/>
        </w:rPr>
        <w:t>4</w:t>
      </w:r>
      <w:r>
        <w:rPr>
          <w:sz w:val="24"/>
        </w:rPr>
        <w:t>): </w:t>
      </w:r>
      <w:r>
        <w:rPr>
          <w:spacing w:val="-2"/>
          <w:sz w:val="24"/>
        </w:rPr>
        <w:t>370-375.</w:t>
      </w:r>
    </w:p>
    <w:p>
      <w:pPr>
        <w:pStyle w:val="BodyText"/>
      </w:pPr>
    </w:p>
    <w:p>
      <w:pPr>
        <w:pStyle w:val="BodyText"/>
        <w:spacing w:before="1"/>
        <w:ind w:left="1268" w:right="795" w:hanging="708"/>
        <w:jc w:val="both"/>
      </w:pPr>
      <w:r>
        <w:rPr/>
        <w:t>Oates, P.S., Trinder, D. and Morgan, E.H. (2000).Gastrointestinal function, divalent metal transporter-I expression and intestinal iron absorption. </w:t>
      </w:r>
      <w:r>
        <w:rPr>
          <w:i/>
        </w:rPr>
        <w:t>European Journal of Physiology; </w:t>
      </w:r>
      <w:r>
        <w:rPr/>
        <w:t>440(</w:t>
      </w:r>
      <w:r>
        <w:rPr>
          <w:b/>
        </w:rPr>
        <w:t>3</w:t>
      </w:r>
      <w:r>
        <w:rPr/>
        <w:t>): 496-502.</w:t>
      </w:r>
    </w:p>
    <w:p>
      <w:pPr>
        <w:pStyle w:val="BodyText"/>
        <w:spacing w:before="275"/>
      </w:pPr>
    </w:p>
    <w:p>
      <w:pPr>
        <w:pStyle w:val="BodyText"/>
        <w:spacing w:before="1"/>
        <w:ind w:left="1280" w:right="799" w:hanging="720"/>
        <w:jc w:val="both"/>
      </w:pPr>
      <w:r>
        <w:rPr/>
        <w:t>O‟Brien, D. P., Leder, K., Matchett, E., Brown, G. V. and Torresi, J. (2006). Illness in returned travellers and immigrants/ refugees: the 6 year experience of two Australian infectious units. </w:t>
      </w:r>
      <w:r>
        <w:rPr>
          <w:i/>
        </w:rPr>
        <w:t>Journal of Travel Medicine</w:t>
      </w:r>
      <w:r>
        <w:rPr/>
        <w:t>; 13: 145- 152.</w:t>
      </w:r>
    </w:p>
    <w:p>
      <w:pPr>
        <w:pStyle w:val="BodyText"/>
      </w:pPr>
    </w:p>
    <w:p>
      <w:pPr>
        <w:pStyle w:val="BodyText"/>
        <w:ind w:left="1280" w:right="796" w:hanging="720"/>
        <w:jc w:val="both"/>
      </w:pPr>
      <w:r>
        <w:rPr/>
        <w:t>O‟Meara, W. P., Mekenzie, F. E., Magilli, A. J., Forney, J. R., Permpanich, B., Lucas, C., Gasser, R. A. Jr. and Wongsric-hanalai, C. (2005). Sources of variability in determingin malaria parasite density by microscopy.</w:t>
      </w:r>
      <w:r>
        <w:rPr>
          <w:i/>
        </w:rPr>
        <w:t>American Journal of Tropical Medicine and Hygiene; </w:t>
      </w:r>
      <w:r>
        <w:rPr/>
        <w:t>73</w:t>
      </w:r>
      <w:r>
        <w:rPr>
          <w:b/>
        </w:rPr>
        <w:t>(3)</w:t>
      </w:r>
      <w:r>
        <w:rPr/>
        <w:t>: 593-598</w:t>
      </w:r>
    </w:p>
    <w:p>
      <w:pPr>
        <w:pStyle w:val="BodyText"/>
      </w:pPr>
    </w:p>
    <w:p>
      <w:pPr>
        <w:pStyle w:val="BodyText"/>
        <w:ind w:left="1280" w:right="793" w:hanging="720"/>
        <w:jc w:val="both"/>
      </w:pPr>
      <w:r>
        <w:rPr/>
        <w:t>Odunukwe, N. N., Salako, L. A., Okany, C and Ibrahim, M. M.(2000) Serum ferritin and other haematological measurements in apparently healthy adults with malaria parasitaemia in Lagos, Nigeria. </w:t>
      </w:r>
      <w:r>
        <w:rPr>
          <w:i/>
        </w:rPr>
        <w:t>Tropical Medicine and International Health</w:t>
      </w:r>
      <w:r>
        <w:rPr/>
        <w:t>. 5: 582 – </w:t>
      </w:r>
      <w:r>
        <w:rPr>
          <w:spacing w:val="-4"/>
        </w:rPr>
        <w:t>586</w:t>
      </w:r>
    </w:p>
    <w:p>
      <w:pPr>
        <w:pStyle w:val="BodyText"/>
      </w:pPr>
    </w:p>
    <w:p>
      <w:pPr>
        <w:pStyle w:val="BodyText"/>
        <w:spacing w:before="1"/>
        <w:ind w:left="1280" w:right="796" w:hanging="720"/>
        <w:jc w:val="both"/>
      </w:pPr>
      <w:r>
        <w:rPr/>
        <w:t>Ogbodo, S.O., Nwagha, U.I., Okaka, A.N.C., Ogenyi, S.C., Okoko, R.O. and Nwagha, T.U. (2009). Malaria parasitaemia among pregnant women in a rural community of eastern Nigeria; need for combined measures. </w:t>
      </w:r>
      <w:r>
        <w:rPr>
          <w:i/>
        </w:rPr>
        <w:t>Nigerian Journal of Physiological Sciences</w:t>
      </w:r>
      <w:r>
        <w:rPr/>
        <w:t>; 24(</w:t>
      </w:r>
      <w:r>
        <w:rPr>
          <w:b/>
        </w:rPr>
        <w:t>2</w:t>
      </w:r>
      <w:r>
        <w:rPr/>
        <w:t>): 95-100.</w:t>
      </w:r>
    </w:p>
    <w:p>
      <w:pPr>
        <w:pStyle w:val="BodyText"/>
      </w:pPr>
    </w:p>
    <w:p>
      <w:pPr>
        <w:spacing w:before="0"/>
        <w:ind w:left="1280" w:right="795" w:hanging="720"/>
        <w:jc w:val="both"/>
        <w:rPr>
          <w:sz w:val="24"/>
        </w:rPr>
      </w:pPr>
      <w:r>
        <w:rPr>
          <w:sz w:val="24"/>
        </w:rPr>
        <w:t>Okafor, I.M., Mbah, M. and Usanga, E.A. (2012).The</w:t>
      </w:r>
      <w:r>
        <w:rPr>
          <w:spacing w:val="-2"/>
          <w:sz w:val="24"/>
        </w:rPr>
        <w:t> </w:t>
      </w:r>
      <w:r>
        <w:rPr>
          <w:sz w:val="24"/>
        </w:rPr>
        <w:t>impact of anaemia</w:t>
      </w:r>
      <w:r>
        <w:rPr>
          <w:spacing w:val="-1"/>
          <w:sz w:val="24"/>
        </w:rPr>
        <w:t> </w:t>
      </w:r>
      <w:r>
        <w:rPr>
          <w:sz w:val="24"/>
        </w:rPr>
        <w:t>and malaria</w:t>
      </w:r>
      <w:r>
        <w:rPr>
          <w:spacing w:val="-2"/>
          <w:sz w:val="24"/>
        </w:rPr>
        <w:t> </w:t>
      </w:r>
      <w:r>
        <w:rPr>
          <w:sz w:val="24"/>
        </w:rPr>
        <w:t>parasite infection in pregnant women.Nigerian perspective. </w:t>
      </w:r>
      <w:r>
        <w:rPr>
          <w:i/>
          <w:sz w:val="24"/>
        </w:rPr>
        <w:t>IOSR Journal of Dental and Medical Sciences</w:t>
      </w:r>
      <w:r>
        <w:rPr>
          <w:sz w:val="24"/>
        </w:rPr>
        <w:t>; 1(</w:t>
      </w:r>
      <w:r>
        <w:rPr>
          <w:b/>
          <w:sz w:val="24"/>
        </w:rPr>
        <w:t>1</w:t>
      </w:r>
      <w:r>
        <w:rPr>
          <w:sz w:val="24"/>
        </w:rPr>
        <w:t>): 34-38.</w:t>
      </w:r>
    </w:p>
    <w:p>
      <w:pPr>
        <w:pStyle w:val="BodyText"/>
      </w:pPr>
    </w:p>
    <w:p>
      <w:pPr>
        <w:spacing w:before="0"/>
        <w:ind w:left="1280" w:right="798" w:hanging="720"/>
        <w:jc w:val="both"/>
        <w:rPr>
          <w:sz w:val="24"/>
        </w:rPr>
      </w:pPr>
      <w:r>
        <w:rPr>
          <w:sz w:val="24"/>
        </w:rPr>
        <w:t>Olodeoku K.O.(1991): Anaemia in pregnancy in Sagamu. </w:t>
      </w:r>
      <w:r>
        <w:rPr>
          <w:i/>
          <w:sz w:val="24"/>
        </w:rPr>
        <w:t>Nigeria Medical Practitioner, </w:t>
      </w:r>
      <w:r>
        <w:rPr>
          <w:b/>
          <w:sz w:val="24"/>
        </w:rPr>
        <w:t>21</w:t>
      </w:r>
      <w:r>
        <w:rPr>
          <w:sz w:val="24"/>
        </w:rPr>
        <w:t>: </w:t>
      </w:r>
      <w:r>
        <w:rPr>
          <w:spacing w:val="-2"/>
          <w:sz w:val="24"/>
        </w:rPr>
        <w:t>33-35</w:t>
      </w:r>
    </w:p>
    <w:p>
      <w:pPr>
        <w:pStyle w:val="BodyText"/>
      </w:pPr>
    </w:p>
    <w:p>
      <w:pPr>
        <w:spacing w:before="0"/>
        <w:ind w:left="1280" w:right="795" w:hanging="720"/>
        <w:jc w:val="both"/>
        <w:rPr>
          <w:i/>
          <w:sz w:val="24"/>
        </w:rPr>
      </w:pPr>
      <w:r>
        <w:rPr>
          <w:sz w:val="24"/>
        </w:rPr>
        <w:t>Oluboyede</w:t>
      </w:r>
      <w:r>
        <w:rPr>
          <w:spacing w:val="-3"/>
          <w:sz w:val="24"/>
        </w:rPr>
        <w:t> </w:t>
      </w:r>
      <w:r>
        <w:rPr>
          <w:sz w:val="24"/>
        </w:rPr>
        <w:t>O.A. and</w:t>
      </w:r>
      <w:r>
        <w:rPr>
          <w:spacing w:val="-2"/>
          <w:sz w:val="24"/>
        </w:rPr>
        <w:t> </w:t>
      </w:r>
      <w:r>
        <w:rPr>
          <w:sz w:val="24"/>
        </w:rPr>
        <w:t>Ogunbode</w:t>
      </w:r>
      <w:r>
        <w:rPr>
          <w:spacing w:val="-3"/>
          <w:sz w:val="24"/>
        </w:rPr>
        <w:t> </w:t>
      </w:r>
      <w:r>
        <w:rPr>
          <w:sz w:val="24"/>
        </w:rPr>
        <w:t>O.,</w:t>
      </w:r>
      <w:r>
        <w:rPr>
          <w:spacing w:val="-2"/>
          <w:sz w:val="24"/>
        </w:rPr>
        <w:t> </w:t>
      </w:r>
      <w:r>
        <w:rPr>
          <w:sz w:val="24"/>
        </w:rPr>
        <w:t>(1976):</w:t>
      </w:r>
      <w:r>
        <w:rPr>
          <w:spacing w:val="-1"/>
          <w:sz w:val="24"/>
        </w:rPr>
        <w:t> </w:t>
      </w:r>
      <w:r>
        <w:rPr>
          <w:sz w:val="24"/>
        </w:rPr>
        <w:t>Iron</w:t>
      </w:r>
      <w:r>
        <w:rPr>
          <w:spacing w:val="-1"/>
          <w:sz w:val="24"/>
        </w:rPr>
        <w:t> </w:t>
      </w:r>
      <w:r>
        <w:rPr>
          <w:sz w:val="24"/>
        </w:rPr>
        <w:t>deficiency</w:t>
      </w:r>
      <w:r>
        <w:rPr>
          <w:spacing w:val="-5"/>
          <w:sz w:val="24"/>
        </w:rPr>
        <w:t> </w:t>
      </w:r>
      <w:r>
        <w:rPr>
          <w:sz w:val="24"/>
        </w:rPr>
        <w:t>anaemia</w:t>
      </w:r>
      <w:r>
        <w:rPr>
          <w:spacing w:val="-3"/>
          <w:sz w:val="24"/>
        </w:rPr>
        <w:t> </w:t>
      </w:r>
      <w:r>
        <w:rPr>
          <w:sz w:val="24"/>
        </w:rPr>
        <w:t>in</w:t>
      </w:r>
      <w:r>
        <w:rPr>
          <w:spacing w:val="-2"/>
          <w:sz w:val="24"/>
        </w:rPr>
        <w:t> </w:t>
      </w:r>
      <w:r>
        <w:rPr>
          <w:sz w:val="24"/>
        </w:rPr>
        <w:t>a</w:t>
      </w:r>
      <w:r>
        <w:rPr>
          <w:spacing w:val="-1"/>
          <w:sz w:val="24"/>
        </w:rPr>
        <w:t> </w:t>
      </w:r>
      <w:r>
        <w:rPr>
          <w:sz w:val="24"/>
        </w:rPr>
        <w:t>rural</w:t>
      </w:r>
      <w:r>
        <w:rPr>
          <w:spacing w:val="-2"/>
          <w:sz w:val="24"/>
        </w:rPr>
        <w:t> </w:t>
      </w:r>
      <w:r>
        <w:rPr>
          <w:sz w:val="24"/>
        </w:rPr>
        <w:t>area</w:t>
      </w:r>
      <w:r>
        <w:rPr>
          <w:spacing w:val="-3"/>
          <w:sz w:val="24"/>
        </w:rPr>
        <w:t> </w:t>
      </w:r>
      <w:r>
        <w:rPr>
          <w:sz w:val="24"/>
        </w:rPr>
        <w:t>in</w:t>
      </w:r>
      <w:r>
        <w:rPr>
          <w:spacing w:val="-2"/>
          <w:sz w:val="24"/>
        </w:rPr>
        <w:t> </w:t>
      </w:r>
      <w:r>
        <w:rPr>
          <w:sz w:val="24"/>
        </w:rPr>
        <w:t>Nigeria: Evaluation of diagnosis and treatment with inferon. </w:t>
      </w:r>
      <w:r>
        <w:rPr>
          <w:i/>
          <w:sz w:val="24"/>
        </w:rPr>
        <w:t>International Journal ofGynaecology and Obstetrics </w:t>
      </w:r>
      <w:r>
        <w:rPr>
          <w:b/>
          <w:i/>
          <w:sz w:val="24"/>
        </w:rPr>
        <w:t>14</w:t>
      </w:r>
      <w:r>
        <w:rPr>
          <w:i/>
          <w:sz w:val="24"/>
        </w:rPr>
        <w:t>: 529-537.</w:t>
      </w:r>
    </w:p>
    <w:p>
      <w:pPr>
        <w:pStyle w:val="BodyText"/>
        <w:spacing w:before="1"/>
        <w:rPr>
          <w:i/>
        </w:rPr>
      </w:pPr>
    </w:p>
    <w:p>
      <w:pPr>
        <w:pStyle w:val="BodyText"/>
        <w:ind w:left="560"/>
      </w:pPr>
      <w:r>
        <w:rPr/>
        <w:t>Olutoya,</w:t>
      </w:r>
      <w:r>
        <w:rPr>
          <w:spacing w:val="57"/>
        </w:rPr>
        <w:t> </w:t>
      </w:r>
      <w:r>
        <w:rPr/>
        <w:t>A.</w:t>
      </w:r>
      <w:r>
        <w:rPr>
          <w:spacing w:val="56"/>
        </w:rPr>
        <w:t> </w:t>
      </w:r>
      <w:r>
        <w:rPr/>
        <w:t>and</w:t>
      </w:r>
      <w:r>
        <w:rPr>
          <w:spacing w:val="56"/>
        </w:rPr>
        <w:t> </w:t>
      </w:r>
      <w:r>
        <w:rPr/>
        <w:t>Mokuolu,</w:t>
      </w:r>
      <w:r>
        <w:rPr>
          <w:spacing w:val="56"/>
        </w:rPr>
        <w:t> </w:t>
      </w:r>
      <w:r>
        <w:rPr/>
        <w:t>O.</w:t>
      </w:r>
      <w:r>
        <w:rPr>
          <w:spacing w:val="55"/>
        </w:rPr>
        <w:t> </w:t>
      </w:r>
      <w:r>
        <w:rPr/>
        <w:t>(2012).Severe</w:t>
      </w:r>
      <w:r>
        <w:rPr>
          <w:spacing w:val="59"/>
        </w:rPr>
        <w:t> </w:t>
      </w:r>
      <w:r>
        <w:rPr/>
        <w:t>malaria</w:t>
      </w:r>
      <w:r>
        <w:rPr>
          <w:spacing w:val="55"/>
        </w:rPr>
        <w:t> </w:t>
      </w:r>
      <w:r>
        <w:rPr/>
        <w:t>anaemia</w:t>
      </w:r>
      <w:r>
        <w:rPr>
          <w:spacing w:val="55"/>
        </w:rPr>
        <w:t> </w:t>
      </w:r>
      <w:r>
        <w:rPr/>
        <w:t>in</w:t>
      </w:r>
      <w:r>
        <w:rPr>
          <w:spacing w:val="59"/>
        </w:rPr>
        <w:t> </w:t>
      </w:r>
      <w:r>
        <w:rPr/>
        <w:t>children,</w:t>
      </w:r>
      <w:r>
        <w:rPr>
          <w:spacing w:val="56"/>
        </w:rPr>
        <w:t> </w:t>
      </w:r>
      <w:r>
        <w:rPr/>
        <w:t>Anaemia,</w:t>
      </w:r>
      <w:r>
        <w:rPr>
          <w:spacing w:val="56"/>
        </w:rPr>
        <w:t> </w:t>
      </w:r>
      <w:r>
        <w:rPr>
          <w:spacing w:val="-5"/>
        </w:rPr>
        <w:t>Dr.</w:t>
      </w:r>
    </w:p>
    <w:p>
      <w:pPr>
        <w:pStyle w:val="BodyText"/>
        <w:ind w:left="1280"/>
      </w:pPr>
      <w:r>
        <w:rPr/>
        <w:t>Donald</w:t>
      </w:r>
      <w:r>
        <w:rPr>
          <w:spacing w:val="-2"/>
        </w:rPr>
        <w:t> </w:t>
      </w:r>
      <w:r>
        <w:rPr/>
        <w:t>Silverberg</w:t>
      </w:r>
      <w:r>
        <w:rPr>
          <w:spacing w:val="-1"/>
        </w:rPr>
        <w:t> </w:t>
      </w:r>
      <w:r>
        <w:rPr/>
        <w:t>(Ed.), Pp</w:t>
      </w:r>
      <w:r>
        <w:rPr>
          <w:spacing w:val="-1"/>
        </w:rPr>
        <w:t> </w:t>
      </w:r>
      <w:r>
        <w:rPr/>
        <w:t>283-</w:t>
      </w:r>
      <w:r>
        <w:rPr>
          <w:spacing w:val="-4"/>
        </w:rPr>
        <w:t>314.</w:t>
      </w:r>
    </w:p>
    <w:p>
      <w:pPr>
        <w:pStyle w:val="BodyText"/>
      </w:pPr>
    </w:p>
    <w:p>
      <w:pPr>
        <w:spacing w:before="0"/>
        <w:ind w:left="1280" w:right="797" w:hanging="720"/>
        <w:jc w:val="both"/>
        <w:rPr>
          <w:sz w:val="24"/>
        </w:rPr>
      </w:pPr>
      <w:r>
        <w:rPr>
          <w:sz w:val="24"/>
        </w:rPr>
        <w:t>Onyenekwe, C.C., Meludu, S.C., Arinola, O.G. and Salimonu, L.S. (2004). Relationships between </w:t>
      </w:r>
      <w:r>
        <w:rPr>
          <w:i/>
          <w:sz w:val="24"/>
        </w:rPr>
        <w:t>plasmodium falciparum </w:t>
      </w:r>
      <w:r>
        <w:rPr>
          <w:sz w:val="24"/>
        </w:rPr>
        <w:t>density, haptaglobin, transferrin and Packed cell volume in apparently healthy pregnant women. </w:t>
      </w:r>
      <w:r>
        <w:rPr>
          <w:i/>
          <w:sz w:val="24"/>
        </w:rPr>
        <w:t>African Journal of Biomedical Research</w:t>
      </w:r>
      <w:r>
        <w:rPr>
          <w:sz w:val="24"/>
        </w:rPr>
        <w:t>; 8(</w:t>
      </w:r>
      <w:r>
        <w:rPr>
          <w:b/>
          <w:sz w:val="24"/>
        </w:rPr>
        <w:t>2005</w:t>
      </w:r>
      <w:r>
        <w:rPr>
          <w:sz w:val="24"/>
        </w:rPr>
        <w:t>): 21-24.</w:t>
      </w:r>
    </w:p>
    <w:p>
      <w:pPr>
        <w:pStyle w:val="BodyText"/>
      </w:pPr>
    </w:p>
    <w:p>
      <w:pPr>
        <w:pStyle w:val="BodyText"/>
        <w:ind w:left="1280" w:right="792" w:hanging="720"/>
        <w:jc w:val="both"/>
      </w:pPr>
      <w:r>
        <w:rPr/>
        <w:t>Ordi, J., Menedez, C., Ismail, M.R., Ventura, P.J., Palacin, A., Kahigiwa, E., Ferrer, B., Cardesa, A. and Alonso, P.L. (2001). Placental malaria is associated with cell- mediated inflammatory response with selective absence of natural killer cells. </w:t>
      </w:r>
      <w:r>
        <w:rPr>
          <w:i/>
        </w:rPr>
        <w:t>The Journal of Infectious Diseases</w:t>
      </w:r>
      <w:r>
        <w:rPr/>
        <w:t>. 183(</w:t>
      </w:r>
      <w:r>
        <w:rPr>
          <w:b/>
        </w:rPr>
        <w:t>7</w:t>
      </w:r>
      <w:r>
        <w:rPr/>
        <w:t>): 1100-1107.</w:t>
      </w:r>
    </w:p>
    <w:p>
      <w:pPr>
        <w:spacing w:after="0"/>
        <w:jc w:val="both"/>
        <w:sectPr>
          <w:pgSz w:w="11910" w:h="16840"/>
          <w:pgMar w:header="0" w:footer="1067" w:top="1060" w:bottom="1260" w:left="880" w:right="640"/>
        </w:sectPr>
      </w:pPr>
    </w:p>
    <w:p>
      <w:pPr>
        <w:pStyle w:val="BodyText"/>
        <w:spacing w:before="70"/>
        <w:ind w:left="560"/>
        <w:jc w:val="both"/>
      </w:pPr>
      <w:r>
        <w:rPr/>
        <w:t>Osier,</w:t>
      </w:r>
      <w:r>
        <w:rPr>
          <w:spacing w:val="45"/>
        </w:rPr>
        <w:t> </w:t>
      </w:r>
      <w:r>
        <w:rPr/>
        <w:t>F.H.,</w:t>
      </w:r>
      <w:r>
        <w:rPr>
          <w:spacing w:val="46"/>
        </w:rPr>
        <w:t> </w:t>
      </w:r>
      <w:r>
        <w:rPr/>
        <w:t>Fegan,</w:t>
      </w:r>
      <w:r>
        <w:rPr>
          <w:spacing w:val="49"/>
        </w:rPr>
        <w:t> </w:t>
      </w:r>
      <w:r>
        <w:rPr/>
        <w:t>G.,</w:t>
      </w:r>
      <w:r>
        <w:rPr>
          <w:spacing w:val="47"/>
        </w:rPr>
        <w:t> </w:t>
      </w:r>
      <w:r>
        <w:rPr/>
        <w:t>Polley,</w:t>
      </w:r>
      <w:r>
        <w:rPr>
          <w:spacing w:val="46"/>
        </w:rPr>
        <w:t> </w:t>
      </w:r>
      <w:r>
        <w:rPr/>
        <w:t>S.D.,</w:t>
      </w:r>
      <w:r>
        <w:rPr>
          <w:spacing w:val="46"/>
        </w:rPr>
        <w:t> </w:t>
      </w:r>
      <w:r>
        <w:rPr/>
        <w:t>Murungi,</w:t>
      </w:r>
      <w:r>
        <w:rPr>
          <w:spacing w:val="49"/>
        </w:rPr>
        <w:t> </w:t>
      </w:r>
      <w:r>
        <w:rPr/>
        <w:t>L.,</w:t>
      </w:r>
      <w:r>
        <w:rPr>
          <w:spacing w:val="45"/>
        </w:rPr>
        <w:t> </w:t>
      </w:r>
      <w:r>
        <w:rPr/>
        <w:t>Verra,</w:t>
      </w:r>
      <w:r>
        <w:rPr>
          <w:spacing w:val="46"/>
        </w:rPr>
        <w:t> </w:t>
      </w:r>
      <w:r>
        <w:rPr/>
        <w:t>F.,</w:t>
      </w:r>
      <w:r>
        <w:rPr>
          <w:spacing w:val="46"/>
        </w:rPr>
        <w:t> </w:t>
      </w:r>
      <w:r>
        <w:rPr/>
        <w:t>Tetteh,</w:t>
      </w:r>
      <w:r>
        <w:rPr>
          <w:spacing w:val="48"/>
        </w:rPr>
        <w:t> </w:t>
      </w:r>
      <w:r>
        <w:rPr/>
        <w:t>K.K.</w:t>
      </w:r>
      <w:r>
        <w:rPr>
          <w:spacing w:val="46"/>
        </w:rPr>
        <w:t> </w:t>
      </w:r>
      <w:r>
        <w:rPr/>
        <w:t>A.,</w:t>
      </w:r>
      <w:r>
        <w:rPr>
          <w:spacing w:val="48"/>
        </w:rPr>
        <w:t> </w:t>
      </w:r>
      <w:r>
        <w:rPr/>
        <w:t>Lowe,</w:t>
      </w:r>
      <w:r>
        <w:rPr>
          <w:spacing w:val="48"/>
        </w:rPr>
        <w:t> </w:t>
      </w:r>
      <w:r>
        <w:rPr>
          <w:spacing w:val="-5"/>
        </w:rPr>
        <w:t>B.,</w:t>
      </w:r>
    </w:p>
    <w:p>
      <w:pPr>
        <w:pStyle w:val="BodyText"/>
        <w:ind w:left="1280" w:right="797"/>
        <w:jc w:val="both"/>
      </w:pPr>
      <w:r>
        <w:rPr/>
        <w:t>Mwangi, T., Bull, P.C., Thomas, A.N., Cavanagh, D.R., McBride, J.S., Lanar, D.E., Mackinnon, M.J., Conway, D.J. and Marsh, K. (2008). Breadth and magnitude of antibody responses to multiple </w:t>
      </w:r>
      <w:r>
        <w:rPr>
          <w:i/>
        </w:rPr>
        <w:t>plasmodium falciparum </w:t>
      </w:r>
      <w:r>
        <w:rPr/>
        <w:t>merozoite antigens are associated</w:t>
      </w:r>
      <w:r>
        <w:rPr>
          <w:spacing w:val="-1"/>
        </w:rPr>
        <w:t> </w:t>
      </w:r>
      <w:r>
        <w:rPr/>
        <w:t>with protection</w:t>
      </w:r>
      <w:r>
        <w:rPr>
          <w:spacing w:val="-1"/>
        </w:rPr>
        <w:t> </w:t>
      </w:r>
      <w:r>
        <w:rPr/>
        <w:t>from clinical malaria. </w:t>
      </w:r>
      <w:r>
        <w:rPr>
          <w:i/>
        </w:rPr>
        <w:t>Infection</w:t>
      </w:r>
      <w:r>
        <w:rPr>
          <w:i/>
          <w:spacing w:val="-1"/>
        </w:rPr>
        <w:t> </w:t>
      </w:r>
      <w:r>
        <w:rPr>
          <w:i/>
        </w:rPr>
        <w:t>and</w:t>
      </w:r>
      <w:r>
        <w:rPr>
          <w:i/>
          <w:spacing w:val="-1"/>
        </w:rPr>
        <w:t> </w:t>
      </w:r>
      <w:r>
        <w:rPr>
          <w:i/>
        </w:rPr>
        <w:t>Immunity</w:t>
      </w:r>
      <w:r>
        <w:rPr/>
        <w:t>; 76(</w:t>
      </w:r>
      <w:r>
        <w:rPr>
          <w:b/>
        </w:rPr>
        <w:t>5</w:t>
      </w:r>
      <w:r>
        <w:rPr/>
        <w:t>):</w:t>
      </w:r>
      <w:r>
        <w:rPr>
          <w:spacing w:val="-1"/>
        </w:rPr>
        <w:t> </w:t>
      </w:r>
      <w:r>
        <w:rPr/>
        <w:t>2240- </w:t>
      </w:r>
      <w:r>
        <w:rPr>
          <w:spacing w:val="-2"/>
        </w:rPr>
        <w:t>2248.</w:t>
      </w:r>
    </w:p>
    <w:p>
      <w:pPr>
        <w:pStyle w:val="BodyText"/>
      </w:pPr>
    </w:p>
    <w:p>
      <w:pPr>
        <w:pStyle w:val="BodyText"/>
        <w:spacing w:before="1"/>
        <w:ind w:left="1280" w:right="795" w:hanging="720"/>
        <w:jc w:val="both"/>
      </w:pPr>
      <w:r>
        <w:rPr/>
        <w:t>Otsuji, S., Shibata, H. and Umeda, M.(1982). </w:t>
      </w:r>
      <w:hyperlink r:id="rId23">
        <w:r>
          <w:rPr/>
          <w:t>Turbidimetric immunoassay of serum C-</w:t>
        </w:r>
      </w:hyperlink>
      <w:r>
        <w:rPr/>
        <w:t> </w:t>
      </w:r>
      <w:hyperlink r:id="rId23">
        <w:r>
          <w:rPr/>
          <w:t>reactive protein.</w:t>
        </w:r>
      </w:hyperlink>
      <w:r>
        <w:rPr>
          <w:i/>
        </w:rPr>
        <w:t>Clinical Chenistry </w:t>
      </w:r>
      <w:r>
        <w:rPr>
          <w:b/>
          <w:i/>
        </w:rPr>
        <w:t>(10):</w:t>
      </w:r>
      <w:r>
        <w:rPr/>
        <w:t>2121-2124</w:t>
      </w:r>
    </w:p>
    <w:p>
      <w:pPr>
        <w:pStyle w:val="BodyText"/>
        <w:spacing w:before="276"/>
        <w:ind w:left="560"/>
        <w:jc w:val="both"/>
      </w:pPr>
      <w:r>
        <w:rPr/>
        <w:t>Ouedraogo,</w:t>
      </w:r>
      <w:r>
        <w:rPr>
          <w:spacing w:val="21"/>
        </w:rPr>
        <w:t> </w:t>
      </w:r>
      <w:r>
        <w:rPr/>
        <w:t>S.,</w:t>
      </w:r>
      <w:r>
        <w:rPr>
          <w:spacing w:val="22"/>
        </w:rPr>
        <w:t> </w:t>
      </w:r>
      <w:r>
        <w:rPr/>
        <w:t>Bodeau-Livinec,</w:t>
      </w:r>
      <w:r>
        <w:rPr>
          <w:spacing w:val="23"/>
        </w:rPr>
        <w:t> </w:t>
      </w:r>
      <w:r>
        <w:rPr/>
        <w:t>F.,</w:t>
      </w:r>
      <w:r>
        <w:rPr>
          <w:spacing w:val="22"/>
        </w:rPr>
        <w:t> </w:t>
      </w:r>
      <w:r>
        <w:rPr/>
        <w:t>Briand,</w:t>
      </w:r>
      <w:r>
        <w:rPr>
          <w:spacing w:val="21"/>
        </w:rPr>
        <w:t> </w:t>
      </w:r>
      <w:r>
        <w:rPr/>
        <w:t>V.,</w:t>
      </w:r>
      <w:r>
        <w:rPr>
          <w:spacing w:val="25"/>
        </w:rPr>
        <w:t> </w:t>
      </w:r>
      <w:r>
        <w:rPr/>
        <w:t>Huynh,</w:t>
      </w:r>
      <w:r>
        <w:rPr>
          <w:spacing w:val="24"/>
        </w:rPr>
        <w:t> </w:t>
      </w:r>
      <w:r>
        <w:rPr/>
        <w:t>B.,</w:t>
      </w:r>
      <w:r>
        <w:rPr>
          <w:spacing w:val="21"/>
        </w:rPr>
        <w:t> </w:t>
      </w:r>
      <w:r>
        <w:rPr/>
        <w:t>Koura,</w:t>
      </w:r>
      <w:r>
        <w:rPr>
          <w:spacing w:val="22"/>
        </w:rPr>
        <w:t> </w:t>
      </w:r>
      <w:r>
        <w:rPr/>
        <w:t>G.</w:t>
      </w:r>
      <w:r>
        <w:rPr>
          <w:spacing w:val="23"/>
        </w:rPr>
        <w:t> </w:t>
      </w:r>
      <w:r>
        <w:rPr/>
        <w:t>K.,</w:t>
      </w:r>
      <w:r>
        <w:rPr>
          <w:spacing w:val="22"/>
        </w:rPr>
        <w:t> </w:t>
      </w:r>
      <w:r>
        <w:rPr/>
        <w:t>Accrombessi,</w:t>
      </w:r>
      <w:r>
        <w:rPr>
          <w:spacing w:val="22"/>
        </w:rPr>
        <w:t> </w:t>
      </w:r>
      <w:r>
        <w:rPr>
          <w:spacing w:val="-5"/>
        </w:rPr>
        <w:t>M.</w:t>
      </w:r>
    </w:p>
    <w:p>
      <w:pPr>
        <w:pStyle w:val="BodyText"/>
        <w:ind w:left="1280" w:right="802"/>
        <w:jc w:val="both"/>
      </w:pPr>
      <w:r>
        <w:rPr/>
        <w:t>M. K., Fieret, N., Massougbodgi, A., Deloron, P. and Cot, M. (2012).Malaria and gravidity intereact to modify maternal haemoglobin concentration during pregnancy.</w:t>
      </w:r>
      <w:r>
        <w:rPr>
          <w:i/>
        </w:rPr>
        <w:t>Malaria Journal</w:t>
      </w:r>
      <w:r>
        <w:rPr/>
        <w:t>: 11</w:t>
      </w:r>
      <w:r>
        <w:rPr>
          <w:b/>
        </w:rPr>
        <w:t>(1): </w:t>
      </w:r>
      <w:r>
        <w:rPr/>
        <w:t>348</w:t>
      </w:r>
    </w:p>
    <w:p>
      <w:pPr>
        <w:pStyle w:val="BodyText"/>
      </w:pPr>
    </w:p>
    <w:p>
      <w:pPr>
        <w:pStyle w:val="BodyText"/>
        <w:ind w:left="1280" w:right="794" w:hanging="720"/>
        <w:jc w:val="both"/>
      </w:pPr>
      <w:r>
        <w:rPr/>
        <w:t>Ouma, P., Van Eijk, A.M., Hamel, M.J., Parise, M., Ayisi, J.G., Otieno, K., Kager, P.A. and Slutsker, L. (2008). Malaria and anaemia among pregnant women at first antenatal clinic visit in kisumu, western Kenya. </w:t>
      </w:r>
      <w:r>
        <w:rPr>
          <w:i/>
        </w:rPr>
        <w:t>Tropical Medicine and International Health</w:t>
      </w:r>
      <w:r>
        <w:rPr/>
        <w:t>; 12(</w:t>
      </w:r>
      <w:r>
        <w:rPr>
          <w:b/>
        </w:rPr>
        <w:t>12</w:t>
      </w:r>
      <w:r>
        <w:rPr/>
        <w:t>): 1515-1523.</w:t>
      </w:r>
    </w:p>
    <w:p>
      <w:pPr>
        <w:pStyle w:val="BodyText"/>
      </w:pPr>
    </w:p>
    <w:p>
      <w:pPr>
        <w:pStyle w:val="BodyText"/>
        <w:ind w:left="1280" w:right="801" w:hanging="720"/>
        <w:jc w:val="both"/>
      </w:pPr>
      <w:r>
        <w:rPr/>
        <w:t>Panda, A.K., Panda, M., Tripathy, R., Pattanaik, S.S., Ravindran, B. and Das, B.K. (2012). Complement receptor 1 variants confer protection from severe malaria in Odisha, India. </w:t>
      </w:r>
      <w:r>
        <w:rPr>
          <w:i/>
        </w:rPr>
        <w:t>PLoS One</w:t>
      </w:r>
      <w:r>
        <w:rPr/>
        <w:t>; 7(</w:t>
      </w:r>
      <w:r>
        <w:rPr>
          <w:b/>
        </w:rPr>
        <w:t>11</w:t>
      </w:r>
      <w:r>
        <w:rPr/>
        <w:t>): e49420.</w:t>
      </w:r>
    </w:p>
    <w:p>
      <w:pPr>
        <w:pStyle w:val="BodyText"/>
        <w:spacing w:before="1"/>
      </w:pPr>
    </w:p>
    <w:p>
      <w:pPr>
        <w:pStyle w:val="BodyText"/>
        <w:ind w:left="1280" w:right="799" w:hanging="720"/>
        <w:jc w:val="both"/>
      </w:pPr>
      <w:r>
        <w:rPr/>
        <w:t>Panti, A.A., Omokanye, L.O., Ekele, B.A., Jlya, N.M.A., Isah, A.Y., Nwobodo, E.I. and Ahmed, Y. (2012).The prevalence of asymptomatic malaria parasitaemia at delivery</w:t>
      </w:r>
      <w:r>
        <w:rPr>
          <w:spacing w:val="40"/>
        </w:rPr>
        <w:t> </w:t>
      </w:r>
      <w:r>
        <w:rPr/>
        <w:t>in Usmanu Dan Fodiyo University Teaching Hospital Sokoto north western Nigeria.</w:t>
      </w:r>
      <w:r>
        <w:rPr>
          <w:i/>
        </w:rPr>
        <w:t>Global Research Journal of Medical Sciences</w:t>
      </w:r>
      <w:r>
        <w:rPr/>
        <w:t>; 2(</w:t>
      </w:r>
      <w:r>
        <w:rPr>
          <w:b/>
        </w:rPr>
        <w:t>4</w:t>
      </w:r>
      <w:r>
        <w:rPr/>
        <w:t>): 48-53.</w:t>
      </w:r>
    </w:p>
    <w:p>
      <w:pPr>
        <w:pStyle w:val="BodyText"/>
      </w:pPr>
    </w:p>
    <w:p>
      <w:pPr>
        <w:spacing w:before="0"/>
        <w:ind w:left="1280" w:right="798" w:hanging="720"/>
        <w:jc w:val="both"/>
        <w:rPr>
          <w:sz w:val="24"/>
        </w:rPr>
      </w:pPr>
      <w:r>
        <w:rPr>
          <w:sz w:val="24"/>
        </w:rPr>
        <w:t>Papanikolaou, N. C., Hatzidaki, E. G., Belivanis, S., Tzanakakis, G. N., and Tsatsakis, A. M. (2005). Lead toxicity update. A brief review.</w:t>
      </w:r>
      <w:r>
        <w:rPr>
          <w:i/>
          <w:sz w:val="24"/>
        </w:rPr>
        <w:t>Medical Journal of Experimental and Clinical Research, 11, </w:t>
      </w:r>
      <w:r>
        <w:rPr>
          <w:sz w:val="24"/>
        </w:rPr>
        <w:t>RA329-RA336</w:t>
      </w:r>
    </w:p>
    <w:p>
      <w:pPr>
        <w:pStyle w:val="BodyText"/>
      </w:pPr>
    </w:p>
    <w:p>
      <w:pPr>
        <w:pStyle w:val="BodyText"/>
        <w:ind w:left="1280" w:right="800" w:hanging="720"/>
        <w:jc w:val="both"/>
      </w:pPr>
      <w:r>
        <w:rPr/>
        <w:t>Parasisi, R., Porcu, E., Venturoll, S., Maldini- Casadei, M. and Boni, P. (2003). Maternal Serum Levels of</w:t>
      </w:r>
      <w:r>
        <w:rPr>
          <w:spacing w:val="40"/>
        </w:rPr>
        <w:t> </w:t>
      </w:r>
      <w:r>
        <w:rPr/>
        <w:t>Pro-Inflammatory Cytokines in missed and Threatened abortion. </w:t>
      </w:r>
      <w:r>
        <w:rPr>
          <w:i/>
        </w:rPr>
        <w:t>American Journal of Reproduction; </w:t>
      </w:r>
      <w:r>
        <w:rPr>
          <w:b/>
        </w:rPr>
        <w:t>50 (4): </w:t>
      </w:r>
      <w:r>
        <w:rPr/>
        <w:t>302 - 308</w:t>
      </w:r>
    </w:p>
    <w:p>
      <w:pPr>
        <w:pStyle w:val="BodyText"/>
        <w:spacing w:before="1"/>
      </w:pPr>
    </w:p>
    <w:p>
      <w:pPr>
        <w:pStyle w:val="BodyText"/>
        <w:ind w:left="560"/>
        <w:jc w:val="both"/>
      </w:pPr>
      <w:r>
        <w:rPr/>
        <w:t>Pasricha,</w:t>
      </w:r>
      <w:r>
        <w:rPr>
          <w:spacing w:val="10"/>
        </w:rPr>
        <w:t> </w:t>
      </w:r>
      <w:r>
        <w:rPr/>
        <w:t>S.</w:t>
      </w:r>
      <w:r>
        <w:rPr>
          <w:spacing w:val="10"/>
        </w:rPr>
        <w:t> </w:t>
      </w:r>
      <w:r>
        <w:rPr/>
        <w:t>R.,</w:t>
      </w:r>
      <w:r>
        <w:rPr>
          <w:spacing w:val="10"/>
        </w:rPr>
        <w:t> </w:t>
      </w:r>
      <w:r>
        <w:rPr/>
        <w:t>McQuitten,</w:t>
      </w:r>
      <w:r>
        <w:rPr>
          <w:spacing w:val="11"/>
        </w:rPr>
        <w:t> </w:t>
      </w:r>
      <w:r>
        <w:rPr/>
        <w:t>Z.,</w:t>
      </w:r>
      <w:r>
        <w:rPr>
          <w:spacing w:val="10"/>
        </w:rPr>
        <w:t> </w:t>
      </w:r>
      <w:r>
        <w:rPr/>
        <w:t>Westerman,</w:t>
      </w:r>
      <w:r>
        <w:rPr>
          <w:spacing w:val="12"/>
        </w:rPr>
        <w:t> </w:t>
      </w:r>
      <w:r>
        <w:rPr/>
        <w:t>M.,</w:t>
      </w:r>
      <w:r>
        <w:rPr>
          <w:spacing w:val="14"/>
        </w:rPr>
        <w:t> </w:t>
      </w:r>
      <w:r>
        <w:rPr/>
        <w:t>Keller,</w:t>
      </w:r>
      <w:r>
        <w:rPr>
          <w:spacing w:val="10"/>
        </w:rPr>
        <w:t> </w:t>
      </w:r>
      <w:r>
        <w:rPr/>
        <w:t>A.,</w:t>
      </w:r>
      <w:r>
        <w:rPr>
          <w:spacing w:val="14"/>
        </w:rPr>
        <w:t> </w:t>
      </w:r>
      <w:r>
        <w:rPr/>
        <w:t>Neimeth,</w:t>
      </w:r>
      <w:r>
        <w:rPr>
          <w:spacing w:val="10"/>
        </w:rPr>
        <w:t> </w:t>
      </w:r>
      <w:r>
        <w:rPr/>
        <w:t>E.,</w:t>
      </w:r>
      <w:r>
        <w:rPr>
          <w:spacing w:val="16"/>
        </w:rPr>
        <w:t> </w:t>
      </w:r>
      <w:r>
        <w:rPr/>
        <w:t>Ganz,</w:t>
      </w:r>
      <w:r>
        <w:rPr>
          <w:spacing w:val="10"/>
        </w:rPr>
        <w:t> </w:t>
      </w:r>
      <w:r>
        <w:rPr/>
        <w:t>T</w:t>
      </w:r>
      <w:r>
        <w:rPr>
          <w:spacing w:val="10"/>
        </w:rPr>
        <w:t> </w:t>
      </w:r>
      <w:r>
        <w:rPr/>
        <w:t>and</w:t>
      </w:r>
      <w:r>
        <w:rPr>
          <w:spacing w:val="11"/>
        </w:rPr>
        <w:t> </w:t>
      </w:r>
      <w:r>
        <w:rPr>
          <w:spacing w:val="-2"/>
        </w:rPr>
        <w:t>Wood,</w:t>
      </w:r>
    </w:p>
    <w:p>
      <w:pPr>
        <w:pStyle w:val="BodyText"/>
        <w:ind w:left="1280" w:right="805"/>
        <w:jc w:val="both"/>
      </w:pPr>
      <w:r>
        <w:rPr/>
        <w:t>E. (2011). Serum Hepcidin as a diagnostic test of iron deficiency in premenopausal female blood donors. </w:t>
      </w:r>
      <w:r>
        <w:rPr>
          <w:i/>
        </w:rPr>
        <w:t>Haematologica.</w:t>
      </w:r>
      <w:r>
        <w:rPr/>
        <w:t>98 </w:t>
      </w:r>
      <w:r>
        <w:rPr>
          <w:b/>
        </w:rPr>
        <w:t>(8): </w:t>
      </w:r>
      <w:r>
        <w:rPr/>
        <w:t>1099 – 1105</w:t>
      </w:r>
    </w:p>
    <w:p>
      <w:pPr>
        <w:pStyle w:val="BodyText"/>
      </w:pPr>
    </w:p>
    <w:p>
      <w:pPr>
        <w:pStyle w:val="BodyText"/>
        <w:ind w:left="1280" w:right="799" w:hanging="720"/>
        <w:jc w:val="both"/>
      </w:pPr>
      <w:r>
        <w:rPr/>
        <w:t>Perkins, D.J, Weinberg, J.B. and Kremsner, P.G. (2000): Reduced IL-12 and Transforming growth factor Beta (TGFβ) in severe childhood malaria: Relationship of cytokine balance with disease severity. </w:t>
      </w:r>
      <w:r>
        <w:rPr>
          <w:i/>
        </w:rPr>
        <w:t>Journal of Infectious Diseases </w:t>
      </w:r>
      <w:r>
        <w:rPr/>
        <w:t>182(</w:t>
      </w:r>
      <w:r>
        <w:rPr>
          <w:b/>
        </w:rPr>
        <w:t>3</w:t>
      </w:r>
      <w:r>
        <w:rPr/>
        <w:t>):988-992.</w:t>
      </w:r>
    </w:p>
    <w:p>
      <w:pPr>
        <w:pStyle w:val="BodyText"/>
      </w:pPr>
    </w:p>
    <w:p>
      <w:pPr>
        <w:spacing w:before="0"/>
        <w:ind w:left="1280" w:right="796" w:hanging="720"/>
        <w:jc w:val="both"/>
        <w:rPr>
          <w:i/>
          <w:sz w:val="24"/>
        </w:rPr>
      </w:pPr>
      <w:r>
        <w:rPr>
          <w:sz w:val="24"/>
        </w:rPr>
        <w:t>Perlas L.A., Kuizon M.D., Tajaon R.T., Desnacido J.A., (1992): Iron status of pregnant Filipino women as measured by serum ferritin. </w:t>
      </w:r>
      <w:r>
        <w:rPr>
          <w:i/>
          <w:sz w:val="24"/>
        </w:rPr>
        <w:t>Southeast Asian Journal of Tropical Medicine and Public Health, </w:t>
      </w:r>
      <w:r>
        <w:rPr>
          <w:b/>
          <w:i/>
          <w:sz w:val="24"/>
        </w:rPr>
        <w:t>23</w:t>
      </w:r>
      <w:r>
        <w:rPr>
          <w:i/>
          <w:sz w:val="24"/>
        </w:rPr>
        <w:t>: 691-697.</w:t>
      </w:r>
    </w:p>
    <w:p>
      <w:pPr>
        <w:pStyle w:val="BodyText"/>
        <w:rPr>
          <w:i/>
        </w:rPr>
      </w:pPr>
    </w:p>
    <w:p>
      <w:pPr>
        <w:pStyle w:val="BodyText"/>
        <w:spacing w:before="1"/>
        <w:ind w:right="804"/>
        <w:jc w:val="right"/>
      </w:pPr>
      <w:r>
        <w:rPr/>
        <w:t>Pigeon,</w:t>
      </w:r>
      <w:r>
        <w:rPr>
          <w:spacing w:val="4"/>
        </w:rPr>
        <w:t> </w:t>
      </w:r>
      <w:r>
        <w:rPr/>
        <w:t>C.,</w:t>
      </w:r>
      <w:r>
        <w:rPr>
          <w:spacing w:val="5"/>
        </w:rPr>
        <w:t> </w:t>
      </w:r>
      <w:r>
        <w:rPr/>
        <w:t>Ilyin,</w:t>
      </w:r>
      <w:r>
        <w:rPr>
          <w:spacing w:val="5"/>
        </w:rPr>
        <w:t> </w:t>
      </w:r>
      <w:r>
        <w:rPr/>
        <w:t>G.,</w:t>
      </w:r>
      <w:r>
        <w:rPr>
          <w:spacing w:val="5"/>
        </w:rPr>
        <w:t> </w:t>
      </w:r>
      <w:r>
        <w:rPr/>
        <w:t>Courseland,</w:t>
      </w:r>
      <w:r>
        <w:rPr>
          <w:spacing w:val="5"/>
        </w:rPr>
        <w:t> </w:t>
      </w:r>
      <w:r>
        <w:rPr/>
        <w:t>B.,</w:t>
      </w:r>
      <w:r>
        <w:rPr>
          <w:spacing w:val="7"/>
        </w:rPr>
        <w:t> </w:t>
      </w:r>
      <w:r>
        <w:rPr/>
        <w:t>Leroyer,</w:t>
      </w:r>
      <w:r>
        <w:rPr>
          <w:spacing w:val="5"/>
        </w:rPr>
        <w:t> </w:t>
      </w:r>
      <w:r>
        <w:rPr/>
        <w:t>P.,</w:t>
      </w:r>
      <w:r>
        <w:rPr>
          <w:spacing w:val="7"/>
        </w:rPr>
        <w:t> </w:t>
      </w:r>
      <w:r>
        <w:rPr/>
        <w:t>Turlin,</w:t>
      </w:r>
      <w:r>
        <w:rPr>
          <w:spacing w:val="5"/>
        </w:rPr>
        <w:t> </w:t>
      </w:r>
      <w:r>
        <w:rPr/>
        <w:t>B.,</w:t>
      </w:r>
      <w:r>
        <w:rPr>
          <w:spacing w:val="3"/>
        </w:rPr>
        <w:t> </w:t>
      </w:r>
      <w:r>
        <w:rPr/>
        <w:t>Brissot,</w:t>
      </w:r>
      <w:r>
        <w:rPr>
          <w:spacing w:val="2"/>
        </w:rPr>
        <w:t> </w:t>
      </w:r>
      <w:r>
        <w:rPr/>
        <w:t>P.,</w:t>
      </w:r>
      <w:r>
        <w:rPr>
          <w:spacing w:val="5"/>
        </w:rPr>
        <w:t> </w:t>
      </w:r>
      <w:r>
        <w:rPr/>
        <w:t>Loreal,</w:t>
      </w:r>
      <w:r>
        <w:rPr>
          <w:spacing w:val="5"/>
        </w:rPr>
        <w:t> </w:t>
      </w:r>
      <w:r>
        <w:rPr/>
        <w:t>O.</w:t>
      </w:r>
      <w:r>
        <w:rPr>
          <w:spacing w:val="5"/>
        </w:rPr>
        <w:t> </w:t>
      </w:r>
      <w:r>
        <w:rPr/>
        <w:t>and</w:t>
      </w:r>
      <w:r>
        <w:rPr>
          <w:spacing w:val="8"/>
        </w:rPr>
        <w:t> </w:t>
      </w:r>
      <w:r>
        <w:rPr>
          <w:spacing w:val="-2"/>
        </w:rPr>
        <w:t>Ilyin,</w:t>
      </w:r>
    </w:p>
    <w:p>
      <w:pPr>
        <w:pStyle w:val="BodyText"/>
        <w:ind w:right="797"/>
        <w:jc w:val="right"/>
      </w:pPr>
      <w:r>
        <w:rPr/>
        <w:t>G.A.</w:t>
      </w:r>
      <w:r>
        <w:rPr>
          <w:spacing w:val="39"/>
        </w:rPr>
        <w:t> </w:t>
      </w:r>
      <w:r>
        <w:rPr/>
        <w:t>(2001).</w:t>
      </w:r>
      <w:r>
        <w:rPr>
          <w:spacing w:val="41"/>
        </w:rPr>
        <w:t> </w:t>
      </w:r>
      <w:r>
        <w:rPr/>
        <w:t>A</w:t>
      </w:r>
      <w:r>
        <w:rPr>
          <w:spacing w:val="41"/>
        </w:rPr>
        <w:t> </w:t>
      </w:r>
      <w:r>
        <w:rPr/>
        <w:t>new</w:t>
      </w:r>
      <w:r>
        <w:rPr>
          <w:spacing w:val="41"/>
        </w:rPr>
        <w:t> </w:t>
      </w:r>
      <w:r>
        <w:rPr/>
        <w:t>mouse</w:t>
      </w:r>
      <w:r>
        <w:rPr>
          <w:spacing w:val="41"/>
        </w:rPr>
        <w:t> </w:t>
      </w:r>
      <w:r>
        <w:rPr/>
        <w:t>liver-specific</w:t>
      </w:r>
      <w:r>
        <w:rPr>
          <w:spacing w:val="42"/>
        </w:rPr>
        <w:t> </w:t>
      </w:r>
      <w:r>
        <w:rPr/>
        <w:t>gene,</w:t>
      </w:r>
      <w:r>
        <w:rPr>
          <w:spacing w:val="41"/>
        </w:rPr>
        <w:t> </w:t>
      </w:r>
      <w:r>
        <w:rPr/>
        <w:t>encoding</w:t>
      </w:r>
      <w:r>
        <w:rPr>
          <w:spacing w:val="42"/>
        </w:rPr>
        <w:t> </w:t>
      </w:r>
      <w:r>
        <w:rPr/>
        <w:t>a</w:t>
      </w:r>
      <w:r>
        <w:rPr>
          <w:spacing w:val="41"/>
        </w:rPr>
        <w:t> </w:t>
      </w:r>
      <w:r>
        <w:rPr/>
        <w:t>protein</w:t>
      </w:r>
      <w:r>
        <w:rPr>
          <w:spacing w:val="41"/>
        </w:rPr>
        <w:t> </w:t>
      </w:r>
      <w:r>
        <w:rPr/>
        <w:t>homologous</w:t>
      </w:r>
      <w:r>
        <w:rPr>
          <w:spacing w:val="43"/>
        </w:rPr>
        <w:t> </w:t>
      </w:r>
      <w:r>
        <w:rPr>
          <w:spacing w:val="-5"/>
        </w:rPr>
        <w:t>to</w:t>
      </w:r>
    </w:p>
    <w:p>
      <w:pPr>
        <w:spacing w:after="0"/>
        <w:jc w:val="right"/>
        <w:sectPr>
          <w:pgSz w:w="11910" w:h="16840"/>
          <w:pgMar w:header="0" w:footer="1067" w:top="1060" w:bottom="1260" w:left="880" w:right="640"/>
        </w:sectPr>
      </w:pPr>
    </w:p>
    <w:p>
      <w:pPr>
        <w:spacing w:before="70"/>
        <w:ind w:left="1280" w:right="795" w:firstLine="0"/>
        <w:jc w:val="left"/>
        <w:rPr>
          <w:sz w:val="24"/>
        </w:rPr>
      </w:pPr>
      <w:r>
        <w:rPr>
          <w:sz w:val="24"/>
        </w:rPr>
        <w:t>human</w:t>
      </w:r>
      <w:r>
        <w:rPr>
          <w:spacing w:val="35"/>
          <w:sz w:val="24"/>
        </w:rPr>
        <w:t> </w:t>
      </w:r>
      <w:r>
        <w:rPr>
          <w:sz w:val="24"/>
        </w:rPr>
        <w:t>antimicrobial</w:t>
      </w:r>
      <w:r>
        <w:rPr>
          <w:spacing w:val="36"/>
          <w:sz w:val="24"/>
        </w:rPr>
        <w:t> </w:t>
      </w:r>
      <w:r>
        <w:rPr>
          <w:sz w:val="24"/>
        </w:rPr>
        <w:t>peptide</w:t>
      </w:r>
      <w:r>
        <w:rPr>
          <w:spacing w:val="34"/>
          <w:sz w:val="24"/>
        </w:rPr>
        <w:t> </w:t>
      </w:r>
      <w:r>
        <w:rPr>
          <w:sz w:val="24"/>
        </w:rPr>
        <w:t>hepcidin,</w:t>
      </w:r>
      <w:r>
        <w:rPr>
          <w:spacing w:val="35"/>
          <w:sz w:val="24"/>
        </w:rPr>
        <w:t> </w:t>
      </w:r>
      <w:r>
        <w:rPr>
          <w:sz w:val="24"/>
        </w:rPr>
        <w:t>is</w:t>
      </w:r>
      <w:r>
        <w:rPr>
          <w:spacing w:val="36"/>
          <w:sz w:val="24"/>
        </w:rPr>
        <w:t> </w:t>
      </w:r>
      <w:r>
        <w:rPr>
          <w:sz w:val="24"/>
        </w:rPr>
        <w:t>over-expressed</w:t>
      </w:r>
      <w:r>
        <w:rPr>
          <w:spacing w:val="35"/>
          <w:sz w:val="24"/>
        </w:rPr>
        <w:t> </w:t>
      </w:r>
      <w:r>
        <w:rPr>
          <w:sz w:val="24"/>
        </w:rPr>
        <w:t>during</w:t>
      </w:r>
      <w:r>
        <w:rPr>
          <w:spacing w:val="35"/>
          <w:sz w:val="24"/>
        </w:rPr>
        <w:t> </w:t>
      </w:r>
      <w:r>
        <w:rPr>
          <w:sz w:val="24"/>
        </w:rPr>
        <w:t>iron</w:t>
      </w:r>
      <w:r>
        <w:rPr>
          <w:spacing w:val="35"/>
          <w:sz w:val="24"/>
        </w:rPr>
        <w:t> </w:t>
      </w:r>
      <w:r>
        <w:rPr>
          <w:sz w:val="24"/>
        </w:rPr>
        <w:t>overload.</w:t>
      </w:r>
      <w:r>
        <w:rPr>
          <w:spacing w:val="37"/>
          <w:sz w:val="24"/>
        </w:rPr>
        <w:t> </w:t>
      </w:r>
      <w:r>
        <w:rPr>
          <w:i/>
          <w:sz w:val="24"/>
        </w:rPr>
        <w:t>The Journal of Biological Chemistry</w:t>
      </w:r>
      <w:r>
        <w:rPr>
          <w:sz w:val="24"/>
        </w:rPr>
        <w:t>; 276(</w:t>
      </w:r>
      <w:r>
        <w:rPr>
          <w:b/>
          <w:sz w:val="24"/>
        </w:rPr>
        <w:t>11</w:t>
      </w:r>
      <w:r>
        <w:rPr>
          <w:sz w:val="24"/>
        </w:rPr>
        <w:t>): 7811-7819.</w:t>
      </w:r>
    </w:p>
    <w:p>
      <w:pPr>
        <w:pStyle w:val="BodyText"/>
      </w:pPr>
    </w:p>
    <w:p>
      <w:pPr>
        <w:pStyle w:val="BodyText"/>
        <w:spacing w:before="1"/>
        <w:ind w:left="1280" w:right="793" w:hanging="720"/>
        <w:jc w:val="both"/>
      </w:pPr>
      <w:r>
        <w:rPr/>
        <w:t>Pillai, R. S. N. and Bagavathi, V. (2012).Correlation.In Statistics, Theory and Practice.7</w:t>
      </w:r>
      <w:r>
        <w:rPr>
          <w:vertAlign w:val="superscript"/>
        </w:rPr>
        <w:t>th</w:t>
      </w:r>
      <w:r>
        <w:rPr>
          <w:vertAlign w:val="baseline"/>
        </w:rPr>
        <w:t> Revised Edition, Reprint 2012.S. chand and Coy.New Dehli, India Pg. 396 – 464</w:t>
      </w:r>
    </w:p>
    <w:p>
      <w:pPr>
        <w:pStyle w:val="BodyText"/>
        <w:spacing w:before="276"/>
        <w:ind w:left="1280" w:right="796" w:hanging="720"/>
        <w:jc w:val="both"/>
      </w:pPr>
      <w:r>
        <w:rPr/>
        <w:t>Pippard, M. J. and Hoffbrand V. A. (2001). Iron, In: Post Graduate Haematology. Eds Hoffbrand A. V., Lewis S. M. and Tuddenham E.G.D. 4th edn. Oxford University Press. United States of America Pp: 23-45.</w:t>
      </w:r>
    </w:p>
    <w:p>
      <w:pPr>
        <w:spacing w:before="276"/>
        <w:ind w:left="1280" w:right="797" w:hanging="720"/>
        <w:jc w:val="both"/>
        <w:rPr>
          <w:sz w:val="24"/>
        </w:rPr>
      </w:pPr>
      <w:r>
        <w:rPr>
          <w:sz w:val="24"/>
        </w:rPr>
        <w:t>Planche, T., Krishna, S. (2006) Severe Malaria: Metabolic Complications.</w:t>
      </w:r>
      <w:r>
        <w:rPr>
          <w:i/>
          <w:sz w:val="24"/>
        </w:rPr>
        <w:t>Current Molecular Medicine; </w:t>
      </w:r>
      <w:r>
        <w:rPr>
          <w:sz w:val="24"/>
        </w:rPr>
        <w:t>6(</w:t>
      </w:r>
      <w:r>
        <w:rPr>
          <w:b/>
          <w:sz w:val="24"/>
        </w:rPr>
        <w:t>2</w:t>
      </w:r>
      <w:r>
        <w:rPr>
          <w:sz w:val="24"/>
        </w:rPr>
        <w:t>): 141 - 153</w:t>
      </w:r>
    </w:p>
    <w:p>
      <w:pPr>
        <w:pStyle w:val="BodyText"/>
      </w:pPr>
    </w:p>
    <w:p>
      <w:pPr>
        <w:spacing w:before="0"/>
        <w:ind w:left="1280" w:right="798" w:hanging="720"/>
        <w:jc w:val="both"/>
        <w:rPr>
          <w:sz w:val="24"/>
        </w:rPr>
      </w:pPr>
      <w:r>
        <w:rPr>
          <w:sz w:val="24"/>
        </w:rPr>
        <w:t>Poespoprodjo, J.R., Fobia, W., Kenangalem, E., Lampah, D.A., Warikar, N., Seal, A., McGready, R., Sugiarto, P., Tjitra, E., Anstey, N.M. and Price, R.N. (2008). Adverse pregnancy outcomes in an area where multidrug-resistant </w:t>
      </w:r>
      <w:r>
        <w:rPr>
          <w:i/>
          <w:sz w:val="24"/>
        </w:rPr>
        <w:t>plasmodium vivax </w:t>
      </w:r>
      <w:r>
        <w:rPr>
          <w:sz w:val="24"/>
        </w:rPr>
        <w:t>and </w:t>
      </w:r>
      <w:r>
        <w:rPr>
          <w:i/>
          <w:sz w:val="24"/>
        </w:rPr>
        <w:t>plasmodium falciparum </w:t>
      </w:r>
      <w:r>
        <w:rPr>
          <w:sz w:val="24"/>
        </w:rPr>
        <w:t>infections are endemic.</w:t>
      </w:r>
      <w:r>
        <w:rPr>
          <w:i/>
          <w:sz w:val="24"/>
        </w:rPr>
        <w:t>Journal of Clinical Infectious Diseases</w:t>
      </w:r>
      <w:r>
        <w:rPr>
          <w:sz w:val="24"/>
        </w:rPr>
        <w:t>; 46(</w:t>
      </w:r>
      <w:r>
        <w:rPr>
          <w:b/>
          <w:sz w:val="24"/>
        </w:rPr>
        <w:t>9</w:t>
      </w:r>
      <w:r>
        <w:rPr>
          <w:sz w:val="24"/>
        </w:rPr>
        <w:t>): 1374-1381.</w:t>
      </w:r>
    </w:p>
    <w:p>
      <w:pPr>
        <w:pStyle w:val="BodyText"/>
        <w:spacing w:before="240"/>
        <w:ind w:left="1371" w:right="794" w:hanging="812"/>
        <w:jc w:val="both"/>
      </w:pPr>
      <w:r>
        <w:rPr/>
        <w:t>Pradines, B., Ramiandrasoa, F., Fusai, T., Hammadi, A. Henry, M., Briolant, S., Orlandi- pradines, E., Bogreau, H., Mosnier, J., Baret, E., Kunesch, G., Le Bras, J. and</w:t>
      </w:r>
      <w:r>
        <w:rPr>
          <w:spacing w:val="80"/>
        </w:rPr>
        <w:t> </w:t>
      </w:r>
      <w:r>
        <w:rPr/>
        <w:t>Rogier, C. (2005). Generation of free radical and enhancement of hemin- induced membrane damage by</w:t>
      </w:r>
      <w:r>
        <w:rPr>
          <w:spacing w:val="-1"/>
        </w:rPr>
        <w:t> </w:t>
      </w:r>
      <w:r>
        <w:rPr/>
        <w:t>a catechol iron chelator in </w:t>
      </w:r>
      <w:r>
        <w:rPr>
          <w:i/>
        </w:rPr>
        <w:t>plasmodium falciparum</w:t>
      </w:r>
      <w:r>
        <w:rPr/>
        <w:t>. </w:t>
      </w:r>
      <w:r>
        <w:rPr>
          <w:i/>
        </w:rPr>
        <w:t>Journal of Biological Sciences</w:t>
      </w:r>
      <w:r>
        <w:rPr/>
        <w:t>; 5: 463- 471.</w:t>
      </w:r>
    </w:p>
    <w:p>
      <w:pPr>
        <w:pStyle w:val="BodyText"/>
        <w:spacing w:before="1"/>
      </w:pPr>
    </w:p>
    <w:p>
      <w:pPr>
        <w:pStyle w:val="BodyText"/>
        <w:ind w:left="1280" w:right="800" w:hanging="720"/>
        <w:jc w:val="both"/>
      </w:pPr>
      <w:r>
        <w:rPr/>
        <w:t>Prato, M., Gallo, V., Giribaldi, G. and Arese, P. (2008). Phagocytosis of haemozoin (malaria pigment) enhances metalloproteinase-9 activity</w:t>
      </w:r>
      <w:r>
        <w:rPr>
          <w:spacing w:val="-2"/>
        </w:rPr>
        <w:t> </w:t>
      </w:r>
      <w:r>
        <w:rPr/>
        <w:t>in human adherent monocytes: role</w:t>
      </w:r>
      <w:r>
        <w:rPr>
          <w:spacing w:val="-1"/>
        </w:rPr>
        <w:t> </w:t>
      </w:r>
      <w:r>
        <w:rPr/>
        <w:t>of IL-1 beta and 15-HETE. </w:t>
      </w:r>
      <w:r>
        <w:rPr>
          <w:i/>
        </w:rPr>
        <w:t>Malaria Journal</w:t>
      </w:r>
      <w:r>
        <w:rPr/>
        <w:t>; 7: 157-166.</w:t>
      </w:r>
    </w:p>
    <w:p>
      <w:pPr>
        <w:pStyle w:val="BodyText"/>
      </w:pPr>
    </w:p>
    <w:p>
      <w:pPr>
        <w:pStyle w:val="BodyText"/>
        <w:ind w:left="1280" w:right="797" w:hanging="720"/>
        <w:jc w:val="both"/>
      </w:pPr>
      <w:r>
        <w:rPr/>
        <w:t>Prato, M., Giribaldi, G., Polimenli, M., Gallo, V. and Arese, P. (2005). Phagocytosis of haemozoin enhances matrix metalloproteinase-9 activity and TNF- alpha production</w:t>
      </w:r>
      <w:r>
        <w:rPr>
          <w:spacing w:val="40"/>
        </w:rPr>
        <w:t> </w:t>
      </w:r>
      <w:r>
        <w:rPr/>
        <w:t>in human monocytes: role of matrix metalloproteinases in the pathogenesis of </w:t>
      </w:r>
      <w:r>
        <w:rPr>
          <w:i/>
        </w:rPr>
        <w:t>falciparum </w:t>
      </w:r>
      <w:r>
        <w:rPr/>
        <w:t>malaria. </w:t>
      </w:r>
      <w:r>
        <w:rPr>
          <w:i/>
        </w:rPr>
        <w:t>Journal of Immunology</w:t>
      </w:r>
      <w:r>
        <w:rPr/>
        <w:t>; 175(</w:t>
      </w:r>
      <w:r>
        <w:rPr>
          <w:b/>
        </w:rPr>
        <w:t>10</w:t>
      </w:r>
      <w:r>
        <w:rPr/>
        <w:t>): 6436-6442.</w:t>
      </w:r>
    </w:p>
    <w:p>
      <w:pPr>
        <w:pStyle w:val="BodyText"/>
      </w:pPr>
    </w:p>
    <w:p>
      <w:pPr>
        <w:pStyle w:val="BodyText"/>
        <w:ind w:left="1280" w:right="798" w:hanging="720"/>
        <w:jc w:val="both"/>
      </w:pPr>
      <w:r>
        <w:rPr/>
        <w:t>Punnonen, K., Iryala, K. and Rayamaki, A. (2013).Serum transferrinn receptors and its ratio to serum ferritin in the diagosis of Iron deficiency.</w:t>
      </w:r>
      <w:r>
        <w:rPr>
          <w:i/>
        </w:rPr>
        <w:t>Blood</w:t>
      </w:r>
      <w:r>
        <w:rPr/>
        <w:t>; 89(</w:t>
      </w:r>
      <w:r>
        <w:rPr>
          <w:b/>
        </w:rPr>
        <w:t>3</w:t>
      </w:r>
      <w:r>
        <w:rPr/>
        <w:t>): 1052 – 1057.</w:t>
      </w:r>
    </w:p>
    <w:p>
      <w:pPr>
        <w:pStyle w:val="BodyText"/>
        <w:spacing w:before="1"/>
      </w:pPr>
    </w:p>
    <w:p>
      <w:pPr>
        <w:pStyle w:val="BodyText"/>
        <w:ind w:left="1280" w:right="798" w:hanging="720"/>
        <w:jc w:val="both"/>
      </w:pPr>
      <w:r>
        <w:rPr/>
        <w:t>Quesenberry P. I. (1995). Haemopoietic stem cells, progenitor cells and cytokines. In William,</w:t>
      </w:r>
      <w:r>
        <w:rPr>
          <w:spacing w:val="4"/>
        </w:rPr>
        <w:t> </w:t>
      </w:r>
      <w:r>
        <w:rPr/>
        <w:t>Haematology</w:t>
      </w:r>
      <w:r>
        <w:rPr>
          <w:spacing w:val="2"/>
        </w:rPr>
        <w:t> </w:t>
      </w:r>
      <w:r>
        <w:rPr/>
        <w:t>(Editor:</w:t>
      </w:r>
      <w:r>
        <w:rPr>
          <w:spacing w:val="6"/>
        </w:rPr>
        <w:t> </w:t>
      </w:r>
      <w:r>
        <w:rPr/>
        <w:t>Ermh</w:t>
      </w:r>
      <w:r>
        <w:rPr>
          <w:spacing w:val="7"/>
        </w:rPr>
        <w:t> </w:t>
      </w:r>
      <w:r>
        <w:rPr/>
        <w:t>Beutler,</w:t>
      </w:r>
      <w:r>
        <w:rPr>
          <w:spacing w:val="6"/>
        </w:rPr>
        <w:t> </w:t>
      </w:r>
      <w:r>
        <w:rPr/>
        <w:t>Marshall</w:t>
      </w:r>
      <w:r>
        <w:rPr>
          <w:spacing w:val="7"/>
        </w:rPr>
        <w:t> </w:t>
      </w:r>
      <w:r>
        <w:rPr/>
        <w:t>A.</w:t>
      </w:r>
      <w:r>
        <w:rPr>
          <w:spacing w:val="5"/>
        </w:rPr>
        <w:t> </w:t>
      </w:r>
      <w:r>
        <w:rPr/>
        <w:t>C.,</w:t>
      </w:r>
      <w:r>
        <w:rPr>
          <w:spacing w:val="6"/>
        </w:rPr>
        <w:t> </w:t>
      </w:r>
      <w:r>
        <w:rPr/>
        <w:t>Barry</w:t>
      </w:r>
      <w:r>
        <w:rPr>
          <w:spacing w:val="2"/>
        </w:rPr>
        <w:t> </w:t>
      </w:r>
      <w:r>
        <w:rPr/>
        <w:t>S.</w:t>
      </w:r>
      <w:r>
        <w:rPr>
          <w:spacing w:val="6"/>
        </w:rPr>
        <w:t> </w:t>
      </w:r>
      <w:r>
        <w:rPr/>
        <w:t>C.,</w:t>
      </w:r>
      <w:r>
        <w:rPr>
          <w:spacing w:val="6"/>
        </w:rPr>
        <w:t> </w:t>
      </w:r>
      <w:r>
        <w:rPr/>
        <w:t>Thomas</w:t>
      </w:r>
      <w:r>
        <w:rPr>
          <w:spacing w:val="7"/>
        </w:rPr>
        <w:t> </w:t>
      </w:r>
      <w:r>
        <w:rPr>
          <w:spacing w:val="-5"/>
        </w:rPr>
        <w:t>J.</w:t>
      </w:r>
    </w:p>
    <w:p>
      <w:pPr>
        <w:pStyle w:val="BodyText"/>
        <w:ind w:left="1280"/>
      </w:pPr>
      <w:r>
        <w:rPr/>
        <w:t>K.</w:t>
      </w:r>
      <w:r>
        <w:rPr>
          <w:spacing w:val="-1"/>
        </w:rPr>
        <w:t> </w:t>
      </w:r>
      <w:r>
        <w:rPr/>
        <w:t>5</w:t>
      </w:r>
      <w:r>
        <w:rPr>
          <w:vertAlign w:val="superscript"/>
        </w:rPr>
        <w:t>th</w:t>
      </w:r>
      <w:r>
        <w:rPr>
          <w:spacing w:val="1"/>
          <w:vertAlign w:val="baseline"/>
        </w:rPr>
        <w:t> </w:t>
      </w:r>
      <w:r>
        <w:rPr>
          <w:vertAlign w:val="baseline"/>
        </w:rPr>
        <w:t>Edition,</w:t>
      </w:r>
      <w:r>
        <w:rPr>
          <w:spacing w:val="-4"/>
          <w:vertAlign w:val="baseline"/>
        </w:rPr>
        <w:t> </w:t>
      </w:r>
      <w:r>
        <w:rPr>
          <w:vertAlign w:val="baseline"/>
        </w:rPr>
        <w:t>mcGrawhill companies pp</w:t>
      </w:r>
      <w:r>
        <w:rPr>
          <w:spacing w:val="-1"/>
          <w:vertAlign w:val="baseline"/>
        </w:rPr>
        <w:t> </w:t>
      </w:r>
      <w:r>
        <w:rPr>
          <w:vertAlign w:val="baseline"/>
        </w:rPr>
        <w:t>211</w:t>
      </w:r>
      <w:r>
        <w:rPr>
          <w:spacing w:val="2"/>
          <w:vertAlign w:val="baseline"/>
        </w:rPr>
        <w:t> </w:t>
      </w:r>
      <w:r>
        <w:rPr>
          <w:vertAlign w:val="baseline"/>
        </w:rPr>
        <w:t>– </w:t>
      </w:r>
      <w:r>
        <w:rPr>
          <w:spacing w:val="-5"/>
          <w:vertAlign w:val="baseline"/>
        </w:rPr>
        <w:t>228</w:t>
      </w:r>
    </w:p>
    <w:p>
      <w:pPr>
        <w:pStyle w:val="BodyText"/>
      </w:pPr>
    </w:p>
    <w:p>
      <w:pPr>
        <w:pStyle w:val="BodyText"/>
        <w:ind w:left="1280" w:right="794" w:hanging="720"/>
        <w:jc w:val="both"/>
      </w:pPr>
      <w:r>
        <w:rPr/>
        <w:t>Raghupathy, R., Makhseed, M., Azizieh, F., Omu, A., Gupta, M. and Farhat, R. (2000).Cytokine production by maternal lymphocytes during normal human pregnancy and in unexplained recurrent spontaneous abortion.</w:t>
      </w:r>
      <w:r>
        <w:rPr>
          <w:i/>
        </w:rPr>
        <w:t>Human Reproduction</w:t>
      </w:r>
      <w:r>
        <w:rPr/>
        <w:t>; 15(</w:t>
      </w:r>
      <w:r>
        <w:rPr>
          <w:b/>
        </w:rPr>
        <w:t>3</w:t>
      </w:r>
      <w:r>
        <w:rPr/>
        <w:t>): 713-718.</w:t>
      </w:r>
    </w:p>
    <w:p>
      <w:pPr>
        <w:pStyle w:val="BodyText"/>
      </w:pPr>
    </w:p>
    <w:p>
      <w:pPr>
        <w:pStyle w:val="BodyText"/>
        <w:ind w:left="1280" w:right="801" w:hanging="720"/>
        <w:jc w:val="both"/>
      </w:pPr>
      <w:r>
        <w:rPr/>
        <w:t>Rams, L., Rams, L.D., Malyszko, J., Pawlak, K. and Malyszko, J. (2008).Prohepcidin and its possible role in anaemia of pregnancy.</w:t>
      </w:r>
      <w:r>
        <w:rPr>
          <w:i/>
        </w:rPr>
        <w:t>Archives of Medical Science</w:t>
      </w:r>
      <w:r>
        <w:rPr/>
        <w:t>; 4(</w:t>
      </w:r>
      <w:r>
        <w:rPr>
          <w:b/>
        </w:rPr>
        <w:t>3</w:t>
      </w:r>
      <w:r>
        <w:rPr/>
        <w:t>): 305-309.</w:t>
      </w:r>
    </w:p>
    <w:p>
      <w:pPr>
        <w:pStyle w:val="BodyText"/>
      </w:pPr>
    </w:p>
    <w:p>
      <w:pPr>
        <w:pStyle w:val="BodyText"/>
        <w:spacing w:before="1"/>
        <w:ind w:left="1280" w:right="797" w:hanging="720"/>
        <w:jc w:val="both"/>
      </w:pPr>
      <w:r>
        <w:rPr/>
        <w:t>Ricke, C.H., Staalsoe, T., Koram, K., Akanmori, B.D., Riley, E.M., Theander, T.G. and Hviid,</w:t>
      </w:r>
      <w:r>
        <w:rPr>
          <w:spacing w:val="4"/>
        </w:rPr>
        <w:t> </w:t>
      </w:r>
      <w:r>
        <w:rPr/>
        <w:t>L.</w:t>
      </w:r>
      <w:r>
        <w:rPr>
          <w:spacing w:val="3"/>
        </w:rPr>
        <w:t> </w:t>
      </w:r>
      <w:r>
        <w:rPr/>
        <w:t>(2000).</w:t>
      </w:r>
      <w:r>
        <w:rPr>
          <w:spacing w:val="3"/>
        </w:rPr>
        <w:t> </w:t>
      </w:r>
      <w:r>
        <w:rPr/>
        <w:t>Plasma</w:t>
      </w:r>
      <w:r>
        <w:rPr>
          <w:spacing w:val="5"/>
        </w:rPr>
        <w:t> </w:t>
      </w:r>
      <w:r>
        <w:rPr/>
        <w:t>antibodies</w:t>
      </w:r>
      <w:r>
        <w:rPr>
          <w:spacing w:val="3"/>
        </w:rPr>
        <w:t> </w:t>
      </w:r>
      <w:r>
        <w:rPr/>
        <w:t>from</w:t>
      </w:r>
      <w:r>
        <w:rPr>
          <w:spacing w:val="4"/>
        </w:rPr>
        <w:t> </w:t>
      </w:r>
      <w:r>
        <w:rPr/>
        <w:t>malaria-exposed</w:t>
      </w:r>
      <w:r>
        <w:rPr>
          <w:spacing w:val="4"/>
        </w:rPr>
        <w:t> </w:t>
      </w:r>
      <w:r>
        <w:rPr/>
        <w:t>pregnant</w:t>
      </w:r>
      <w:r>
        <w:rPr>
          <w:spacing w:val="4"/>
        </w:rPr>
        <w:t> </w:t>
      </w:r>
      <w:r>
        <w:rPr/>
        <w:t>women</w:t>
      </w:r>
      <w:r>
        <w:rPr>
          <w:spacing w:val="4"/>
        </w:rPr>
        <w:t> </w:t>
      </w:r>
      <w:r>
        <w:rPr>
          <w:spacing w:val="-2"/>
        </w:rPr>
        <w:t>recognize</w:t>
      </w:r>
    </w:p>
    <w:p>
      <w:pPr>
        <w:spacing w:after="0"/>
        <w:jc w:val="both"/>
        <w:sectPr>
          <w:pgSz w:w="11910" w:h="16840"/>
          <w:pgMar w:header="0" w:footer="1067" w:top="1060" w:bottom="1260" w:left="880" w:right="640"/>
        </w:sectPr>
      </w:pPr>
    </w:p>
    <w:p>
      <w:pPr>
        <w:spacing w:before="70"/>
        <w:ind w:left="1280" w:right="794" w:firstLine="0"/>
        <w:jc w:val="both"/>
        <w:rPr>
          <w:sz w:val="24"/>
        </w:rPr>
      </w:pPr>
      <w:r>
        <w:rPr>
          <w:sz w:val="24"/>
        </w:rPr>
        <w:t>variant surface antigens on </w:t>
      </w:r>
      <w:r>
        <w:rPr>
          <w:i/>
          <w:sz w:val="24"/>
        </w:rPr>
        <w:t>plasmodium falciparum</w:t>
      </w:r>
      <w:r>
        <w:rPr>
          <w:sz w:val="24"/>
        </w:rPr>
        <w:t>-infected erythrocytes in a parity- dependent manner and block parasite adhesion to chondroitin sulfate A. </w:t>
      </w:r>
      <w:r>
        <w:rPr>
          <w:i/>
          <w:sz w:val="24"/>
        </w:rPr>
        <w:t>Journal of Immunology</w:t>
      </w:r>
      <w:r>
        <w:rPr>
          <w:sz w:val="24"/>
        </w:rPr>
        <w:t>; 165(</w:t>
      </w:r>
      <w:r>
        <w:rPr>
          <w:b/>
          <w:sz w:val="24"/>
        </w:rPr>
        <w:t>6</w:t>
      </w:r>
      <w:r>
        <w:rPr>
          <w:sz w:val="24"/>
        </w:rPr>
        <w:t>): 3309-3316.</w:t>
      </w:r>
    </w:p>
    <w:p>
      <w:pPr>
        <w:pStyle w:val="BodyText"/>
      </w:pPr>
    </w:p>
    <w:p>
      <w:pPr>
        <w:pStyle w:val="BodyText"/>
        <w:spacing w:before="1"/>
        <w:ind w:left="1280" w:right="794" w:hanging="720"/>
        <w:jc w:val="both"/>
      </w:pPr>
      <w:r>
        <w:rPr/>
        <w:t>Ridker, P.M. and Hennekens, C.H. (2000). C- reactive protein and other markers of inflammation in the prediction of cardiovascular disease in women. </w:t>
      </w:r>
      <w:r>
        <w:rPr>
          <w:i/>
        </w:rPr>
        <w:t>New England Journal of Medicine</w:t>
      </w:r>
      <w:r>
        <w:rPr/>
        <w:t>; 342: 836-843.</w:t>
      </w:r>
    </w:p>
    <w:p>
      <w:pPr>
        <w:pStyle w:val="BodyText"/>
        <w:spacing w:before="276"/>
        <w:ind w:left="1280" w:right="795" w:hanging="720"/>
        <w:jc w:val="both"/>
      </w:pPr>
      <w:r>
        <w:rPr/>
        <w:t>Roberts, W.L. and Moutton, L. (2001). Evaluation of Nine automated high sensitivity C- reactive protein methods. </w:t>
      </w:r>
      <w:r>
        <w:rPr>
          <w:i/>
        </w:rPr>
        <w:t>ClinicalChemistry</w:t>
      </w:r>
      <w:r>
        <w:rPr/>
        <w:t>; 47: 511- 513.</w:t>
      </w:r>
    </w:p>
    <w:p>
      <w:pPr>
        <w:pStyle w:val="BodyText"/>
        <w:spacing w:before="276"/>
        <w:ind w:left="560"/>
        <w:jc w:val="both"/>
      </w:pPr>
      <w:r>
        <w:rPr/>
        <w:t>Rodrigo,</w:t>
      </w:r>
      <w:r>
        <w:rPr>
          <w:spacing w:val="5"/>
        </w:rPr>
        <w:t> </w:t>
      </w:r>
      <w:r>
        <w:rPr/>
        <w:t>N.</w:t>
      </w:r>
      <w:r>
        <w:rPr>
          <w:spacing w:val="6"/>
        </w:rPr>
        <w:t> </w:t>
      </w:r>
      <w:r>
        <w:rPr/>
        <w:t>R,</w:t>
      </w:r>
      <w:r>
        <w:rPr>
          <w:spacing w:val="5"/>
        </w:rPr>
        <w:t> </w:t>
      </w:r>
      <w:r>
        <w:rPr/>
        <w:t>Josue</w:t>
      </w:r>
      <w:r>
        <w:rPr>
          <w:spacing w:val="6"/>
        </w:rPr>
        <w:t> </w:t>
      </w:r>
      <w:r>
        <w:rPr/>
        <w:t>da</w:t>
      </w:r>
      <w:r>
        <w:rPr>
          <w:spacing w:val="3"/>
        </w:rPr>
        <w:t> </w:t>
      </w:r>
      <w:r>
        <w:rPr/>
        <w:t>Costa,</w:t>
      </w:r>
      <w:r>
        <w:rPr>
          <w:spacing w:val="8"/>
        </w:rPr>
        <w:t> </w:t>
      </w:r>
      <w:r>
        <w:rPr/>
        <w:t>L.</w:t>
      </w:r>
      <w:r>
        <w:rPr>
          <w:spacing w:val="6"/>
        </w:rPr>
        <w:t> </w:t>
      </w:r>
      <w:r>
        <w:rPr/>
        <w:t>J.,</w:t>
      </w:r>
      <w:r>
        <w:rPr>
          <w:spacing w:val="6"/>
        </w:rPr>
        <w:t> </w:t>
      </w:r>
      <w:r>
        <w:rPr/>
        <w:t>Bruna</w:t>
      </w:r>
      <w:r>
        <w:rPr>
          <w:spacing w:val="4"/>
        </w:rPr>
        <w:t> </w:t>
      </w:r>
      <w:r>
        <w:rPr/>
        <w:t>de</w:t>
      </w:r>
      <w:r>
        <w:rPr>
          <w:spacing w:val="6"/>
        </w:rPr>
        <w:t> </w:t>
      </w:r>
      <w:r>
        <w:rPr/>
        <w:t>Paula,</w:t>
      </w:r>
      <w:r>
        <w:rPr>
          <w:spacing w:val="5"/>
        </w:rPr>
        <w:t> </w:t>
      </w:r>
      <w:r>
        <w:rPr/>
        <w:t>F.</w:t>
      </w:r>
      <w:r>
        <w:rPr>
          <w:spacing w:val="6"/>
        </w:rPr>
        <w:t> </w:t>
      </w:r>
      <w:r>
        <w:rPr/>
        <w:t>F.,</w:t>
      </w:r>
      <w:r>
        <w:rPr>
          <w:spacing w:val="6"/>
        </w:rPr>
        <w:t> </w:t>
      </w:r>
      <w:r>
        <w:rPr/>
        <w:t>Paulo,</w:t>
      </w:r>
      <w:r>
        <w:rPr>
          <w:spacing w:val="6"/>
        </w:rPr>
        <w:t> </w:t>
      </w:r>
      <w:r>
        <w:rPr/>
        <w:t>R.</w:t>
      </w:r>
      <w:r>
        <w:rPr>
          <w:spacing w:val="6"/>
        </w:rPr>
        <w:t> </w:t>
      </w:r>
      <w:r>
        <w:rPr/>
        <w:t>Z.</w:t>
      </w:r>
      <w:r>
        <w:rPr>
          <w:spacing w:val="6"/>
        </w:rPr>
        <w:t> </w:t>
      </w:r>
      <w:r>
        <w:rPr/>
        <w:t>A,</w:t>
      </w:r>
      <w:r>
        <w:rPr>
          <w:spacing w:val="5"/>
        </w:rPr>
        <w:t> </w:t>
      </w:r>
      <w:r>
        <w:rPr/>
        <w:t>Arlete,</w:t>
      </w:r>
      <w:r>
        <w:rPr>
          <w:spacing w:val="6"/>
        </w:rPr>
        <w:t> </w:t>
      </w:r>
      <w:r>
        <w:rPr/>
        <w:t>B.,</w:t>
      </w:r>
      <w:r>
        <w:rPr>
          <w:spacing w:val="6"/>
        </w:rPr>
        <w:t> </w:t>
      </w:r>
      <w:r>
        <w:rPr>
          <w:spacing w:val="-2"/>
        </w:rPr>
        <w:t>Fabio,</w:t>
      </w:r>
    </w:p>
    <w:p>
      <w:pPr>
        <w:pStyle w:val="BodyText"/>
        <w:ind w:left="1280" w:right="794"/>
        <w:jc w:val="both"/>
      </w:pPr>
      <w:r>
        <w:rPr/>
        <w:t>L. S., Fatima, S., Dalma, M. B. and Joseli de Oliveira, F. (2014).Alterations in cytokines and haematological parameters during the acute and convalescent phases of </w:t>
      </w:r>
      <w:r>
        <w:rPr>
          <w:i/>
        </w:rPr>
        <w:t>Plasmodium falciparum and Plasmodium vivax infections.</w:t>
      </w:r>
      <w:r>
        <w:rPr/>
        <w:t>Memorial Instutite of Oswald Cruz, Rio de Janerio.</w:t>
      </w:r>
      <w:hyperlink r:id="rId24">
        <w:r>
          <w:rPr>
            <w:color w:val="0000FF"/>
            <w:u w:val="single" w:color="0000FF"/>
          </w:rPr>
          <w:t>www.memorias.ioc.fiocrus.br</w:t>
        </w:r>
      </w:hyperlink>
      <w:r>
        <w:rPr>
          <w:color w:val="0000FF"/>
        </w:rPr>
        <w:t> </w:t>
      </w:r>
      <w:r>
        <w:rPr/>
        <w:t>pg 1-9</w:t>
      </w:r>
    </w:p>
    <w:p>
      <w:pPr>
        <w:pStyle w:val="BodyText"/>
      </w:pPr>
    </w:p>
    <w:p>
      <w:pPr>
        <w:pStyle w:val="BodyText"/>
        <w:ind w:left="1280" w:right="796" w:hanging="720"/>
        <w:jc w:val="both"/>
      </w:pPr>
      <w:r>
        <w:rPr/>
        <w:t>Rogers, R. T. (1996) Ferritin translation by interleukin-1 and interleukin-6: the role of sequences upstream of the start codons of the heavy and light subunit genes. </w:t>
      </w:r>
      <w:r>
        <w:rPr>
          <w:i/>
        </w:rPr>
        <w:t>Blood. </w:t>
      </w:r>
      <w:r>
        <w:rPr/>
        <w:t>Vol. 87 </w:t>
      </w:r>
      <w:r>
        <w:rPr>
          <w:b/>
        </w:rPr>
        <w:t>(6): </w:t>
      </w:r>
      <w:r>
        <w:rPr/>
        <w:t>2525-2537</w:t>
      </w:r>
    </w:p>
    <w:p>
      <w:pPr>
        <w:pStyle w:val="BodyText"/>
      </w:pPr>
    </w:p>
    <w:p>
      <w:pPr>
        <w:spacing w:before="0"/>
        <w:ind w:left="1280" w:right="795" w:hanging="720"/>
        <w:jc w:val="both"/>
        <w:rPr>
          <w:sz w:val="24"/>
        </w:rPr>
      </w:pPr>
      <w:r>
        <w:rPr>
          <w:sz w:val="24"/>
        </w:rPr>
        <w:t>Rogerson, S.J. and Beeson, J.G. (1999). The malaria in placenta: mechanisms of infection, disease and foetal morbidity. </w:t>
      </w:r>
      <w:r>
        <w:rPr>
          <w:i/>
          <w:sz w:val="24"/>
        </w:rPr>
        <w:t>Annals of Tropical Medicine and Parasitology</w:t>
      </w:r>
      <w:r>
        <w:rPr>
          <w:sz w:val="24"/>
        </w:rPr>
        <w:t>; 93(</w:t>
      </w:r>
      <w:r>
        <w:rPr>
          <w:b/>
          <w:sz w:val="24"/>
        </w:rPr>
        <w:t>1</w:t>
      </w:r>
      <w:r>
        <w:rPr>
          <w:sz w:val="24"/>
        </w:rPr>
        <w:t>): </w:t>
      </w:r>
      <w:r>
        <w:rPr>
          <w:spacing w:val="-2"/>
          <w:sz w:val="24"/>
        </w:rPr>
        <w:t>s35-s42.</w:t>
      </w:r>
    </w:p>
    <w:p>
      <w:pPr>
        <w:pStyle w:val="BodyText"/>
        <w:spacing w:before="1"/>
      </w:pPr>
    </w:p>
    <w:p>
      <w:pPr>
        <w:spacing w:before="0"/>
        <w:ind w:left="1280" w:right="796" w:hanging="720"/>
        <w:jc w:val="both"/>
        <w:rPr>
          <w:sz w:val="24"/>
        </w:rPr>
      </w:pPr>
      <w:r>
        <w:rPr>
          <w:sz w:val="24"/>
        </w:rPr>
        <w:t>Rogerson, S.J., Chaiyaroy, S.C., Ng, K., Reeder, J.C. and Brown, G.V. (1995). Chondrointin sulfate A is a cell surface receptor for </w:t>
      </w:r>
      <w:r>
        <w:rPr>
          <w:i/>
          <w:sz w:val="24"/>
        </w:rPr>
        <w:t>plasmodium falciparum</w:t>
      </w:r>
      <w:r>
        <w:rPr>
          <w:sz w:val="24"/>
        </w:rPr>
        <w:t>-infected erythrocytes.</w:t>
      </w:r>
      <w:r>
        <w:rPr>
          <w:i/>
          <w:sz w:val="24"/>
        </w:rPr>
        <w:t>Journal of Experimental Medicine</w:t>
      </w:r>
      <w:r>
        <w:rPr>
          <w:sz w:val="24"/>
        </w:rPr>
        <w:t>; 182(</w:t>
      </w:r>
      <w:r>
        <w:rPr>
          <w:b/>
          <w:sz w:val="24"/>
        </w:rPr>
        <w:t>1</w:t>
      </w:r>
      <w:r>
        <w:rPr>
          <w:sz w:val="24"/>
        </w:rPr>
        <w:t>): 15-20.</w:t>
      </w:r>
    </w:p>
    <w:p>
      <w:pPr>
        <w:pStyle w:val="BodyText"/>
      </w:pPr>
    </w:p>
    <w:p>
      <w:pPr>
        <w:pStyle w:val="BodyText"/>
        <w:ind w:left="1280" w:right="795" w:hanging="720"/>
        <w:jc w:val="both"/>
      </w:pPr>
      <w:r>
        <w:rPr/>
        <w:t>Rogerson, S.J., Hviid, L., Duffy, P.E., Leke, R.F.G. and Taylor, D.W. (2007). Malaria in pregnancy: pathogenesis and immunity. </w:t>
      </w:r>
      <w:r>
        <w:rPr>
          <w:i/>
        </w:rPr>
        <w:t>The Lancet Infectious Diseases</w:t>
      </w:r>
      <w:r>
        <w:rPr/>
        <w:t>; 7(</w:t>
      </w:r>
      <w:r>
        <w:rPr>
          <w:b/>
        </w:rPr>
        <w:t>2</w:t>
      </w:r>
      <w:r>
        <w:rPr/>
        <w:t>): 105- </w:t>
      </w:r>
      <w:r>
        <w:rPr>
          <w:spacing w:val="-4"/>
        </w:rPr>
        <w:t>117.</w:t>
      </w:r>
    </w:p>
    <w:p>
      <w:pPr>
        <w:pStyle w:val="BodyText"/>
      </w:pPr>
    </w:p>
    <w:p>
      <w:pPr>
        <w:spacing w:before="0"/>
        <w:ind w:left="1280" w:right="798" w:hanging="720"/>
        <w:jc w:val="both"/>
        <w:rPr>
          <w:sz w:val="24"/>
        </w:rPr>
      </w:pPr>
      <w:r>
        <w:rPr>
          <w:sz w:val="24"/>
        </w:rPr>
        <w:t>Rogerson, S.J., Mwapasa, V., and Meshnick, S.R. (2007).Malaria in pregnancy; linking immunity</w:t>
      </w:r>
      <w:r>
        <w:rPr>
          <w:spacing w:val="-6"/>
          <w:sz w:val="24"/>
        </w:rPr>
        <w:t> </w:t>
      </w:r>
      <w:r>
        <w:rPr>
          <w:sz w:val="24"/>
        </w:rPr>
        <w:t>and</w:t>
      </w:r>
      <w:r>
        <w:rPr>
          <w:spacing w:val="-1"/>
          <w:sz w:val="24"/>
        </w:rPr>
        <w:t> </w:t>
      </w:r>
      <w:r>
        <w:rPr>
          <w:sz w:val="24"/>
        </w:rPr>
        <w:t>pathogenesis</w:t>
      </w:r>
      <w:r>
        <w:rPr>
          <w:spacing w:val="-1"/>
          <w:sz w:val="24"/>
        </w:rPr>
        <w:t> </w:t>
      </w:r>
      <w:r>
        <w:rPr>
          <w:sz w:val="24"/>
        </w:rPr>
        <w:t>to</w:t>
      </w:r>
      <w:r>
        <w:rPr>
          <w:spacing w:val="-1"/>
          <w:sz w:val="24"/>
        </w:rPr>
        <w:t> </w:t>
      </w:r>
      <w:r>
        <w:rPr>
          <w:sz w:val="24"/>
        </w:rPr>
        <w:t>prevention.</w:t>
      </w:r>
      <w:r>
        <w:rPr>
          <w:i/>
          <w:sz w:val="24"/>
        </w:rPr>
        <w:t>The</w:t>
      </w:r>
      <w:r>
        <w:rPr>
          <w:i/>
          <w:spacing w:val="-2"/>
          <w:sz w:val="24"/>
        </w:rPr>
        <w:t> </w:t>
      </w:r>
      <w:r>
        <w:rPr>
          <w:i/>
          <w:sz w:val="24"/>
        </w:rPr>
        <w:t>American Journal</w:t>
      </w:r>
      <w:r>
        <w:rPr>
          <w:i/>
          <w:spacing w:val="-1"/>
          <w:sz w:val="24"/>
        </w:rPr>
        <w:t> </w:t>
      </w:r>
      <w:r>
        <w:rPr>
          <w:i/>
          <w:sz w:val="24"/>
        </w:rPr>
        <w:t>of Tropical</w:t>
      </w:r>
      <w:r>
        <w:rPr>
          <w:i/>
          <w:spacing w:val="-1"/>
          <w:sz w:val="24"/>
        </w:rPr>
        <w:t> </w:t>
      </w:r>
      <w:r>
        <w:rPr>
          <w:i/>
          <w:sz w:val="24"/>
        </w:rPr>
        <w:t>Medicine and Hygiene. </w:t>
      </w:r>
      <w:r>
        <w:rPr>
          <w:sz w:val="24"/>
        </w:rPr>
        <w:t>77(</w:t>
      </w:r>
      <w:r>
        <w:rPr>
          <w:b/>
          <w:sz w:val="24"/>
        </w:rPr>
        <w:t>6</w:t>
      </w:r>
      <w:r>
        <w:rPr>
          <w:sz w:val="24"/>
        </w:rPr>
        <w:t>):14-22.</w:t>
      </w:r>
    </w:p>
    <w:p>
      <w:pPr>
        <w:pStyle w:val="BodyText"/>
        <w:spacing w:before="1"/>
      </w:pPr>
    </w:p>
    <w:p>
      <w:pPr>
        <w:pStyle w:val="BodyText"/>
        <w:ind w:left="560"/>
        <w:jc w:val="both"/>
      </w:pPr>
      <w:r>
        <w:rPr/>
        <w:t>Roy</w:t>
      </w:r>
      <w:r>
        <w:rPr>
          <w:spacing w:val="-6"/>
        </w:rPr>
        <w:t> </w:t>
      </w:r>
      <w:r>
        <w:rPr/>
        <w:t>N.</w:t>
      </w:r>
      <w:r>
        <w:rPr>
          <w:spacing w:val="1"/>
        </w:rPr>
        <w:t> </w:t>
      </w:r>
      <w:r>
        <w:rPr/>
        <w:t>C.</w:t>
      </w:r>
      <w:r>
        <w:rPr>
          <w:spacing w:val="1"/>
        </w:rPr>
        <w:t> </w:t>
      </w:r>
      <w:r>
        <w:rPr/>
        <w:t>(2010).</w:t>
      </w:r>
      <w:r>
        <w:rPr>
          <w:spacing w:val="3"/>
        </w:rPr>
        <w:t> </w:t>
      </w:r>
      <w:r>
        <w:rPr/>
        <w:t>Anaemia of</w:t>
      </w:r>
      <w:r>
        <w:rPr>
          <w:spacing w:val="3"/>
        </w:rPr>
        <w:t> </w:t>
      </w:r>
      <w:r>
        <w:rPr/>
        <w:t>Inflammation;</w:t>
      </w:r>
      <w:r>
        <w:rPr>
          <w:spacing w:val="1"/>
        </w:rPr>
        <w:t> </w:t>
      </w:r>
      <w:r>
        <w:rPr/>
        <w:t>Marrow</w:t>
      </w:r>
      <w:r>
        <w:rPr>
          <w:spacing w:val="1"/>
        </w:rPr>
        <w:t> </w:t>
      </w:r>
      <w:r>
        <w:rPr/>
        <w:t>Responses to</w:t>
      </w:r>
      <w:r>
        <w:rPr>
          <w:spacing w:val="2"/>
        </w:rPr>
        <w:t> </w:t>
      </w:r>
      <w:r>
        <w:rPr/>
        <w:t>Aging</w:t>
      </w:r>
      <w:r>
        <w:rPr>
          <w:spacing w:val="3"/>
        </w:rPr>
        <w:t> </w:t>
      </w:r>
      <w:r>
        <w:rPr/>
        <w:t>and</w:t>
      </w:r>
      <w:r>
        <w:rPr>
          <w:spacing w:val="4"/>
        </w:rPr>
        <w:t> </w:t>
      </w:r>
      <w:r>
        <w:rPr>
          <w:spacing w:val="-2"/>
        </w:rPr>
        <w:t>Inflammation.</w:t>
      </w:r>
    </w:p>
    <w:p>
      <w:pPr>
        <w:pStyle w:val="BodyText"/>
        <w:ind w:left="1280"/>
        <w:jc w:val="both"/>
      </w:pPr>
      <w:r>
        <w:rPr/>
        <w:t>American</w:t>
      </w:r>
      <w:r>
        <w:rPr>
          <w:spacing w:val="-2"/>
        </w:rPr>
        <w:t> </w:t>
      </w:r>
      <w:r>
        <w:rPr/>
        <w:t>Society</w:t>
      </w:r>
      <w:r>
        <w:rPr>
          <w:spacing w:val="-4"/>
        </w:rPr>
        <w:t> </w:t>
      </w:r>
      <w:r>
        <w:rPr/>
        <w:t>of</w:t>
      </w:r>
      <w:r>
        <w:rPr>
          <w:spacing w:val="1"/>
        </w:rPr>
        <w:t> </w:t>
      </w:r>
      <w:r>
        <w:rPr/>
        <w:t>Haematology</w:t>
      </w:r>
      <w:r>
        <w:rPr>
          <w:spacing w:val="-4"/>
        </w:rPr>
        <w:t> </w:t>
      </w:r>
      <w:r>
        <w:rPr/>
        <w:t>(1):276-</w:t>
      </w:r>
      <w:r>
        <w:rPr>
          <w:spacing w:val="-5"/>
        </w:rPr>
        <w:t>260</w:t>
      </w:r>
    </w:p>
    <w:p>
      <w:pPr>
        <w:pStyle w:val="BodyText"/>
      </w:pPr>
    </w:p>
    <w:p>
      <w:pPr>
        <w:pStyle w:val="BodyText"/>
        <w:ind w:left="1280" w:right="806" w:hanging="720"/>
        <w:jc w:val="both"/>
      </w:pPr>
      <w:r>
        <w:rPr/>
        <w:t>Saadiya A.K., Mohammed K., Javaid H.R., Sadiqua N.J., Rubina I. S.,(1990): Anaemia in pregnancy – a study of 709 women in Karachi </w:t>
      </w:r>
      <w:r>
        <w:rPr>
          <w:i/>
        </w:rPr>
        <w:t>Tropical Doctor </w:t>
      </w:r>
      <w:r>
        <w:rPr>
          <w:b/>
        </w:rPr>
        <w:t>20: </w:t>
      </w:r>
      <w:r>
        <w:rPr/>
        <w:t>184 – 185</w:t>
      </w:r>
    </w:p>
    <w:p>
      <w:pPr>
        <w:pStyle w:val="BodyText"/>
      </w:pPr>
    </w:p>
    <w:p>
      <w:pPr>
        <w:spacing w:before="0"/>
        <w:ind w:left="1280" w:right="801" w:hanging="720"/>
        <w:jc w:val="both"/>
        <w:rPr>
          <w:sz w:val="24"/>
        </w:rPr>
      </w:pPr>
      <w:r>
        <w:rPr>
          <w:sz w:val="24"/>
        </w:rPr>
        <w:t>Saba, N., Sultana, A. and Mahsud, I. (2008).“Outcome and complications of malaria in pregnancy”.</w:t>
      </w:r>
      <w:r>
        <w:rPr>
          <w:i/>
          <w:sz w:val="24"/>
        </w:rPr>
        <w:t>Gomal Journal of Medical Sciences</w:t>
      </w:r>
      <w:r>
        <w:rPr>
          <w:sz w:val="24"/>
        </w:rPr>
        <w:t>; 16(</w:t>
      </w:r>
      <w:r>
        <w:rPr>
          <w:b/>
          <w:sz w:val="24"/>
        </w:rPr>
        <w:t>2</w:t>
      </w:r>
      <w:r>
        <w:rPr>
          <w:sz w:val="24"/>
        </w:rPr>
        <w:t>): 26-29.</w:t>
      </w:r>
    </w:p>
    <w:p>
      <w:pPr>
        <w:pStyle w:val="BodyText"/>
      </w:pPr>
    </w:p>
    <w:p>
      <w:pPr>
        <w:pStyle w:val="BodyText"/>
        <w:ind w:left="1280" w:right="799" w:hanging="720"/>
        <w:jc w:val="both"/>
      </w:pPr>
      <w:r>
        <w:rPr/>
        <w:t>Sacks, G.P., Redman, C.W.G. and Sargent, I.L. (2003). Monocytes are</w:t>
      </w:r>
      <w:r>
        <w:rPr>
          <w:spacing w:val="-1"/>
        </w:rPr>
        <w:t> </w:t>
      </w:r>
      <w:r>
        <w:rPr/>
        <w:t>primed to produce the Th1</w:t>
      </w:r>
      <w:r>
        <w:rPr>
          <w:spacing w:val="-2"/>
        </w:rPr>
        <w:t> </w:t>
      </w:r>
      <w:r>
        <w:rPr/>
        <w:t>type cytokine IL-12 in</w:t>
      </w:r>
      <w:r>
        <w:rPr>
          <w:spacing w:val="-1"/>
        </w:rPr>
        <w:t> </w:t>
      </w:r>
      <w:r>
        <w:rPr/>
        <w:t>normal</w:t>
      </w:r>
      <w:r>
        <w:rPr>
          <w:spacing w:val="-1"/>
        </w:rPr>
        <w:t> </w:t>
      </w:r>
      <w:r>
        <w:rPr/>
        <w:t>human pregnancy: an</w:t>
      </w:r>
      <w:r>
        <w:rPr>
          <w:spacing w:val="-1"/>
        </w:rPr>
        <w:t> </w:t>
      </w:r>
      <w:r>
        <w:rPr/>
        <w:t>intracellular</w:t>
      </w:r>
      <w:r>
        <w:rPr>
          <w:spacing w:val="-3"/>
        </w:rPr>
        <w:t> </w:t>
      </w:r>
      <w:r>
        <w:rPr/>
        <w:t>flow cytometric analysis of peripheral blood mononuclear cells. </w:t>
      </w:r>
      <w:r>
        <w:rPr>
          <w:i/>
        </w:rPr>
        <w:t>Clinical and Experimental Immunology</w:t>
      </w:r>
      <w:r>
        <w:rPr/>
        <w:t>; 131(</w:t>
      </w:r>
      <w:r>
        <w:rPr>
          <w:b/>
        </w:rPr>
        <w:t>3</w:t>
      </w:r>
      <w:r>
        <w:rPr/>
        <w:t>):490.</w:t>
      </w:r>
    </w:p>
    <w:p>
      <w:pPr>
        <w:spacing w:after="0"/>
        <w:jc w:val="both"/>
        <w:sectPr>
          <w:pgSz w:w="11910" w:h="16840"/>
          <w:pgMar w:header="0" w:footer="1067" w:top="1060" w:bottom="1260" w:left="880" w:right="640"/>
        </w:sectPr>
      </w:pPr>
    </w:p>
    <w:p>
      <w:pPr>
        <w:pStyle w:val="BodyText"/>
        <w:spacing w:before="70"/>
        <w:ind w:left="1280" w:right="804" w:hanging="720"/>
        <w:jc w:val="both"/>
      </w:pPr>
      <w:r>
        <w:rPr/>
        <w:t>Sargent, I.L., Borzychowski, A.M. and Redman, C.W.G. (2006).NK cells and human pregnancy.An inflammatory view.</w:t>
      </w:r>
      <w:r>
        <w:rPr>
          <w:i/>
        </w:rPr>
        <w:t>Trends in Immunology</w:t>
      </w:r>
      <w:r>
        <w:rPr/>
        <w:t>; 27(</w:t>
      </w:r>
      <w:r>
        <w:rPr>
          <w:b/>
        </w:rPr>
        <w:t>9</w:t>
      </w:r>
      <w:r>
        <w:rPr/>
        <w:t>): 399-404.</w:t>
      </w:r>
    </w:p>
    <w:p>
      <w:pPr>
        <w:pStyle w:val="BodyText"/>
      </w:pPr>
    </w:p>
    <w:p>
      <w:pPr>
        <w:pStyle w:val="BodyText"/>
        <w:spacing w:before="1"/>
        <w:ind w:left="1280" w:right="794" w:hanging="720"/>
        <w:jc w:val="both"/>
      </w:pPr>
      <w:r>
        <w:rPr/>
        <w:t>Schofield, L. (2007).Intravascular infiltrates and organ-specific inflammation in malaria pathogens.Immunology</w:t>
      </w:r>
      <w:r>
        <w:rPr>
          <w:spacing w:val="40"/>
        </w:rPr>
        <w:t> </w:t>
      </w:r>
      <w:r>
        <w:rPr/>
        <w:t>and Cell Biology; 85(</w:t>
      </w:r>
      <w:r>
        <w:rPr>
          <w:b/>
        </w:rPr>
        <w:t>2</w:t>
      </w:r>
      <w:r>
        <w:rPr/>
        <w:t>): 130 - 137</w:t>
      </w:r>
    </w:p>
    <w:p>
      <w:pPr>
        <w:pStyle w:val="BodyText"/>
        <w:spacing w:before="276"/>
        <w:ind w:left="560"/>
      </w:pPr>
      <w:r>
        <w:rPr/>
        <w:t>Scholl,</w:t>
      </w:r>
      <w:r>
        <w:rPr>
          <w:spacing w:val="30"/>
        </w:rPr>
        <w:t> </w:t>
      </w:r>
      <w:r>
        <w:rPr/>
        <w:t>T.O.</w:t>
      </w:r>
      <w:r>
        <w:rPr>
          <w:spacing w:val="31"/>
        </w:rPr>
        <w:t> </w:t>
      </w:r>
      <w:r>
        <w:rPr/>
        <w:t>(2005).</w:t>
      </w:r>
      <w:r>
        <w:rPr>
          <w:spacing w:val="36"/>
        </w:rPr>
        <w:t> </w:t>
      </w:r>
      <w:r>
        <w:rPr/>
        <w:t>Iron</w:t>
      </w:r>
      <w:r>
        <w:rPr>
          <w:spacing w:val="32"/>
        </w:rPr>
        <w:t> </w:t>
      </w:r>
      <w:r>
        <w:rPr/>
        <w:t>status</w:t>
      </w:r>
      <w:r>
        <w:rPr>
          <w:spacing w:val="32"/>
        </w:rPr>
        <w:t> </w:t>
      </w:r>
      <w:r>
        <w:rPr/>
        <w:t>during</w:t>
      </w:r>
      <w:r>
        <w:rPr>
          <w:spacing w:val="32"/>
        </w:rPr>
        <w:t> </w:t>
      </w:r>
      <w:r>
        <w:rPr/>
        <w:t>pregnancy:</w:t>
      </w:r>
      <w:r>
        <w:rPr>
          <w:spacing w:val="36"/>
        </w:rPr>
        <w:t> </w:t>
      </w:r>
      <w:r>
        <w:rPr/>
        <w:t>setting</w:t>
      </w:r>
      <w:r>
        <w:rPr>
          <w:spacing w:val="32"/>
        </w:rPr>
        <w:t> </w:t>
      </w:r>
      <w:r>
        <w:rPr/>
        <w:t>the</w:t>
      </w:r>
      <w:r>
        <w:rPr>
          <w:spacing w:val="31"/>
        </w:rPr>
        <w:t> </w:t>
      </w:r>
      <w:r>
        <w:rPr/>
        <w:t>stage</w:t>
      </w:r>
      <w:r>
        <w:rPr>
          <w:spacing w:val="31"/>
        </w:rPr>
        <w:t> </w:t>
      </w:r>
      <w:r>
        <w:rPr/>
        <w:t>for</w:t>
      </w:r>
      <w:r>
        <w:rPr>
          <w:spacing w:val="34"/>
        </w:rPr>
        <w:t> </w:t>
      </w:r>
      <w:r>
        <w:rPr/>
        <w:t>mother</w:t>
      </w:r>
      <w:r>
        <w:rPr>
          <w:spacing w:val="31"/>
        </w:rPr>
        <w:t> </w:t>
      </w:r>
      <w:r>
        <w:rPr/>
        <w:t>and</w:t>
      </w:r>
      <w:r>
        <w:rPr>
          <w:spacing w:val="33"/>
        </w:rPr>
        <w:t> </w:t>
      </w:r>
      <w:r>
        <w:rPr>
          <w:spacing w:val="-2"/>
        </w:rPr>
        <w:t>infant.</w:t>
      </w:r>
    </w:p>
    <w:p>
      <w:pPr>
        <w:spacing w:before="0"/>
        <w:ind w:left="1280" w:right="0" w:firstLine="0"/>
        <w:jc w:val="left"/>
        <w:rPr>
          <w:sz w:val="24"/>
        </w:rPr>
      </w:pPr>
      <w:r>
        <w:rPr>
          <w:i/>
          <w:sz w:val="24"/>
        </w:rPr>
        <w:t>American</w:t>
      </w:r>
      <w:r>
        <w:rPr>
          <w:i/>
          <w:spacing w:val="-2"/>
          <w:sz w:val="24"/>
        </w:rPr>
        <w:t> </w:t>
      </w:r>
      <w:r>
        <w:rPr>
          <w:i/>
          <w:sz w:val="24"/>
        </w:rPr>
        <w:t>Journal</w:t>
      </w:r>
      <w:r>
        <w:rPr>
          <w:i/>
          <w:spacing w:val="-1"/>
          <w:sz w:val="24"/>
        </w:rPr>
        <w:t> </w:t>
      </w:r>
      <w:r>
        <w:rPr>
          <w:i/>
          <w:sz w:val="24"/>
        </w:rPr>
        <w:t>of</w:t>
      </w:r>
      <w:r>
        <w:rPr>
          <w:i/>
          <w:spacing w:val="-1"/>
          <w:sz w:val="24"/>
        </w:rPr>
        <w:t> </w:t>
      </w:r>
      <w:r>
        <w:rPr>
          <w:i/>
          <w:sz w:val="24"/>
        </w:rPr>
        <w:t>Clinical</w:t>
      </w:r>
      <w:r>
        <w:rPr>
          <w:i/>
          <w:spacing w:val="-1"/>
          <w:sz w:val="24"/>
        </w:rPr>
        <w:t> </w:t>
      </w:r>
      <w:r>
        <w:rPr>
          <w:i/>
          <w:sz w:val="24"/>
        </w:rPr>
        <w:t>Nutrition</w:t>
      </w:r>
      <w:r>
        <w:rPr>
          <w:sz w:val="24"/>
        </w:rPr>
        <w:t>;</w:t>
      </w:r>
      <w:r>
        <w:rPr>
          <w:spacing w:val="-1"/>
          <w:sz w:val="24"/>
        </w:rPr>
        <w:t> </w:t>
      </w:r>
      <w:r>
        <w:rPr>
          <w:sz w:val="24"/>
        </w:rPr>
        <w:t>81(</w:t>
      </w:r>
      <w:r>
        <w:rPr>
          <w:b/>
          <w:sz w:val="24"/>
        </w:rPr>
        <w:t>1</w:t>
      </w:r>
      <w:r>
        <w:rPr>
          <w:sz w:val="24"/>
        </w:rPr>
        <w:t>):</w:t>
      </w:r>
      <w:r>
        <w:rPr>
          <w:spacing w:val="-1"/>
          <w:sz w:val="24"/>
        </w:rPr>
        <w:t> </w:t>
      </w:r>
      <w:r>
        <w:rPr>
          <w:sz w:val="24"/>
        </w:rPr>
        <w:t>1218-</w:t>
      </w:r>
      <w:r>
        <w:rPr>
          <w:spacing w:val="-2"/>
          <w:sz w:val="24"/>
        </w:rPr>
        <w:t>1222.</w:t>
      </w:r>
    </w:p>
    <w:p>
      <w:pPr>
        <w:pStyle w:val="BodyText"/>
        <w:spacing w:before="276"/>
        <w:ind w:left="1280" w:right="798" w:hanging="720"/>
        <w:jc w:val="both"/>
      </w:pPr>
      <w:r>
        <w:rPr/>
        <w:t>Scholl, T.O., Hediger, M.L. and Belsky, D.H. (1994). Prenatal care and maternal health during adolescent pregnancy: a review and meta-analysis. </w:t>
      </w:r>
      <w:r>
        <w:rPr>
          <w:i/>
        </w:rPr>
        <w:t>The Journal of Adolescent Health</w:t>
      </w:r>
      <w:r>
        <w:rPr/>
        <w:t>; 15(</w:t>
      </w:r>
      <w:r>
        <w:rPr>
          <w:b/>
        </w:rPr>
        <w:t>6</w:t>
      </w:r>
      <w:r>
        <w:rPr/>
        <w:t>): 444-456.</w:t>
      </w:r>
    </w:p>
    <w:p>
      <w:pPr>
        <w:pStyle w:val="BodyText"/>
      </w:pPr>
    </w:p>
    <w:p>
      <w:pPr>
        <w:spacing w:before="0"/>
        <w:ind w:left="1280" w:right="796" w:hanging="720"/>
        <w:jc w:val="both"/>
        <w:rPr>
          <w:sz w:val="24"/>
        </w:rPr>
      </w:pPr>
      <w:r>
        <w:rPr>
          <w:sz w:val="24"/>
        </w:rPr>
        <w:t>Schulze, K. J., Christian, P., Ruczinski, I., Ray, A. L., Nath, A., Wu, L. S. and Semba, R. D. (2008).</w:t>
      </w:r>
      <w:r>
        <w:rPr>
          <w:spacing w:val="-4"/>
          <w:sz w:val="24"/>
        </w:rPr>
        <w:t> </w:t>
      </w:r>
      <w:r>
        <w:rPr>
          <w:sz w:val="24"/>
        </w:rPr>
        <w:t>Hepcidin</w:t>
      </w:r>
      <w:r>
        <w:rPr>
          <w:spacing w:val="-4"/>
          <w:sz w:val="24"/>
        </w:rPr>
        <w:t> </w:t>
      </w:r>
      <w:r>
        <w:rPr>
          <w:sz w:val="24"/>
        </w:rPr>
        <w:t>and</w:t>
      </w:r>
      <w:r>
        <w:rPr>
          <w:spacing w:val="-2"/>
          <w:sz w:val="24"/>
        </w:rPr>
        <w:t> </w:t>
      </w:r>
      <w:r>
        <w:rPr>
          <w:sz w:val="24"/>
        </w:rPr>
        <w:t>Iron</w:t>
      </w:r>
      <w:r>
        <w:rPr>
          <w:spacing w:val="-4"/>
          <w:sz w:val="24"/>
        </w:rPr>
        <w:t> </w:t>
      </w:r>
      <w:r>
        <w:rPr>
          <w:sz w:val="24"/>
        </w:rPr>
        <w:t>Status</w:t>
      </w:r>
      <w:r>
        <w:rPr>
          <w:spacing w:val="-4"/>
          <w:sz w:val="24"/>
        </w:rPr>
        <w:t> </w:t>
      </w:r>
      <w:r>
        <w:rPr>
          <w:sz w:val="24"/>
        </w:rPr>
        <w:t>among</w:t>
      </w:r>
      <w:r>
        <w:rPr>
          <w:spacing w:val="-4"/>
          <w:sz w:val="24"/>
        </w:rPr>
        <w:t> </w:t>
      </w:r>
      <w:r>
        <w:rPr>
          <w:sz w:val="24"/>
        </w:rPr>
        <w:t>pregnant</w:t>
      </w:r>
      <w:r>
        <w:rPr>
          <w:spacing w:val="-2"/>
          <w:sz w:val="24"/>
        </w:rPr>
        <w:t> </w:t>
      </w:r>
      <w:r>
        <w:rPr>
          <w:sz w:val="24"/>
        </w:rPr>
        <w:t>women</w:t>
      </w:r>
      <w:r>
        <w:rPr>
          <w:spacing w:val="-4"/>
          <w:sz w:val="24"/>
        </w:rPr>
        <w:t> </w:t>
      </w:r>
      <w:r>
        <w:rPr>
          <w:sz w:val="24"/>
        </w:rPr>
        <w:t>in</w:t>
      </w:r>
      <w:r>
        <w:rPr>
          <w:spacing w:val="-4"/>
          <w:sz w:val="24"/>
        </w:rPr>
        <w:t> </w:t>
      </w:r>
      <w:r>
        <w:rPr>
          <w:sz w:val="24"/>
        </w:rPr>
        <w:t>Bangledesh.</w:t>
      </w:r>
      <w:r>
        <w:rPr>
          <w:i/>
          <w:sz w:val="24"/>
        </w:rPr>
        <w:t>Asian</w:t>
      </w:r>
      <w:r>
        <w:rPr>
          <w:i/>
          <w:spacing w:val="-4"/>
          <w:sz w:val="24"/>
        </w:rPr>
        <w:t> </w:t>
      </w:r>
      <w:r>
        <w:rPr>
          <w:i/>
          <w:sz w:val="24"/>
        </w:rPr>
        <w:t>Pacific Journal of Clinical Nutrition: </w:t>
      </w:r>
      <w:r>
        <w:rPr>
          <w:sz w:val="24"/>
        </w:rPr>
        <w:t>17</w:t>
      </w:r>
      <w:r>
        <w:rPr>
          <w:b/>
          <w:sz w:val="24"/>
        </w:rPr>
        <w:t>(3)</w:t>
      </w:r>
      <w:r>
        <w:rPr>
          <w:sz w:val="24"/>
        </w:rPr>
        <w:t>: 451-456</w:t>
      </w:r>
    </w:p>
    <w:p>
      <w:pPr>
        <w:pStyle w:val="BodyText"/>
      </w:pPr>
    </w:p>
    <w:p>
      <w:pPr>
        <w:spacing w:before="0"/>
        <w:ind w:left="1280" w:right="795" w:hanging="720"/>
        <w:jc w:val="both"/>
        <w:rPr>
          <w:i/>
          <w:sz w:val="24"/>
        </w:rPr>
      </w:pPr>
      <w:r>
        <w:rPr>
          <w:sz w:val="24"/>
        </w:rPr>
        <w:t>Schwartz W. J. and Thurnau G. R., (1995). Iron deficiency anaemia in pregnancy. In: Haematologic complications of pregnancy. Kenneth G (Guest editor), Roy M.P., and James R.S. (eds). </w:t>
      </w:r>
      <w:r>
        <w:rPr>
          <w:i/>
          <w:sz w:val="24"/>
        </w:rPr>
        <w:t>Clinical Obstetrics and Gynaecology of East Washington </w:t>
      </w:r>
      <w:r>
        <w:rPr>
          <w:b/>
          <w:i/>
          <w:sz w:val="24"/>
        </w:rPr>
        <w:t>38</w:t>
      </w:r>
      <w:r>
        <w:rPr>
          <w:i/>
          <w:sz w:val="24"/>
        </w:rPr>
        <w:t>:443- </w:t>
      </w:r>
      <w:r>
        <w:rPr>
          <w:i/>
          <w:spacing w:val="-4"/>
          <w:sz w:val="24"/>
        </w:rPr>
        <w:t>459.</w:t>
      </w:r>
    </w:p>
    <w:p>
      <w:pPr>
        <w:pStyle w:val="BodyText"/>
        <w:rPr>
          <w:i/>
        </w:rPr>
      </w:pPr>
    </w:p>
    <w:p>
      <w:pPr>
        <w:spacing w:before="1"/>
        <w:ind w:left="1280" w:right="799" w:hanging="720"/>
        <w:jc w:val="both"/>
        <w:rPr>
          <w:sz w:val="24"/>
        </w:rPr>
      </w:pPr>
      <w:r>
        <w:rPr>
          <w:sz w:val="24"/>
        </w:rPr>
        <w:t>Sehgal, P. B., Grieninger, G. and Tosato, G (1989). Regulation of the acute phase and immune responses: interleukin-6. </w:t>
      </w:r>
      <w:r>
        <w:rPr>
          <w:i/>
          <w:sz w:val="24"/>
        </w:rPr>
        <w:t>Annual New York Academy of Science; </w:t>
      </w:r>
      <w:r>
        <w:rPr>
          <w:b/>
          <w:sz w:val="24"/>
        </w:rPr>
        <w:t>557: </w:t>
      </w:r>
      <w:r>
        <w:rPr>
          <w:sz w:val="24"/>
        </w:rPr>
        <w:t>1 -583</w:t>
      </w:r>
    </w:p>
    <w:p>
      <w:pPr>
        <w:pStyle w:val="BodyText"/>
      </w:pPr>
    </w:p>
    <w:p>
      <w:pPr>
        <w:pStyle w:val="BodyText"/>
        <w:ind w:left="1280" w:right="797" w:hanging="720"/>
        <w:jc w:val="both"/>
      </w:pPr>
      <w:r>
        <w:rPr/>
        <w:t>Sharma, S., Hanna, N., Hanna I., Hleb, M., Wagner, E., Dougherty J., Balkundi D. and Padbury</w:t>
      </w:r>
      <w:r>
        <w:rPr>
          <w:spacing w:val="-5"/>
        </w:rPr>
        <w:t> </w:t>
      </w:r>
      <w:r>
        <w:rPr/>
        <w:t>J.(2000).Gestational Age-Dependent Expression of IL-10 and Its Receptor in Human Placental Tissues and Isolated Cytotrophoblasts.</w:t>
      </w:r>
      <w:r>
        <w:rPr>
          <w:i/>
        </w:rPr>
        <w:t>The Journal of Immunology, </w:t>
      </w:r>
      <w:r>
        <w:rPr>
          <w:b/>
        </w:rPr>
        <w:t>164</w:t>
      </w:r>
      <w:r>
        <w:rPr/>
        <w:t>: 5721-5728</w:t>
      </w:r>
    </w:p>
    <w:p>
      <w:pPr>
        <w:pStyle w:val="BodyText"/>
      </w:pPr>
    </w:p>
    <w:p>
      <w:pPr>
        <w:pStyle w:val="BodyText"/>
        <w:ind w:left="560"/>
      </w:pPr>
      <w:r>
        <w:rPr/>
        <w:t>Shulman,</w:t>
      </w:r>
      <w:r>
        <w:rPr>
          <w:spacing w:val="59"/>
        </w:rPr>
        <w:t> </w:t>
      </w:r>
      <w:r>
        <w:rPr/>
        <w:t>C.</w:t>
      </w:r>
      <w:r>
        <w:rPr>
          <w:spacing w:val="61"/>
        </w:rPr>
        <w:t> </w:t>
      </w:r>
      <w:r>
        <w:rPr/>
        <w:t>(1999).</w:t>
      </w:r>
      <w:r>
        <w:rPr>
          <w:spacing w:val="60"/>
        </w:rPr>
        <w:t> </w:t>
      </w:r>
      <w:r>
        <w:rPr/>
        <w:t>Malaria</w:t>
      </w:r>
      <w:r>
        <w:rPr>
          <w:spacing w:val="59"/>
        </w:rPr>
        <w:t> </w:t>
      </w:r>
      <w:r>
        <w:rPr/>
        <w:t>in</w:t>
      </w:r>
      <w:r>
        <w:rPr>
          <w:spacing w:val="61"/>
        </w:rPr>
        <w:t> </w:t>
      </w:r>
      <w:r>
        <w:rPr/>
        <w:t>pregnancy:</w:t>
      </w:r>
      <w:r>
        <w:rPr>
          <w:spacing w:val="63"/>
        </w:rPr>
        <w:t> </w:t>
      </w:r>
      <w:r>
        <w:rPr/>
        <w:t>its</w:t>
      </w:r>
      <w:r>
        <w:rPr>
          <w:spacing w:val="61"/>
        </w:rPr>
        <w:t> </w:t>
      </w:r>
      <w:r>
        <w:rPr/>
        <w:t>relevance</w:t>
      </w:r>
      <w:r>
        <w:rPr>
          <w:spacing w:val="60"/>
        </w:rPr>
        <w:t> </w:t>
      </w:r>
      <w:r>
        <w:rPr/>
        <w:t>to</w:t>
      </w:r>
      <w:r>
        <w:rPr>
          <w:spacing w:val="61"/>
        </w:rPr>
        <w:t> </w:t>
      </w:r>
      <w:r>
        <w:rPr/>
        <w:t>safe</w:t>
      </w:r>
      <w:r>
        <w:rPr>
          <w:spacing w:val="61"/>
        </w:rPr>
        <w:t> </w:t>
      </w:r>
      <w:r>
        <w:rPr/>
        <w:t>motherhood</w:t>
      </w:r>
      <w:r>
        <w:rPr>
          <w:spacing w:val="60"/>
        </w:rPr>
        <w:t> </w:t>
      </w:r>
      <w:r>
        <w:rPr>
          <w:spacing w:val="-2"/>
        </w:rPr>
        <w:t>programs.</w:t>
      </w:r>
    </w:p>
    <w:p>
      <w:pPr>
        <w:spacing w:before="0"/>
        <w:ind w:left="1280" w:right="0" w:firstLine="0"/>
        <w:jc w:val="left"/>
        <w:rPr>
          <w:sz w:val="24"/>
        </w:rPr>
      </w:pPr>
      <w:r>
        <w:rPr>
          <w:i/>
          <w:sz w:val="24"/>
        </w:rPr>
        <w:t>Annals</w:t>
      </w:r>
      <w:r>
        <w:rPr>
          <w:i/>
          <w:spacing w:val="-1"/>
          <w:sz w:val="24"/>
        </w:rPr>
        <w:t> </w:t>
      </w:r>
      <w:r>
        <w:rPr>
          <w:i/>
          <w:sz w:val="24"/>
        </w:rPr>
        <w:t>ofTropical</w:t>
      </w:r>
      <w:r>
        <w:rPr>
          <w:i/>
          <w:spacing w:val="-1"/>
          <w:sz w:val="24"/>
        </w:rPr>
        <w:t> </w:t>
      </w:r>
      <w:r>
        <w:rPr>
          <w:i/>
          <w:sz w:val="24"/>
        </w:rPr>
        <w:t>Medicine</w:t>
      </w:r>
      <w:r>
        <w:rPr>
          <w:i/>
          <w:spacing w:val="-1"/>
          <w:sz w:val="24"/>
        </w:rPr>
        <w:t> </w:t>
      </w:r>
      <w:r>
        <w:rPr>
          <w:i/>
          <w:sz w:val="24"/>
        </w:rPr>
        <w:t>and</w:t>
      </w:r>
      <w:r>
        <w:rPr>
          <w:i/>
          <w:spacing w:val="-1"/>
          <w:sz w:val="24"/>
        </w:rPr>
        <w:t> </w:t>
      </w:r>
      <w:r>
        <w:rPr>
          <w:i/>
          <w:sz w:val="24"/>
        </w:rPr>
        <w:t>Parasitology</w:t>
      </w:r>
      <w:r>
        <w:rPr>
          <w:sz w:val="24"/>
        </w:rPr>
        <w:t>;</w:t>
      </w:r>
      <w:r>
        <w:rPr>
          <w:spacing w:val="-1"/>
          <w:sz w:val="24"/>
        </w:rPr>
        <w:t> </w:t>
      </w:r>
      <w:r>
        <w:rPr>
          <w:sz w:val="24"/>
        </w:rPr>
        <w:t>93(</w:t>
      </w:r>
      <w:r>
        <w:rPr>
          <w:b/>
          <w:sz w:val="24"/>
        </w:rPr>
        <w:t>1</w:t>
      </w:r>
      <w:r>
        <w:rPr>
          <w:sz w:val="24"/>
        </w:rPr>
        <w:t>): s59-</w:t>
      </w:r>
      <w:r>
        <w:rPr>
          <w:spacing w:val="-4"/>
          <w:sz w:val="24"/>
        </w:rPr>
        <w:t>s66.</w:t>
      </w:r>
    </w:p>
    <w:p>
      <w:pPr>
        <w:pStyle w:val="BodyText"/>
      </w:pPr>
    </w:p>
    <w:p>
      <w:pPr>
        <w:spacing w:before="0"/>
        <w:ind w:left="1280" w:right="797" w:hanging="720"/>
        <w:jc w:val="both"/>
        <w:rPr>
          <w:sz w:val="24"/>
        </w:rPr>
      </w:pPr>
      <w:r>
        <w:rPr>
          <w:sz w:val="24"/>
        </w:rPr>
        <w:t>Shulman, C.E. and Dorman, E.K. (2003).Reducing childhood mortality in poor countries: importance and prevention of malaria in pregnancy.</w:t>
      </w:r>
      <w:r>
        <w:rPr>
          <w:i/>
          <w:sz w:val="24"/>
        </w:rPr>
        <w:t>Transactions of the Royal Society of Tropical Medicine and Hygiene</w:t>
      </w:r>
      <w:r>
        <w:rPr>
          <w:sz w:val="24"/>
        </w:rPr>
        <w:t>; 97(</w:t>
      </w:r>
      <w:r>
        <w:rPr>
          <w:b/>
          <w:sz w:val="24"/>
        </w:rPr>
        <w:t>1</w:t>
      </w:r>
      <w:r>
        <w:rPr>
          <w:sz w:val="24"/>
        </w:rPr>
        <w:t>): 30-35.</w:t>
      </w:r>
    </w:p>
    <w:p>
      <w:pPr>
        <w:pStyle w:val="BodyText"/>
        <w:spacing w:before="1"/>
      </w:pPr>
    </w:p>
    <w:p>
      <w:pPr>
        <w:pStyle w:val="BodyText"/>
        <w:ind w:left="1280" w:right="794" w:hanging="720"/>
        <w:jc w:val="both"/>
      </w:pPr>
      <w:r>
        <w:rPr/>
        <w:t>Siah, C.W., Ombiga, J., Adams, L.A., Trinder, D. and Olynyk, J.K. (2006). Normal iron metabolism and the pathophysiology of iron overload disorders. </w:t>
      </w:r>
      <w:r>
        <w:rPr>
          <w:i/>
        </w:rPr>
        <w:t>The Clinical Biochemist Reviews</w:t>
      </w:r>
      <w:r>
        <w:rPr/>
        <w:t>; 27(</w:t>
      </w:r>
      <w:r>
        <w:rPr>
          <w:b/>
        </w:rPr>
        <w:t>1</w:t>
      </w:r>
      <w:r>
        <w:rPr/>
        <w:t>): 5-16.</w:t>
      </w:r>
    </w:p>
    <w:p>
      <w:pPr>
        <w:pStyle w:val="BodyText"/>
      </w:pPr>
    </w:p>
    <w:p>
      <w:pPr>
        <w:pStyle w:val="BodyText"/>
      </w:pPr>
    </w:p>
    <w:p>
      <w:pPr>
        <w:pStyle w:val="BodyText"/>
        <w:ind w:left="1280" w:right="794" w:hanging="720"/>
        <w:jc w:val="both"/>
      </w:pPr>
      <w:r>
        <w:rPr/>
        <w:t>Singhal, A., Cook, J. D., Skikne, B. S., Thomas, P., Serjeant, B. and Serjeant, G. (1993). The clinical significance of serum transferrin receptor levels in sickle cell disease. </w:t>
      </w:r>
      <w:r>
        <w:rPr>
          <w:i/>
        </w:rPr>
        <w:t>British Journal of Haematology</w:t>
      </w:r>
      <w:r>
        <w:rPr/>
        <w:t>; 84(2): 301- 304.</w:t>
      </w:r>
    </w:p>
    <w:p>
      <w:pPr>
        <w:pStyle w:val="BodyText"/>
      </w:pPr>
    </w:p>
    <w:p>
      <w:pPr>
        <w:pStyle w:val="BodyText"/>
        <w:ind w:left="1280" w:right="795" w:hanging="720"/>
        <w:jc w:val="both"/>
      </w:pPr>
      <w:r>
        <w:rPr/>
        <w:t>Skikne, B.S., Flowers, C.H. and Cook, J.D. (1990). Serum transferrin receptor: a quantitative measure of tissue iron deficiency. </w:t>
      </w:r>
      <w:r>
        <w:rPr>
          <w:i/>
        </w:rPr>
        <w:t>Blood</w:t>
      </w:r>
      <w:r>
        <w:rPr/>
        <w:t>; 75(</w:t>
      </w:r>
      <w:r>
        <w:rPr>
          <w:b/>
        </w:rPr>
        <w:t>9</w:t>
      </w:r>
      <w:r>
        <w:rPr/>
        <w:t>): 1870 – 1876.</w:t>
      </w:r>
    </w:p>
    <w:p>
      <w:pPr>
        <w:spacing w:after="0"/>
        <w:jc w:val="both"/>
        <w:sectPr>
          <w:pgSz w:w="11910" w:h="16840"/>
          <w:pgMar w:header="0" w:footer="1067" w:top="1060" w:bottom="1260" w:left="880" w:right="640"/>
        </w:sectPr>
      </w:pPr>
    </w:p>
    <w:p>
      <w:pPr>
        <w:pStyle w:val="BodyText"/>
        <w:spacing w:before="70"/>
        <w:ind w:left="1280" w:right="797" w:hanging="720"/>
        <w:jc w:val="both"/>
      </w:pPr>
      <w:r>
        <w:rPr/>
        <w:t>Sood, R. (2006). Rapid Diagnostic text for Malaria, In: Textbook of Medical Laboratory Technology 1</w:t>
      </w:r>
      <w:r>
        <w:rPr>
          <w:vertAlign w:val="superscript"/>
        </w:rPr>
        <w:t>st</w:t>
      </w:r>
      <w:r>
        <w:rPr>
          <w:vertAlign w:val="baseline"/>
        </w:rPr>
        <w:t> edition. Jaypee Brothers Medical Publishers (P) New Delhi, India. Pp </w:t>
      </w:r>
      <w:r>
        <w:rPr>
          <w:spacing w:val="-2"/>
          <w:vertAlign w:val="baseline"/>
        </w:rPr>
        <w:t>189-195.</w:t>
      </w:r>
    </w:p>
    <w:p>
      <w:pPr>
        <w:pStyle w:val="BodyText"/>
      </w:pPr>
    </w:p>
    <w:p>
      <w:pPr>
        <w:pStyle w:val="BodyText"/>
        <w:spacing w:before="1"/>
        <w:ind w:left="560"/>
      </w:pPr>
      <w:r>
        <w:rPr/>
        <w:t>Spivak,</w:t>
      </w:r>
      <w:r>
        <w:rPr>
          <w:spacing w:val="-4"/>
        </w:rPr>
        <w:t> </w:t>
      </w:r>
      <w:r>
        <w:rPr/>
        <w:t>J.</w:t>
      </w:r>
      <w:r>
        <w:rPr>
          <w:spacing w:val="-1"/>
        </w:rPr>
        <w:t> </w:t>
      </w:r>
      <w:r>
        <w:rPr/>
        <w:t>L.</w:t>
      </w:r>
      <w:r>
        <w:rPr>
          <w:spacing w:val="-1"/>
        </w:rPr>
        <w:t> </w:t>
      </w:r>
      <w:r>
        <w:rPr/>
        <w:t>(2000).</w:t>
      </w:r>
      <w:r>
        <w:rPr>
          <w:spacing w:val="1"/>
        </w:rPr>
        <w:t> </w:t>
      </w:r>
      <w:r>
        <w:rPr/>
        <w:t>The</w:t>
      </w:r>
      <w:r>
        <w:rPr>
          <w:spacing w:val="-1"/>
        </w:rPr>
        <w:t> </w:t>
      </w:r>
      <w:r>
        <w:rPr/>
        <w:t>blood</w:t>
      </w:r>
      <w:r>
        <w:rPr>
          <w:spacing w:val="-1"/>
        </w:rPr>
        <w:t> </w:t>
      </w:r>
      <w:r>
        <w:rPr/>
        <w:t>in</w:t>
      </w:r>
      <w:r>
        <w:rPr>
          <w:spacing w:val="-1"/>
        </w:rPr>
        <w:t> </w:t>
      </w:r>
      <w:r>
        <w:rPr/>
        <w:t>systemic</w:t>
      </w:r>
      <w:r>
        <w:rPr>
          <w:spacing w:val="-2"/>
        </w:rPr>
        <w:t> </w:t>
      </w:r>
      <w:r>
        <w:rPr/>
        <w:t>disorders.</w:t>
      </w:r>
      <w:r>
        <w:rPr>
          <w:spacing w:val="1"/>
        </w:rPr>
        <w:t> </w:t>
      </w:r>
      <w:r>
        <w:rPr>
          <w:i/>
        </w:rPr>
        <w:t>Lancet</w:t>
      </w:r>
      <w:r>
        <w:rPr/>
        <w:t>;</w:t>
      </w:r>
      <w:r>
        <w:rPr>
          <w:spacing w:val="-1"/>
        </w:rPr>
        <w:t> </w:t>
      </w:r>
      <w:r>
        <w:rPr/>
        <w:t>355</w:t>
      </w:r>
      <w:r>
        <w:rPr>
          <w:spacing w:val="-1"/>
        </w:rPr>
        <w:t> </w:t>
      </w:r>
      <w:r>
        <w:rPr/>
        <w:t>(9216):</w:t>
      </w:r>
      <w:r>
        <w:rPr>
          <w:spacing w:val="1"/>
        </w:rPr>
        <w:t> </w:t>
      </w:r>
      <w:r>
        <w:rPr/>
        <w:t>1707-</w:t>
      </w:r>
      <w:r>
        <w:rPr>
          <w:spacing w:val="-2"/>
        </w:rPr>
        <w:t> 1712.</w:t>
      </w:r>
    </w:p>
    <w:p>
      <w:pPr>
        <w:spacing w:before="276"/>
        <w:ind w:left="1280" w:right="799" w:hanging="720"/>
        <w:jc w:val="both"/>
        <w:rPr>
          <w:sz w:val="24"/>
        </w:rPr>
      </w:pPr>
      <w:r>
        <w:rPr>
          <w:sz w:val="24"/>
        </w:rPr>
        <w:t>Steketee, R.W., Nahlen,</w:t>
      </w:r>
      <w:r>
        <w:rPr>
          <w:spacing w:val="-1"/>
          <w:sz w:val="24"/>
        </w:rPr>
        <w:t> </w:t>
      </w:r>
      <w:r>
        <w:rPr>
          <w:sz w:val="24"/>
        </w:rPr>
        <w:t>B.L., Parise, M.E. and Menedez, C. (2001).</w:t>
      </w:r>
      <w:r>
        <w:rPr>
          <w:spacing w:val="-1"/>
          <w:sz w:val="24"/>
        </w:rPr>
        <w:t> </w:t>
      </w:r>
      <w:r>
        <w:rPr>
          <w:sz w:val="24"/>
        </w:rPr>
        <w:t>The</w:t>
      </w:r>
      <w:r>
        <w:rPr>
          <w:spacing w:val="-2"/>
          <w:sz w:val="24"/>
        </w:rPr>
        <w:t> </w:t>
      </w:r>
      <w:r>
        <w:rPr>
          <w:sz w:val="24"/>
        </w:rPr>
        <w:t>burden of</w:t>
      </w:r>
      <w:r>
        <w:rPr>
          <w:spacing w:val="-1"/>
          <w:sz w:val="24"/>
        </w:rPr>
        <w:t> </w:t>
      </w:r>
      <w:r>
        <w:rPr>
          <w:sz w:val="24"/>
        </w:rPr>
        <w:t>malaria</w:t>
      </w:r>
      <w:r>
        <w:rPr>
          <w:spacing w:val="-2"/>
          <w:sz w:val="24"/>
        </w:rPr>
        <w:t> </w:t>
      </w:r>
      <w:r>
        <w:rPr>
          <w:sz w:val="24"/>
        </w:rPr>
        <w:t>in pregnancy in malaria-endemic areas.</w:t>
      </w:r>
      <w:r>
        <w:rPr>
          <w:i/>
          <w:sz w:val="24"/>
        </w:rPr>
        <w:t>American Journal of Tropical Medicine and Hygiene</w:t>
      </w:r>
      <w:r>
        <w:rPr>
          <w:sz w:val="24"/>
        </w:rPr>
        <w:t>; 64(</w:t>
      </w:r>
      <w:r>
        <w:rPr>
          <w:b/>
          <w:sz w:val="24"/>
        </w:rPr>
        <w:t>1-2</w:t>
      </w:r>
      <w:r>
        <w:rPr>
          <w:sz w:val="24"/>
        </w:rPr>
        <w:t>): 28-35.</w:t>
      </w:r>
    </w:p>
    <w:p>
      <w:pPr>
        <w:pStyle w:val="BodyText"/>
        <w:spacing w:before="276"/>
        <w:ind w:left="1280" w:right="796" w:hanging="720"/>
        <w:jc w:val="both"/>
      </w:pPr>
      <w:r>
        <w:rPr/>
        <w:t>Steketee,</w:t>
      </w:r>
      <w:r>
        <w:rPr>
          <w:spacing w:val="-1"/>
        </w:rPr>
        <w:t> </w:t>
      </w:r>
      <w:r>
        <w:rPr/>
        <w:t>R.W.,</w:t>
      </w:r>
      <w:r>
        <w:rPr>
          <w:spacing w:val="-1"/>
        </w:rPr>
        <w:t> </w:t>
      </w:r>
      <w:r>
        <w:rPr/>
        <w:t>Wirima,</w:t>
      </w:r>
      <w:r>
        <w:rPr>
          <w:spacing w:val="-2"/>
        </w:rPr>
        <w:t> </w:t>
      </w:r>
      <w:r>
        <w:rPr/>
        <w:t>J.J.,</w:t>
      </w:r>
      <w:r>
        <w:rPr>
          <w:spacing w:val="-1"/>
        </w:rPr>
        <w:t> </w:t>
      </w:r>
      <w:r>
        <w:rPr/>
        <w:t>Hightower,</w:t>
      </w:r>
      <w:r>
        <w:rPr>
          <w:spacing w:val="-2"/>
        </w:rPr>
        <w:t> </w:t>
      </w:r>
      <w:r>
        <w:rPr/>
        <w:t>A.W.,</w:t>
      </w:r>
      <w:r>
        <w:rPr>
          <w:spacing w:val="-1"/>
        </w:rPr>
        <w:t> </w:t>
      </w:r>
      <w:r>
        <w:rPr/>
        <w:t>Sluther, L.,</w:t>
      </w:r>
      <w:r>
        <w:rPr>
          <w:spacing w:val="-1"/>
        </w:rPr>
        <w:t> </w:t>
      </w:r>
      <w:r>
        <w:rPr/>
        <w:t>Heymann, D.L. and</w:t>
      </w:r>
      <w:r>
        <w:rPr>
          <w:spacing w:val="-1"/>
        </w:rPr>
        <w:t> </w:t>
      </w:r>
      <w:r>
        <w:rPr/>
        <w:t>Breman,</w:t>
      </w:r>
      <w:r>
        <w:rPr>
          <w:spacing w:val="-1"/>
        </w:rPr>
        <w:t> </w:t>
      </w:r>
      <w:r>
        <w:rPr/>
        <w:t>J.G. (1996).The effect of malaria and malaria prevention in pregnancy on offspring birthweight, prematurity and Intrauterine Growth Retardation in rural Malawi.</w:t>
      </w:r>
      <w:r>
        <w:rPr>
          <w:i/>
        </w:rPr>
        <w:t>AmericanJournal of Tropical Medicine and Hygiene</w:t>
      </w:r>
      <w:r>
        <w:rPr/>
        <w:t>; 55(</w:t>
      </w:r>
      <w:r>
        <w:rPr>
          <w:b/>
        </w:rPr>
        <w:t>1</w:t>
      </w:r>
      <w:r>
        <w:rPr/>
        <w:t>): 33-41.</w:t>
      </w:r>
    </w:p>
    <w:p>
      <w:pPr>
        <w:pStyle w:val="BodyText"/>
      </w:pPr>
    </w:p>
    <w:p>
      <w:pPr>
        <w:pStyle w:val="BodyText"/>
        <w:ind w:left="1280" w:right="796" w:hanging="720"/>
        <w:jc w:val="both"/>
      </w:pPr>
      <w:r>
        <w:rPr/>
        <w:t>Steinman L. (2007) A brief history of T</w:t>
      </w:r>
      <w:r>
        <w:rPr>
          <w:vertAlign w:val="subscript"/>
        </w:rPr>
        <w:t>(H)</w:t>
      </w:r>
      <w:r>
        <w:rPr>
          <w:vertAlign w:val="baseline"/>
        </w:rPr>
        <w:t>17, the first major revision in the T</w:t>
      </w:r>
      <w:r>
        <w:rPr>
          <w:vertAlign w:val="subscript"/>
        </w:rPr>
        <w:t>(H)</w:t>
      </w:r>
      <w:r>
        <w:rPr>
          <w:vertAlign w:val="baseline"/>
        </w:rPr>
        <w:t>1/T</w:t>
      </w:r>
      <w:r>
        <w:rPr>
          <w:vertAlign w:val="subscript"/>
        </w:rPr>
        <w:t>(H)</w:t>
      </w:r>
      <w:r>
        <w:rPr>
          <w:vertAlign w:val="baseline"/>
        </w:rPr>
        <w:t>2 hypothesis of T-cell mediated tissue damage. </w:t>
      </w:r>
      <w:r>
        <w:rPr>
          <w:i/>
          <w:vertAlign w:val="baseline"/>
        </w:rPr>
        <w:t>National Medicine </w:t>
      </w:r>
      <w:r>
        <w:rPr>
          <w:vertAlign w:val="baseline"/>
        </w:rPr>
        <w:t>13: 139</w:t>
      </w:r>
    </w:p>
    <w:p>
      <w:pPr>
        <w:pStyle w:val="BodyText"/>
      </w:pPr>
    </w:p>
    <w:p>
      <w:pPr>
        <w:pStyle w:val="BodyText"/>
        <w:ind w:left="1280" w:right="792" w:hanging="720"/>
        <w:jc w:val="both"/>
      </w:pPr>
      <w:r>
        <w:rPr/>
        <w:t>Stevenson, M.M., Tam, M.F., Belosevic, M., Van Der Meide, P.H. and Podoba, J.E. (1990). “Role</w:t>
      </w:r>
      <w:r>
        <w:rPr>
          <w:spacing w:val="-2"/>
        </w:rPr>
        <w:t> </w:t>
      </w:r>
      <w:r>
        <w:rPr/>
        <w:t>of</w:t>
      </w:r>
      <w:r>
        <w:rPr>
          <w:spacing w:val="-2"/>
        </w:rPr>
        <w:t> </w:t>
      </w:r>
      <w:r>
        <w:rPr/>
        <w:t>endogenous</w:t>
      </w:r>
      <w:r>
        <w:rPr>
          <w:spacing w:val="-1"/>
        </w:rPr>
        <w:t> </w:t>
      </w:r>
      <w:r>
        <w:rPr/>
        <w:t>gamma</w:t>
      </w:r>
      <w:r>
        <w:rPr>
          <w:spacing w:val="-2"/>
        </w:rPr>
        <w:t> </w:t>
      </w:r>
      <w:r>
        <w:rPr/>
        <w:t>interferon</w:t>
      </w:r>
      <w:r>
        <w:rPr>
          <w:spacing w:val="-2"/>
        </w:rPr>
        <w:t> </w:t>
      </w:r>
      <w:r>
        <w:rPr/>
        <w:t>in</w:t>
      </w:r>
      <w:r>
        <w:rPr>
          <w:spacing w:val="-1"/>
        </w:rPr>
        <w:t> </w:t>
      </w:r>
      <w:r>
        <w:rPr/>
        <w:t>host</w:t>
      </w:r>
      <w:r>
        <w:rPr>
          <w:spacing w:val="-1"/>
        </w:rPr>
        <w:t> </w:t>
      </w:r>
      <w:r>
        <w:rPr/>
        <w:t>response</w:t>
      </w:r>
      <w:r>
        <w:rPr>
          <w:spacing w:val="-2"/>
        </w:rPr>
        <w:t> </w:t>
      </w:r>
      <w:r>
        <w:rPr/>
        <w:t>to</w:t>
      </w:r>
      <w:r>
        <w:rPr>
          <w:spacing w:val="-1"/>
        </w:rPr>
        <w:t> </w:t>
      </w:r>
      <w:r>
        <w:rPr/>
        <w:t>infection</w:t>
      </w:r>
      <w:r>
        <w:rPr>
          <w:spacing w:val="-1"/>
        </w:rPr>
        <w:t> </w:t>
      </w:r>
      <w:r>
        <w:rPr/>
        <w:t>with</w:t>
      </w:r>
      <w:r>
        <w:rPr>
          <w:spacing w:val="-3"/>
        </w:rPr>
        <w:t> </w:t>
      </w:r>
      <w:r>
        <w:rPr/>
        <w:t>blood-</w:t>
      </w:r>
      <w:r>
        <w:rPr>
          <w:spacing w:val="-2"/>
        </w:rPr>
        <w:t> </w:t>
      </w:r>
      <w:r>
        <w:rPr/>
        <w:t>stage </w:t>
      </w:r>
      <w:r>
        <w:rPr>
          <w:i/>
        </w:rPr>
        <w:t>Plasmodium chabaudi </w:t>
      </w:r>
      <w:r>
        <w:rPr/>
        <w:t>AS”. </w:t>
      </w:r>
      <w:r>
        <w:rPr>
          <w:i/>
        </w:rPr>
        <w:t>Infection and Immunity</w:t>
      </w:r>
      <w:r>
        <w:rPr/>
        <w:t>; 58(</w:t>
      </w:r>
      <w:r>
        <w:rPr>
          <w:b/>
        </w:rPr>
        <w:t>10</w:t>
      </w:r>
      <w:r>
        <w:rPr/>
        <w:t>): 3225-3232.</w:t>
      </w:r>
    </w:p>
    <w:p>
      <w:pPr>
        <w:pStyle w:val="BodyText"/>
      </w:pPr>
    </w:p>
    <w:p>
      <w:pPr>
        <w:pStyle w:val="BodyText"/>
        <w:spacing w:before="1"/>
        <w:ind w:left="1280" w:right="795" w:hanging="720"/>
        <w:jc w:val="both"/>
        <w:rPr>
          <w:i/>
        </w:rPr>
      </w:pPr>
      <w:r>
        <w:rPr/>
        <w:t>Stoltzfus R. J. (1997) Serum ferritin, erythrocyte protoporphyrin and haemoglobin are valid indicators of Iron status of school children in a malaria-holoendemic population. </w:t>
      </w:r>
      <w:r>
        <w:rPr>
          <w:i/>
        </w:rPr>
        <w:t>Journal of Nutrition.</w:t>
      </w:r>
      <w:r>
        <w:rPr>
          <w:b/>
          <w:i/>
        </w:rPr>
        <w:t>127: </w:t>
      </w:r>
      <w:r>
        <w:rPr>
          <w:i/>
        </w:rPr>
        <w:t>293 – 298</w:t>
      </w:r>
    </w:p>
    <w:p>
      <w:pPr>
        <w:pStyle w:val="BodyText"/>
        <w:rPr>
          <w:i/>
        </w:rPr>
      </w:pPr>
    </w:p>
    <w:p>
      <w:pPr>
        <w:pStyle w:val="BodyText"/>
        <w:ind w:left="1280" w:right="795" w:hanging="720"/>
        <w:jc w:val="both"/>
      </w:pPr>
      <w:r>
        <w:rPr/>
        <w:t>Suguitan A. L., Cadigan, T.J., Nguyen, T.A., Zhou, A., Leke, R.J.I., Metenou, S., Thuita, L., Megnekou, R., Fogako, J., Leke, R.G.F. and Taylor, D.W. (2003). Cytokine changes in the placenta of women with pre-term deliveries in Yaoundé, Cameroon. </w:t>
      </w:r>
      <w:r>
        <w:rPr>
          <w:i/>
        </w:rPr>
        <w:t>American Journal of Tropical Medicine and Hygiene</w:t>
      </w:r>
      <w:r>
        <w:rPr/>
        <w:t>; 69(</w:t>
      </w:r>
      <w:r>
        <w:rPr>
          <w:b/>
        </w:rPr>
        <w:t>6</w:t>
      </w:r>
      <w:r>
        <w:rPr/>
        <w:t>): 574-581.</w:t>
      </w:r>
    </w:p>
    <w:p>
      <w:pPr>
        <w:pStyle w:val="BodyText"/>
      </w:pPr>
    </w:p>
    <w:p>
      <w:pPr>
        <w:spacing w:before="0"/>
        <w:ind w:left="1280" w:right="797" w:hanging="720"/>
        <w:jc w:val="both"/>
        <w:rPr>
          <w:sz w:val="24"/>
        </w:rPr>
      </w:pPr>
      <w:r>
        <w:rPr>
          <w:sz w:val="24"/>
        </w:rPr>
        <w:t>Suguitan,</w:t>
      </w:r>
      <w:r>
        <w:rPr>
          <w:spacing w:val="-1"/>
          <w:sz w:val="24"/>
        </w:rPr>
        <w:t> </w:t>
      </w:r>
      <w:r>
        <w:rPr>
          <w:sz w:val="24"/>
        </w:rPr>
        <w:t>A. L., Leke,</w:t>
      </w:r>
      <w:r>
        <w:rPr>
          <w:spacing w:val="-1"/>
          <w:sz w:val="24"/>
        </w:rPr>
        <w:t> </w:t>
      </w:r>
      <w:r>
        <w:rPr>
          <w:sz w:val="24"/>
        </w:rPr>
        <w:t>R.G.,</w:t>
      </w:r>
      <w:r>
        <w:rPr>
          <w:spacing w:val="-2"/>
          <w:sz w:val="24"/>
        </w:rPr>
        <w:t> </w:t>
      </w:r>
      <w:r>
        <w:rPr>
          <w:sz w:val="24"/>
        </w:rPr>
        <w:t>Fonda,</w:t>
      </w:r>
      <w:r>
        <w:rPr>
          <w:spacing w:val="-1"/>
          <w:sz w:val="24"/>
        </w:rPr>
        <w:t> </w:t>
      </w:r>
      <w:r>
        <w:rPr>
          <w:sz w:val="24"/>
        </w:rPr>
        <w:t>G.</w:t>
      </w:r>
      <w:r>
        <w:rPr>
          <w:spacing w:val="-2"/>
          <w:sz w:val="24"/>
        </w:rPr>
        <w:t> </w:t>
      </w:r>
      <w:r>
        <w:rPr>
          <w:sz w:val="24"/>
        </w:rPr>
        <w:t>et al.</w:t>
      </w:r>
      <w:r>
        <w:rPr>
          <w:spacing w:val="-1"/>
          <w:sz w:val="24"/>
        </w:rPr>
        <w:t> </w:t>
      </w:r>
      <w:r>
        <w:rPr>
          <w:sz w:val="24"/>
        </w:rPr>
        <w:t>(2003).</w:t>
      </w:r>
      <w:r>
        <w:rPr>
          <w:spacing w:val="-1"/>
          <w:sz w:val="24"/>
        </w:rPr>
        <w:t> </w:t>
      </w:r>
      <w:r>
        <w:rPr>
          <w:sz w:val="24"/>
        </w:rPr>
        <w:t>Changes</w:t>
      </w:r>
      <w:r>
        <w:rPr>
          <w:spacing w:val="-1"/>
          <w:sz w:val="24"/>
        </w:rPr>
        <w:t> </w:t>
      </w:r>
      <w:r>
        <w:rPr>
          <w:sz w:val="24"/>
        </w:rPr>
        <w:t>in</w:t>
      </w:r>
      <w:r>
        <w:rPr>
          <w:spacing w:val="-1"/>
          <w:sz w:val="24"/>
        </w:rPr>
        <w:t> </w:t>
      </w:r>
      <w:r>
        <w:rPr>
          <w:sz w:val="24"/>
        </w:rPr>
        <w:t>the</w:t>
      </w:r>
      <w:r>
        <w:rPr>
          <w:spacing w:val="-2"/>
          <w:sz w:val="24"/>
        </w:rPr>
        <w:t> </w:t>
      </w:r>
      <w:r>
        <w:rPr>
          <w:sz w:val="24"/>
        </w:rPr>
        <w:t>levels of</w:t>
      </w:r>
      <w:r>
        <w:rPr>
          <w:spacing w:val="-2"/>
          <w:sz w:val="24"/>
        </w:rPr>
        <w:t> </w:t>
      </w:r>
      <w:r>
        <w:rPr>
          <w:sz w:val="24"/>
        </w:rPr>
        <w:t>chemokines and cytokines in the placentas of women with </w:t>
      </w:r>
      <w:r>
        <w:rPr>
          <w:i/>
          <w:sz w:val="24"/>
        </w:rPr>
        <w:t>plasmodium falciparum </w:t>
      </w:r>
      <w:r>
        <w:rPr>
          <w:sz w:val="24"/>
        </w:rPr>
        <w:t>malaria.</w:t>
      </w:r>
      <w:r>
        <w:rPr>
          <w:i/>
          <w:sz w:val="24"/>
        </w:rPr>
        <w:t>Journal of Infectious Diseases</w:t>
      </w:r>
      <w:r>
        <w:rPr>
          <w:sz w:val="24"/>
        </w:rPr>
        <w:t>; 188(</w:t>
      </w:r>
      <w:r>
        <w:rPr>
          <w:b/>
          <w:sz w:val="24"/>
        </w:rPr>
        <w:t>7</w:t>
      </w:r>
      <w:r>
        <w:rPr>
          <w:sz w:val="24"/>
        </w:rPr>
        <w:t>): 1074-1082.</w:t>
      </w:r>
    </w:p>
    <w:p>
      <w:pPr>
        <w:pStyle w:val="BodyText"/>
        <w:spacing w:before="1"/>
      </w:pPr>
    </w:p>
    <w:p>
      <w:pPr>
        <w:pStyle w:val="BodyText"/>
        <w:ind w:left="1280" w:right="795" w:hanging="720"/>
        <w:jc w:val="both"/>
      </w:pPr>
      <w:r>
        <w:rPr/>
        <w:t>Suguitan, A. L., Cadigan, T.J., Nguyen, T.A., Zhoua, J.R.L., Metenou, S., Thuita, L., Megnekou,</w:t>
      </w:r>
      <w:r>
        <w:rPr>
          <w:spacing w:val="-1"/>
        </w:rPr>
        <w:t> </w:t>
      </w:r>
      <w:r>
        <w:rPr/>
        <w:t>R.,</w:t>
      </w:r>
      <w:r>
        <w:rPr>
          <w:spacing w:val="-1"/>
        </w:rPr>
        <w:t> </w:t>
      </w:r>
      <w:r>
        <w:rPr/>
        <w:t>Fagako,</w:t>
      </w:r>
      <w:r>
        <w:rPr>
          <w:spacing w:val="-1"/>
        </w:rPr>
        <w:t> </w:t>
      </w:r>
      <w:r>
        <w:rPr/>
        <w:t>R., Leke,</w:t>
      </w:r>
      <w:r>
        <w:rPr>
          <w:spacing w:val="-1"/>
        </w:rPr>
        <w:t> </w:t>
      </w:r>
      <w:r>
        <w:rPr/>
        <w:t>R.G.</w:t>
      </w:r>
      <w:r>
        <w:rPr>
          <w:spacing w:val="-2"/>
        </w:rPr>
        <w:t> </w:t>
      </w:r>
      <w:r>
        <w:rPr/>
        <w:t>and</w:t>
      </w:r>
      <w:r>
        <w:rPr>
          <w:spacing w:val="-1"/>
        </w:rPr>
        <w:t> </w:t>
      </w:r>
      <w:r>
        <w:rPr/>
        <w:t>Taylor,</w:t>
      </w:r>
      <w:r>
        <w:rPr>
          <w:spacing w:val="-2"/>
        </w:rPr>
        <w:t> </w:t>
      </w:r>
      <w:r>
        <w:rPr/>
        <w:t>W.D.</w:t>
      </w:r>
      <w:r>
        <w:rPr>
          <w:spacing w:val="-2"/>
        </w:rPr>
        <w:t> </w:t>
      </w:r>
      <w:r>
        <w:rPr/>
        <w:t>(2003).</w:t>
      </w:r>
      <w:r>
        <w:rPr>
          <w:spacing w:val="-2"/>
        </w:rPr>
        <w:t> </w:t>
      </w:r>
      <w:r>
        <w:rPr/>
        <w:t>Cytokine Changes</w:t>
      </w:r>
      <w:r>
        <w:rPr>
          <w:spacing w:val="-1"/>
        </w:rPr>
        <w:t> </w:t>
      </w:r>
      <w:r>
        <w:rPr/>
        <w:t>in the placenta of women with pre-term deliveries in Yaounde, Cameroon. </w:t>
      </w:r>
      <w:r>
        <w:rPr>
          <w:i/>
        </w:rPr>
        <w:t>American Journal of Tropical Medicine and Hygiene. </w:t>
      </w:r>
      <w:r>
        <w:rPr/>
        <w:t>69(</w:t>
      </w:r>
      <w:r>
        <w:rPr>
          <w:b/>
        </w:rPr>
        <w:t>6</w:t>
      </w:r>
      <w:r>
        <w:rPr/>
        <w:t>): 574-581.</w:t>
      </w:r>
    </w:p>
    <w:p>
      <w:pPr>
        <w:pStyle w:val="BodyText"/>
      </w:pPr>
    </w:p>
    <w:p>
      <w:pPr>
        <w:spacing w:before="0"/>
        <w:ind w:left="1280" w:right="827" w:hanging="720"/>
        <w:jc w:val="left"/>
        <w:rPr>
          <w:sz w:val="24"/>
        </w:rPr>
      </w:pPr>
      <w:r>
        <w:rPr>
          <w:sz w:val="24"/>
        </w:rPr>
        <w:t>Szekeres–Bartho,</w:t>
      </w:r>
      <w:r>
        <w:rPr>
          <w:spacing w:val="-4"/>
          <w:sz w:val="24"/>
        </w:rPr>
        <w:t> </w:t>
      </w:r>
      <w:r>
        <w:rPr>
          <w:sz w:val="24"/>
        </w:rPr>
        <w:t>J.</w:t>
      </w:r>
      <w:r>
        <w:rPr>
          <w:spacing w:val="-4"/>
          <w:sz w:val="24"/>
        </w:rPr>
        <w:t> </w:t>
      </w:r>
      <w:r>
        <w:rPr>
          <w:sz w:val="24"/>
        </w:rPr>
        <w:t>and</w:t>
      </w:r>
      <w:r>
        <w:rPr>
          <w:spacing w:val="-4"/>
          <w:sz w:val="24"/>
        </w:rPr>
        <w:t> </w:t>
      </w:r>
      <w:r>
        <w:rPr>
          <w:sz w:val="24"/>
        </w:rPr>
        <w:t>Wegmann,</w:t>
      </w:r>
      <w:r>
        <w:rPr>
          <w:spacing w:val="-4"/>
          <w:sz w:val="24"/>
        </w:rPr>
        <w:t> </w:t>
      </w:r>
      <w:r>
        <w:rPr>
          <w:sz w:val="24"/>
        </w:rPr>
        <w:t>T.</w:t>
      </w:r>
      <w:r>
        <w:rPr>
          <w:spacing w:val="-4"/>
          <w:sz w:val="24"/>
        </w:rPr>
        <w:t> </w:t>
      </w:r>
      <w:r>
        <w:rPr>
          <w:sz w:val="24"/>
        </w:rPr>
        <w:t>G.</w:t>
      </w:r>
      <w:r>
        <w:rPr>
          <w:spacing w:val="-4"/>
          <w:sz w:val="24"/>
        </w:rPr>
        <w:t> </w:t>
      </w:r>
      <w:r>
        <w:rPr>
          <w:sz w:val="24"/>
        </w:rPr>
        <w:t>(1996).</w:t>
      </w:r>
      <w:r>
        <w:rPr>
          <w:spacing w:val="-2"/>
          <w:sz w:val="24"/>
        </w:rPr>
        <w:t> </w:t>
      </w:r>
      <w:r>
        <w:rPr>
          <w:sz w:val="24"/>
        </w:rPr>
        <w:t>A</w:t>
      </w:r>
      <w:r>
        <w:rPr>
          <w:spacing w:val="-4"/>
          <w:sz w:val="24"/>
        </w:rPr>
        <w:t> </w:t>
      </w:r>
      <w:r>
        <w:rPr>
          <w:sz w:val="24"/>
        </w:rPr>
        <w:t>progesterone</w:t>
      </w:r>
      <w:r>
        <w:rPr>
          <w:spacing w:val="-5"/>
          <w:sz w:val="24"/>
        </w:rPr>
        <w:t> </w:t>
      </w:r>
      <w:r>
        <w:rPr>
          <w:sz w:val="24"/>
        </w:rPr>
        <w:t>dependent</w:t>
      </w:r>
      <w:r>
        <w:rPr>
          <w:spacing w:val="-4"/>
          <w:sz w:val="24"/>
        </w:rPr>
        <w:t> </w:t>
      </w:r>
      <w:r>
        <w:rPr>
          <w:sz w:val="24"/>
        </w:rPr>
        <w:t>immunodulatory protein alters the T</w:t>
      </w:r>
      <w:r>
        <w:rPr>
          <w:sz w:val="24"/>
          <w:vertAlign w:val="subscript"/>
        </w:rPr>
        <w:t>H</w:t>
      </w:r>
      <w:r>
        <w:rPr>
          <w:sz w:val="24"/>
          <w:vertAlign w:val="baseline"/>
        </w:rPr>
        <w:t>1/T</w:t>
      </w:r>
      <w:r>
        <w:rPr>
          <w:sz w:val="24"/>
          <w:vertAlign w:val="subscript"/>
        </w:rPr>
        <w:t>H</w:t>
      </w:r>
      <w:r>
        <w:rPr>
          <w:sz w:val="24"/>
          <w:vertAlign w:val="baseline"/>
        </w:rPr>
        <w:t>2 balance</w:t>
      </w:r>
      <w:r>
        <w:rPr>
          <w:i/>
          <w:sz w:val="24"/>
          <w:vertAlign w:val="baseline"/>
        </w:rPr>
        <w:t>. Journal of reproductive Immunology</w:t>
      </w:r>
      <w:r>
        <w:rPr>
          <w:sz w:val="24"/>
          <w:vertAlign w:val="baseline"/>
        </w:rPr>
        <w:t>: 31</w:t>
      </w:r>
      <w:r>
        <w:rPr>
          <w:b/>
          <w:sz w:val="24"/>
          <w:vertAlign w:val="baseline"/>
        </w:rPr>
        <w:t>(1-2): </w:t>
      </w:r>
      <w:r>
        <w:rPr>
          <w:sz w:val="24"/>
          <w:vertAlign w:val="baseline"/>
        </w:rPr>
        <w:t>81 – 95</w:t>
      </w:r>
    </w:p>
    <w:p>
      <w:pPr>
        <w:pStyle w:val="BodyText"/>
      </w:pPr>
    </w:p>
    <w:p>
      <w:pPr>
        <w:pStyle w:val="BodyText"/>
        <w:ind w:left="1280" w:right="795" w:hanging="720"/>
      </w:pPr>
      <w:r>
        <w:rPr/>
        <w:t>Szoba, S. J., Sullivan, B. M., Peng, S. I. and Glimcher, L. H. (2003) Molecular mechanisms regulating T</w:t>
      </w:r>
      <w:r>
        <w:rPr>
          <w:vertAlign w:val="subscript"/>
        </w:rPr>
        <w:t>H</w:t>
      </w:r>
      <w:r>
        <w:rPr>
          <w:vertAlign w:val="baseline"/>
        </w:rPr>
        <w:t>1 Immune Responses.</w:t>
      </w:r>
      <w:r>
        <w:rPr>
          <w:spacing w:val="40"/>
          <w:vertAlign w:val="baseline"/>
        </w:rPr>
        <w:t> </w:t>
      </w:r>
      <w:r>
        <w:rPr>
          <w:i/>
          <w:vertAlign w:val="baseline"/>
        </w:rPr>
        <w:t>Annual Revies of Immunology; </w:t>
      </w:r>
      <w:r>
        <w:rPr>
          <w:vertAlign w:val="baseline"/>
        </w:rPr>
        <w:t>21; 713 - 758</w:t>
      </w:r>
    </w:p>
    <w:p>
      <w:pPr>
        <w:pStyle w:val="BodyText"/>
      </w:pPr>
    </w:p>
    <w:p>
      <w:pPr>
        <w:spacing w:before="0"/>
        <w:ind w:left="1280" w:right="0" w:hanging="720"/>
        <w:jc w:val="left"/>
        <w:rPr>
          <w:sz w:val="24"/>
        </w:rPr>
      </w:pPr>
      <w:r>
        <w:rPr>
          <w:sz w:val="24"/>
        </w:rPr>
        <w:t>Takem, E.N. and D‟Alessandro, U. (2013).Malaria in pregnancy.</w:t>
      </w:r>
      <w:r>
        <w:rPr>
          <w:i/>
          <w:sz w:val="24"/>
        </w:rPr>
        <w:t>Mediterranean Journal of</w:t>
      </w:r>
      <w:r>
        <w:rPr>
          <w:i/>
          <w:spacing w:val="40"/>
          <w:sz w:val="24"/>
        </w:rPr>
        <w:t> </w:t>
      </w:r>
      <w:r>
        <w:rPr>
          <w:i/>
          <w:sz w:val="24"/>
        </w:rPr>
        <w:t>Haematology and Infectious Diseases</w:t>
      </w:r>
      <w:r>
        <w:rPr>
          <w:sz w:val="24"/>
        </w:rPr>
        <w:t>; 5: e2013010.</w:t>
      </w:r>
    </w:p>
    <w:p>
      <w:pPr>
        <w:spacing w:after="0"/>
        <w:jc w:val="left"/>
        <w:rPr>
          <w:sz w:val="24"/>
        </w:rPr>
        <w:sectPr>
          <w:pgSz w:w="11910" w:h="16840"/>
          <w:pgMar w:header="0" w:footer="1067" w:top="1060" w:bottom="1260" w:left="880" w:right="640"/>
        </w:sectPr>
      </w:pPr>
    </w:p>
    <w:p>
      <w:pPr>
        <w:pStyle w:val="BodyText"/>
        <w:spacing w:before="70"/>
        <w:ind w:left="1280" w:right="801" w:hanging="720"/>
        <w:jc w:val="both"/>
      </w:pPr>
      <w:r>
        <w:rPr/>
        <w:t>Tay, S.C.K., Agboli, E., Abruquah, H.H. and Walana, W. (2013).Malaria and anaemia in pregnant and non-pregnant women of child-bearing age at the University hospital, Kumasi, Ghana.</w:t>
      </w:r>
      <w:r>
        <w:rPr>
          <w:i/>
        </w:rPr>
        <w:t>Open Journal of Medical Microbiology</w:t>
      </w:r>
      <w:r>
        <w:rPr/>
        <w:t>; 3: 193-200.</w:t>
      </w:r>
    </w:p>
    <w:p>
      <w:pPr>
        <w:pStyle w:val="BodyText"/>
      </w:pPr>
    </w:p>
    <w:p>
      <w:pPr>
        <w:pStyle w:val="BodyText"/>
        <w:spacing w:before="1"/>
        <w:ind w:left="1280" w:right="794" w:hanging="720"/>
        <w:jc w:val="both"/>
      </w:pPr>
      <w:r>
        <w:rPr/>
        <w:t>Taylor, M. J., Cross, H. F. and Bilo, K. (2000). Inflammatory responses induced by the</w:t>
      </w:r>
      <w:r>
        <w:rPr>
          <w:spacing w:val="40"/>
        </w:rPr>
        <w:t> </w:t>
      </w:r>
      <w:r>
        <w:rPr/>
        <w:t>filarial nematode </w:t>
      </w:r>
      <w:r>
        <w:rPr>
          <w:i/>
        </w:rPr>
        <w:t>Brugia Malayi </w:t>
      </w:r>
      <w:r>
        <w:rPr/>
        <w:t>are mediated by Lipopolysaccharide-like activity from endosymbiotic Wolbachia bacteria. </w:t>
      </w:r>
      <w:r>
        <w:rPr>
          <w:i/>
        </w:rPr>
        <w:t>Journal of Experimental Medicine</w:t>
      </w:r>
      <w:r>
        <w:rPr/>
        <w:t>; 191(8): 1429- 1436.</w:t>
      </w:r>
    </w:p>
    <w:p>
      <w:pPr>
        <w:pStyle w:val="BodyText"/>
        <w:spacing w:before="276"/>
        <w:ind w:left="1280" w:right="799" w:hanging="720"/>
        <w:jc w:val="both"/>
      </w:pPr>
      <w:r>
        <w:rPr/>
        <w:t>Tayrab E, Hamid A, Idriss HM, Mahmoud G (2013).Serum Copper and Iron Status in Pregnant Women with Iron Deficiency Anemia.</w:t>
      </w:r>
      <w:r>
        <w:rPr>
          <w:i/>
        </w:rPr>
        <w:t>Journal of Physiobiochemical Metabolism</w:t>
      </w:r>
      <w:r>
        <w:rPr/>
        <w:t>.2:2. doi:10.4172/2324-8793.1000111</w:t>
      </w:r>
    </w:p>
    <w:p>
      <w:pPr>
        <w:spacing w:before="207"/>
        <w:ind w:left="1280" w:right="951" w:hanging="720"/>
        <w:jc w:val="left"/>
        <w:rPr>
          <w:sz w:val="24"/>
        </w:rPr>
      </w:pPr>
      <w:r>
        <w:rPr>
          <w:sz w:val="24"/>
        </w:rPr>
        <w:t>Ter-Kuile, M. M., Both, S., Van Lankveld, J. J. D. M. (2010).Cognitive behavioral therapy for</w:t>
      </w:r>
      <w:r>
        <w:rPr>
          <w:spacing w:val="-6"/>
          <w:sz w:val="24"/>
        </w:rPr>
        <w:t> </w:t>
      </w:r>
      <w:r>
        <w:rPr>
          <w:sz w:val="24"/>
        </w:rPr>
        <w:t>sexual</w:t>
      </w:r>
      <w:r>
        <w:rPr>
          <w:spacing w:val="-4"/>
          <w:sz w:val="24"/>
        </w:rPr>
        <w:t> </w:t>
      </w:r>
      <w:r>
        <w:rPr>
          <w:sz w:val="24"/>
        </w:rPr>
        <w:t>dysfunctions</w:t>
      </w:r>
      <w:r>
        <w:rPr>
          <w:spacing w:val="-4"/>
          <w:sz w:val="24"/>
        </w:rPr>
        <w:t> </w:t>
      </w:r>
      <w:r>
        <w:rPr>
          <w:sz w:val="24"/>
        </w:rPr>
        <w:t>in</w:t>
      </w:r>
      <w:r>
        <w:rPr>
          <w:spacing w:val="-4"/>
          <w:sz w:val="24"/>
        </w:rPr>
        <w:t> </w:t>
      </w:r>
      <w:r>
        <w:rPr>
          <w:sz w:val="24"/>
        </w:rPr>
        <w:t>women.</w:t>
      </w:r>
      <w:r>
        <w:rPr>
          <w:i/>
          <w:sz w:val="24"/>
        </w:rPr>
        <w:t>Psychiatric</w:t>
      </w:r>
      <w:r>
        <w:rPr>
          <w:i/>
          <w:spacing w:val="-4"/>
          <w:sz w:val="24"/>
        </w:rPr>
        <w:t> </w:t>
      </w:r>
      <w:r>
        <w:rPr>
          <w:i/>
          <w:sz w:val="24"/>
        </w:rPr>
        <w:t>Clinics</w:t>
      </w:r>
      <w:r>
        <w:rPr>
          <w:i/>
          <w:spacing w:val="-4"/>
          <w:sz w:val="24"/>
        </w:rPr>
        <w:t> </w:t>
      </w:r>
      <w:r>
        <w:rPr>
          <w:i/>
          <w:sz w:val="24"/>
        </w:rPr>
        <w:t>of</w:t>
      </w:r>
      <w:r>
        <w:rPr>
          <w:i/>
          <w:spacing w:val="-4"/>
          <w:sz w:val="24"/>
        </w:rPr>
        <w:t> </w:t>
      </w:r>
      <w:r>
        <w:rPr>
          <w:i/>
          <w:sz w:val="24"/>
        </w:rPr>
        <w:t>North</w:t>
      </w:r>
      <w:r>
        <w:rPr>
          <w:i/>
          <w:spacing w:val="-4"/>
          <w:sz w:val="24"/>
        </w:rPr>
        <w:t> </w:t>
      </w:r>
      <w:r>
        <w:rPr>
          <w:i/>
          <w:sz w:val="24"/>
        </w:rPr>
        <w:t>America</w:t>
      </w:r>
      <w:r>
        <w:rPr>
          <w:sz w:val="24"/>
        </w:rPr>
        <w:t>;</w:t>
      </w:r>
      <w:r>
        <w:rPr>
          <w:spacing w:val="-4"/>
          <w:sz w:val="24"/>
        </w:rPr>
        <w:t> </w:t>
      </w:r>
      <w:r>
        <w:rPr>
          <w:sz w:val="24"/>
        </w:rPr>
        <w:t>33(3):</w:t>
      </w:r>
      <w:r>
        <w:rPr>
          <w:spacing w:val="-4"/>
          <w:sz w:val="24"/>
        </w:rPr>
        <w:t> </w:t>
      </w:r>
      <w:r>
        <w:rPr>
          <w:sz w:val="24"/>
        </w:rPr>
        <w:t>595- </w:t>
      </w:r>
      <w:r>
        <w:rPr>
          <w:spacing w:val="-4"/>
          <w:sz w:val="24"/>
        </w:rPr>
        <w:t>610.</w:t>
      </w:r>
    </w:p>
    <w:p>
      <w:pPr>
        <w:pStyle w:val="BodyText"/>
      </w:pPr>
    </w:p>
    <w:p>
      <w:pPr>
        <w:pStyle w:val="BodyText"/>
        <w:ind w:left="1280" w:right="797" w:hanging="720"/>
        <w:jc w:val="both"/>
      </w:pPr>
      <w:r>
        <w:rPr/>
        <w:t>Ter-Kuile, F.O., Parise, M.E., Verhoeff, F.H., Udhaya, K.V., Newman, R. D., Van Eijk,</w:t>
      </w:r>
      <w:r>
        <w:rPr>
          <w:spacing w:val="40"/>
        </w:rPr>
        <w:t> </w:t>
      </w:r>
      <w:r>
        <w:rPr/>
        <w:t>A.M., Rogerson, S.J. and Steketee, R.W. (2004). The burden of co-infection with human immunodeficiency virus type-1 and malaria in pregnancy in sub-saharan Africa.</w:t>
      </w:r>
      <w:r>
        <w:rPr>
          <w:i/>
        </w:rPr>
        <w:t>American Journal of Tropical Medicine and Hygiene</w:t>
      </w:r>
      <w:r>
        <w:rPr/>
        <w:t>; 71(</w:t>
      </w:r>
      <w:r>
        <w:rPr>
          <w:b/>
        </w:rPr>
        <w:t>2</w:t>
      </w:r>
      <w:r>
        <w:rPr/>
        <w:t>): 41-54.</w:t>
      </w:r>
    </w:p>
    <w:p>
      <w:pPr>
        <w:pStyle w:val="BodyText"/>
      </w:pPr>
    </w:p>
    <w:p>
      <w:pPr>
        <w:pStyle w:val="BodyText"/>
        <w:ind w:left="1280" w:right="797" w:hanging="720"/>
        <w:jc w:val="both"/>
      </w:pPr>
      <w:r>
        <w:rPr/>
        <w:t>Testa, N. G. and Dexter, T. M. (2001).The regulation of haemopoietic cell production.In Post Graudate Haematology. Eds Hoffbrand A. V., Lewis S. M. and Tuddenham E.G.D. 4</w:t>
      </w:r>
      <w:r>
        <w:rPr>
          <w:vertAlign w:val="superscript"/>
        </w:rPr>
        <w:t>th</w:t>
      </w:r>
      <w:r>
        <w:rPr>
          <w:vertAlign w:val="baseline"/>
        </w:rPr>
        <w:t>edn. OxfordUniversity Press. United States of America Pp: 1 – 12</w:t>
      </w:r>
    </w:p>
    <w:p>
      <w:pPr>
        <w:pStyle w:val="BodyText"/>
      </w:pPr>
    </w:p>
    <w:p>
      <w:pPr>
        <w:spacing w:before="0"/>
        <w:ind w:left="1280" w:right="0" w:hanging="720"/>
        <w:jc w:val="left"/>
        <w:rPr>
          <w:sz w:val="24"/>
        </w:rPr>
      </w:pPr>
      <w:r>
        <w:rPr>
          <w:sz w:val="24"/>
        </w:rPr>
        <w:t>Tolo,</w:t>
      </w:r>
      <w:r>
        <w:rPr>
          <w:spacing w:val="80"/>
          <w:sz w:val="24"/>
        </w:rPr>
        <w:t> </w:t>
      </w:r>
      <w:r>
        <w:rPr>
          <w:sz w:val="24"/>
        </w:rPr>
        <w:t>R.</w:t>
      </w:r>
      <w:r>
        <w:rPr>
          <w:spacing w:val="80"/>
          <w:sz w:val="24"/>
        </w:rPr>
        <w:t> </w:t>
      </w:r>
      <w:r>
        <w:rPr>
          <w:sz w:val="24"/>
        </w:rPr>
        <w:t>D.</w:t>
      </w:r>
      <w:r>
        <w:rPr>
          <w:spacing w:val="80"/>
          <w:sz w:val="24"/>
        </w:rPr>
        <w:t> </w:t>
      </w:r>
      <w:r>
        <w:rPr>
          <w:sz w:val="24"/>
        </w:rPr>
        <w:t>(2003).</w:t>
      </w:r>
      <w:r>
        <w:rPr>
          <w:spacing w:val="80"/>
          <w:sz w:val="24"/>
        </w:rPr>
        <w:t> </w:t>
      </w:r>
      <w:r>
        <w:rPr>
          <w:sz w:val="24"/>
        </w:rPr>
        <w:t>Anaemia</w:t>
      </w:r>
      <w:r>
        <w:rPr>
          <w:spacing w:val="79"/>
          <w:sz w:val="24"/>
        </w:rPr>
        <w:t> </w:t>
      </w:r>
      <w:r>
        <w:rPr>
          <w:sz w:val="24"/>
        </w:rPr>
        <w:t>of</w:t>
      </w:r>
      <w:r>
        <w:rPr>
          <w:spacing w:val="80"/>
          <w:sz w:val="24"/>
        </w:rPr>
        <w:t> </w:t>
      </w:r>
      <w:r>
        <w:rPr>
          <w:sz w:val="24"/>
        </w:rPr>
        <w:t>Chronic</w:t>
      </w:r>
      <w:r>
        <w:rPr>
          <w:spacing w:val="80"/>
          <w:sz w:val="24"/>
        </w:rPr>
        <w:t> </w:t>
      </w:r>
      <w:r>
        <w:rPr>
          <w:sz w:val="24"/>
        </w:rPr>
        <w:t>Diseases:</w:t>
      </w:r>
      <w:r>
        <w:rPr>
          <w:spacing w:val="80"/>
          <w:sz w:val="24"/>
        </w:rPr>
        <w:t> </w:t>
      </w:r>
      <w:r>
        <w:rPr>
          <w:sz w:val="24"/>
        </w:rPr>
        <w:t>Past,</w:t>
      </w:r>
      <w:r>
        <w:rPr>
          <w:spacing w:val="80"/>
          <w:sz w:val="24"/>
        </w:rPr>
        <w:t> </w:t>
      </w:r>
      <w:r>
        <w:rPr>
          <w:sz w:val="24"/>
        </w:rPr>
        <w:t>Present</w:t>
      </w:r>
      <w:r>
        <w:rPr>
          <w:spacing w:val="80"/>
          <w:sz w:val="24"/>
        </w:rPr>
        <w:t> </w:t>
      </w:r>
      <w:r>
        <w:rPr>
          <w:sz w:val="24"/>
        </w:rPr>
        <w:t>and</w:t>
      </w:r>
      <w:r>
        <w:rPr>
          <w:spacing w:val="80"/>
          <w:sz w:val="24"/>
        </w:rPr>
        <w:t> </w:t>
      </w:r>
      <w:r>
        <w:rPr>
          <w:sz w:val="24"/>
        </w:rPr>
        <w:t>Future.</w:t>
      </w:r>
      <w:r>
        <w:rPr>
          <w:spacing w:val="80"/>
          <w:sz w:val="24"/>
        </w:rPr>
        <w:t> </w:t>
      </w:r>
      <w:r>
        <w:rPr>
          <w:i/>
          <w:sz w:val="24"/>
        </w:rPr>
        <w:t>Kidney International.</w:t>
      </w:r>
      <w:r>
        <w:rPr>
          <w:sz w:val="24"/>
        </w:rPr>
        <w:t>64</w:t>
      </w:r>
      <w:r>
        <w:rPr>
          <w:b/>
          <w:sz w:val="24"/>
        </w:rPr>
        <w:t>(87): </w:t>
      </w:r>
      <w:r>
        <w:rPr>
          <w:sz w:val="24"/>
        </w:rPr>
        <w:t>20 – 23</w:t>
      </w:r>
    </w:p>
    <w:p>
      <w:pPr>
        <w:pStyle w:val="BodyText"/>
      </w:pPr>
    </w:p>
    <w:p>
      <w:pPr>
        <w:spacing w:before="0"/>
        <w:ind w:left="1280" w:right="794" w:hanging="720"/>
        <w:jc w:val="both"/>
        <w:rPr>
          <w:sz w:val="24"/>
        </w:rPr>
      </w:pPr>
      <w:r>
        <w:rPr>
          <w:sz w:val="24"/>
        </w:rPr>
        <w:t>Torre, D., Speranza, F., Giola, M., Matteelli, A., Tambini, R. and Gilberto, B. (2002).Role of T</w:t>
      </w:r>
      <w:r>
        <w:rPr>
          <w:sz w:val="24"/>
          <w:vertAlign w:val="subscript"/>
        </w:rPr>
        <w:t>H</w:t>
      </w:r>
      <w:r>
        <w:rPr>
          <w:sz w:val="24"/>
          <w:vertAlign w:val="baseline"/>
        </w:rPr>
        <w:t>1 and T</w:t>
      </w:r>
      <w:r>
        <w:rPr>
          <w:sz w:val="24"/>
          <w:vertAlign w:val="subscript"/>
        </w:rPr>
        <w:t>H</w:t>
      </w:r>
      <w:r>
        <w:rPr>
          <w:sz w:val="24"/>
          <w:vertAlign w:val="baseline"/>
        </w:rPr>
        <w:t>2 cytokines in Immune Response to uncomplicated malaria.</w:t>
      </w:r>
      <w:r>
        <w:rPr>
          <w:i/>
          <w:sz w:val="24"/>
          <w:vertAlign w:val="baseline"/>
        </w:rPr>
        <w:t>Clinical and Diagnostic Laboratory Immunology. </w:t>
      </w:r>
      <w:r>
        <w:rPr>
          <w:sz w:val="24"/>
          <w:vertAlign w:val="baseline"/>
        </w:rPr>
        <w:t>Vol. 9</w:t>
      </w:r>
      <w:r>
        <w:rPr>
          <w:b/>
          <w:sz w:val="24"/>
          <w:vertAlign w:val="baseline"/>
        </w:rPr>
        <w:t>(2)</w:t>
      </w:r>
      <w:r>
        <w:rPr>
          <w:sz w:val="24"/>
          <w:vertAlign w:val="baseline"/>
        </w:rPr>
        <w:t>: 348 – 351</w:t>
      </w:r>
    </w:p>
    <w:p>
      <w:pPr>
        <w:pStyle w:val="BodyText"/>
      </w:pPr>
    </w:p>
    <w:p>
      <w:pPr>
        <w:spacing w:before="1"/>
        <w:ind w:left="1280" w:right="795" w:hanging="720"/>
        <w:jc w:val="both"/>
        <w:rPr>
          <w:sz w:val="24"/>
        </w:rPr>
      </w:pPr>
      <w:r>
        <w:rPr>
          <w:sz w:val="24"/>
        </w:rPr>
        <w:t>Toure, F.S., Bisseye, C. and Mavoungou, E. (2006). Imbalanced distribution of </w:t>
      </w:r>
      <w:r>
        <w:rPr>
          <w:i/>
          <w:sz w:val="24"/>
        </w:rPr>
        <w:t>plasmodium falciparum </w:t>
      </w:r>
      <w:r>
        <w:rPr>
          <w:sz w:val="24"/>
        </w:rPr>
        <w:t>EBA-175 genotypes related to clinical status in children from Bakoumba, Gabon. </w:t>
      </w:r>
      <w:r>
        <w:rPr>
          <w:i/>
          <w:sz w:val="24"/>
        </w:rPr>
        <w:t>Clinical Medicine and Research</w:t>
      </w:r>
      <w:r>
        <w:rPr>
          <w:sz w:val="24"/>
        </w:rPr>
        <w:t>; 4(</w:t>
      </w:r>
      <w:r>
        <w:rPr>
          <w:b/>
          <w:sz w:val="24"/>
        </w:rPr>
        <w:t>1</w:t>
      </w:r>
      <w:r>
        <w:rPr>
          <w:sz w:val="24"/>
        </w:rPr>
        <w:t>): 7-11.</w:t>
      </w:r>
    </w:p>
    <w:p>
      <w:pPr>
        <w:pStyle w:val="BodyText"/>
      </w:pPr>
    </w:p>
    <w:p>
      <w:pPr>
        <w:spacing w:before="0"/>
        <w:ind w:left="1280" w:right="793" w:hanging="720"/>
        <w:jc w:val="both"/>
        <w:rPr>
          <w:sz w:val="24"/>
        </w:rPr>
      </w:pPr>
      <w:r>
        <w:rPr>
          <w:sz w:val="24"/>
        </w:rPr>
        <w:t>Ukaga, C.N., Nwoke, B.E.B., Udujih, O.S., Udujih, O.G., Ohaeri, A.A.,</w:t>
      </w:r>
      <w:r>
        <w:rPr>
          <w:spacing w:val="40"/>
          <w:sz w:val="24"/>
        </w:rPr>
        <w:t> </w:t>
      </w:r>
      <w:r>
        <w:rPr>
          <w:sz w:val="24"/>
        </w:rPr>
        <w:t>Anosike, J.C., Udujih, B.U. and Nwachukwu, M.I. (2007). Placental malaria in Owerri, Imo State, South- Eastern Nigeria.</w:t>
      </w:r>
      <w:r>
        <w:rPr>
          <w:i/>
          <w:sz w:val="24"/>
        </w:rPr>
        <w:t>Tanzania Health Research Bulletin, Health Users Trust Fund</w:t>
      </w:r>
      <w:r>
        <w:rPr>
          <w:sz w:val="24"/>
        </w:rPr>
        <w:t>. 9(</w:t>
      </w:r>
      <w:r>
        <w:rPr>
          <w:b/>
          <w:sz w:val="24"/>
        </w:rPr>
        <w:t>3</w:t>
      </w:r>
      <w:r>
        <w:rPr>
          <w:sz w:val="24"/>
        </w:rPr>
        <w:t>): 180-185.</w:t>
      </w:r>
    </w:p>
    <w:p>
      <w:pPr>
        <w:spacing w:before="185"/>
        <w:ind w:left="1280" w:right="795" w:hanging="720"/>
        <w:jc w:val="left"/>
        <w:rPr>
          <w:sz w:val="24"/>
        </w:rPr>
      </w:pPr>
      <w:r>
        <w:rPr>
          <w:sz w:val="24"/>
        </w:rPr>
        <w:t>Uneke, C.J. (2007). Impact of placental plasmodium falciparum on pregnancy and perinatal outcome in sub-saharan Africa.</w:t>
      </w:r>
      <w:r>
        <w:rPr>
          <w:i/>
          <w:sz w:val="24"/>
        </w:rPr>
        <w:t>Yale Journal of Biology and Medicine</w:t>
      </w:r>
      <w:r>
        <w:rPr>
          <w:sz w:val="24"/>
        </w:rPr>
        <w:t>; 80(</w:t>
      </w:r>
      <w:r>
        <w:rPr>
          <w:b/>
          <w:sz w:val="24"/>
        </w:rPr>
        <w:t>3</w:t>
      </w:r>
      <w:r>
        <w:rPr>
          <w:sz w:val="24"/>
        </w:rPr>
        <w:t>): 95-103.</w:t>
      </w:r>
    </w:p>
    <w:p>
      <w:pPr>
        <w:pStyle w:val="BodyText"/>
        <w:spacing w:before="183"/>
        <w:ind w:left="1280" w:right="796" w:hanging="720"/>
        <w:jc w:val="both"/>
      </w:pPr>
      <w:r>
        <w:rPr/>
        <w:t>Uneke, C.J., Adeoye, S., Iyare, F.E., Ugwuja, E.I. and Duhlinska, D.D. (2007). Impact of maternal plasmodium </w:t>
      </w:r>
      <w:r>
        <w:rPr>
          <w:i/>
        </w:rPr>
        <w:t>falciparum malaria </w:t>
      </w:r>
      <w:r>
        <w:rPr/>
        <w:t>and haematological parameters on pregnancy</w:t>
      </w:r>
      <w:r>
        <w:rPr>
          <w:spacing w:val="-4"/>
        </w:rPr>
        <w:t> </w:t>
      </w:r>
      <w:r>
        <w:rPr/>
        <w:t>and</w:t>
      </w:r>
      <w:r>
        <w:rPr>
          <w:spacing w:val="-1"/>
        </w:rPr>
        <w:t> </w:t>
      </w:r>
      <w:r>
        <w:rPr/>
        <w:t>its</w:t>
      </w:r>
      <w:r>
        <w:rPr>
          <w:spacing w:val="-1"/>
        </w:rPr>
        <w:t> </w:t>
      </w:r>
      <w:r>
        <w:rPr/>
        <w:t>outcome</w:t>
      </w:r>
      <w:r>
        <w:rPr>
          <w:spacing w:val="-2"/>
        </w:rPr>
        <w:t> </w:t>
      </w:r>
      <w:r>
        <w:rPr/>
        <w:t>in</w:t>
      </w:r>
      <w:r>
        <w:rPr>
          <w:spacing w:val="-1"/>
        </w:rPr>
        <w:t> </w:t>
      </w:r>
      <w:r>
        <w:rPr/>
        <w:t>Southeastern</w:t>
      </w:r>
      <w:r>
        <w:rPr>
          <w:spacing w:val="-1"/>
        </w:rPr>
        <w:t> </w:t>
      </w:r>
      <w:r>
        <w:rPr/>
        <w:t>Nigeria.</w:t>
      </w:r>
      <w:r>
        <w:rPr>
          <w:i/>
        </w:rPr>
        <w:t>Journal</w:t>
      </w:r>
      <w:r>
        <w:rPr>
          <w:i/>
          <w:spacing w:val="-1"/>
        </w:rPr>
        <w:t> </w:t>
      </w:r>
      <w:r>
        <w:rPr>
          <w:i/>
        </w:rPr>
        <w:t>of</w:t>
      </w:r>
      <w:r>
        <w:rPr>
          <w:i/>
          <w:spacing w:val="-1"/>
        </w:rPr>
        <w:t> </w:t>
      </w:r>
      <w:r>
        <w:rPr>
          <w:i/>
        </w:rPr>
        <w:t>Vector</w:t>
      </w:r>
      <w:r>
        <w:rPr>
          <w:i/>
          <w:spacing w:val="-1"/>
        </w:rPr>
        <w:t> </w:t>
      </w:r>
      <w:r>
        <w:rPr>
          <w:i/>
        </w:rPr>
        <w:t>Borne</w:t>
      </w:r>
      <w:r>
        <w:rPr>
          <w:i/>
          <w:spacing w:val="-2"/>
        </w:rPr>
        <w:t> </w:t>
      </w:r>
      <w:r>
        <w:rPr>
          <w:i/>
        </w:rPr>
        <w:t>Diseases</w:t>
      </w:r>
      <w:r>
        <w:rPr/>
        <w:t>; 44(</w:t>
      </w:r>
      <w:r>
        <w:rPr>
          <w:b/>
        </w:rPr>
        <w:t>4</w:t>
      </w:r>
      <w:r>
        <w:rPr/>
        <w:t>): 285-</w:t>
      </w:r>
      <w:r>
        <w:rPr>
          <w:spacing w:val="80"/>
        </w:rPr>
        <w:t>  </w:t>
      </w:r>
      <w:r>
        <w:rPr/>
        <w:t>290.</w:t>
      </w:r>
    </w:p>
    <w:p>
      <w:pPr>
        <w:spacing w:before="185"/>
        <w:ind w:left="1280" w:right="795" w:hanging="720"/>
        <w:jc w:val="left"/>
        <w:rPr>
          <w:sz w:val="24"/>
        </w:rPr>
      </w:pPr>
      <w:r>
        <w:rPr>
          <w:sz w:val="24"/>
        </w:rPr>
        <w:t>Usanga E.A., Chikala M. Archibong E.I., (1994): Prevalence of iron deficiency anaemia in</w:t>
      </w:r>
      <w:r>
        <w:rPr>
          <w:spacing w:val="80"/>
          <w:sz w:val="24"/>
        </w:rPr>
        <w:t> </w:t>
      </w:r>
      <w:r>
        <w:rPr>
          <w:sz w:val="24"/>
        </w:rPr>
        <w:t>Nigerian pregnant women. </w:t>
      </w:r>
      <w:r>
        <w:rPr>
          <w:i/>
          <w:sz w:val="24"/>
        </w:rPr>
        <w:t>Journal of Medical Laboratory Science</w:t>
      </w:r>
      <w:r>
        <w:rPr>
          <w:b/>
          <w:sz w:val="24"/>
        </w:rPr>
        <w:t>4; </w:t>
      </w:r>
      <w:r>
        <w:rPr>
          <w:sz w:val="24"/>
        </w:rPr>
        <w:t>107-113.</w:t>
      </w:r>
    </w:p>
    <w:p>
      <w:pPr>
        <w:spacing w:after="0"/>
        <w:jc w:val="left"/>
        <w:rPr>
          <w:sz w:val="24"/>
        </w:rPr>
        <w:sectPr>
          <w:pgSz w:w="11910" w:h="16840"/>
          <w:pgMar w:header="0" w:footer="1067" w:top="1060" w:bottom="1260" w:left="880" w:right="640"/>
        </w:sectPr>
      </w:pPr>
    </w:p>
    <w:p>
      <w:pPr>
        <w:pStyle w:val="BodyText"/>
        <w:spacing w:before="70"/>
        <w:ind w:left="1280" w:right="797" w:hanging="720"/>
        <w:jc w:val="both"/>
      </w:pPr>
      <w:r>
        <w:rPr/>
        <w:t>Valea, I., Tinto, H., Drabo, M.K., Huybregts, L., Sorgho, H., Ouedraogo, J.B., Guignemde, R.T., Van Geertruyden, J.P., Kolsteren, P. and D‟Alessandro, U. (2012). An analysis of timing and pregnancy in relation to the risk of low birth weight, anaemia and perinatal mortality in Burkina Faso. </w:t>
      </w:r>
      <w:r>
        <w:rPr>
          <w:i/>
        </w:rPr>
        <w:t>Malaria Journal</w:t>
      </w:r>
      <w:r>
        <w:rPr/>
        <w:t>; 11: 71.</w:t>
      </w:r>
    </w:p>
    <w:p>
      <w:pPr>
        <w:spacing w:before="185"/>
        <w:ind w:left="1280" w:right="796" w:hanging="720"/>
        <w:jc w:val="both"/>
        <w:rPr>
          <w:i/>
          <w:sz w:val="24"/>
        </w:rPr>
      </w:pPr>
      <w:r>
        <w:rPr>
          <w:sz w:val="24"/>
        </w:rPr>
        <w:t>Van den broek N.R. and Letsky E.A., (2000): Etiology of anaemia in</w:t>
      </w:r>
      <w:r>
        <w:rPr>
          <w:spacing w:val="80"/>
          <w:sz w:val="24"/>
        </w:rPr>
        <w:t> </w:t>
      </w:r>
      <w:r>
        <w:rPr>
          <w:sz w:val="24"/>
        </w:rPr>
        <w:t>pregnancy in South Malawi, </w:t>
      </w:r>
      <w:r>
        <w:rPr>
          <w:i/>
          <w:sz w:val="24"/>
        </w:rPr>
        <w:t>American Journal of Clinical Nutrition </w:t>
      </w:r>
      <w:r>
        <w:rPr>
          <w:b/>
          <w:i/>
          <w:sz w:val="24"/>
        </w:rPr>
        <w:t>72</w:t>
      </w:r>
      <w:r>
        <w:rPr>
          <w:i/>
          <w:sz w:val="24"/>
        </w:rPr>
        <w:t>: 247S-256S.</w:t>
      </w:r>
    </w:p>
    <w:p>
      <w:pPr>
        <w:pStyle w:val="BodyText"/>
        <w:spacing w:before="183"/>
        <w:ind w:left="1280" w:right="797" w:hanging="720"/>
        <w:jc w:val="both"/>
      </w:pPr>
      <w:r>
        <w:rPr/>
        <w:t>Van den brock, N.R., Letsky, E.A., White, S.A. and Shenkin, A. (1998). Iron Status in pregnant women: which measurements are valid? </w:t>
      </w:r>
      <w:r>
        <w:rPr>
          <w:i/>
        </w:rPr>
        <w:t>The British Journal of Haematology</w:t>
      </w:r>
      <w:r>
        <w:rPr/>
        <w:t>; 103(</w:t>
      </w:r>
      <w:r>
        <w:rPr>
          <w:b/>
        </w:rPr>
        <w:t>3</w:t>
      </w:r>
      <w:r>
        <w:rPr/>
        <w:t>): 817 – 824.</w:t>
      </w:r>
    </w:p>
    <w:p>
      <w:pPr>
        <w:pStyle w:val="BodyText"/>
      </w:pPr>
    </w:p>
    <w:p>
      <w:pPr>
        <w:pStyle w:val="BodyText"/>
        <w:ind w:left="1280" w:right="798" w:hanging="720"/>
        <w:jc w:val="both"/>
      </w:pPr>
      <w:r>
        <w:rPr/>
        <w:t>Vanderberg, J. P. and Frevert, U. (2004). Intervital Microscopy demonstrating antibody mediated immobilization of Plasmodium berghei sporozites injected into skin by mosquitoes. </w:t>
      </w:r>
      <w:r>
        <w:rPr>
          <w:i/>
        </w:rPr>
        <w:t>International Journal for Parasitology; </w:t>
      </w:r>
      <w:r>
        <w:rPr/>
        <w:t>34(</w:t>
      </w:r>
      <w:r>
        <w:rPr>
          <w:b/>
        </w:rPr>
        <w:t>9</w:t>
      </w:r>
      <w:r>
        <w:rPr/>
        <w:t>); 991-996</w:t>
      </w:r>
    </w:p>
    <w:p>
      <w:pPr>
        <w:pStyle w:val="BodyText"/>
      </w:pPr>
    </w:p>
    <w:p>
      <w:pPr>
        <w:pStyle w:val="BodyText"/>
        <w:spacing w:before="1"/>
        <w:ind w:left="1280" w:right="796" w:hanging="720"/>
        <w:jc w:val="both"/>
      </w:pPr>
      <w:r>
        <w:rPr/>
        <w:t>Van Miert, A. S. J. P. A. M., (1995). Pro-inflammatory cytokines in a ruminant model: pathophysiological, pharmacological and therapeutic aspects.</w:t>
      </w:r>
      <w:r>
        <w:rPr>
          <w:spacing w:val="40"/>
        </w:rPr>
        <w:t> </w:t>
      </w:r>
      <w:r>
        <w:rPr>
          <w:i/>
        </w:rPr>
        <w:t>Vertinary Quaratine; </w:t>
      </w:r>
      <w:r>
        <w:rPr/>
        <w:t>17</w:t>
      </w:r>
      <w:r>
        <w:rPr>
          <w:b/>
        </w:rPr>
        <w:t>(2)</w:t>
      </w:r>
      <w:r>
        <w:rPr/>
        <w:t>: 41-50</w:t>
      </w:r>
    </w:p>
    <w:p>
      <w:pPr>
        <w:pStyle w:val="BodyText"/>
        <w:spacing w:before="184"/>
        <w:ind w:left="1280" w:right="798" w:hanging="720"/>
        <w:jc w:val="both"/>
      </w:pPr>
      <w:r>
        <w:rPr/>
        <w:t>Vassiliadis, S., Ranella, A., Papadimitriou, L., Makrygiannakis, A. and Athanassakis, I. (1998).</w:t>
      </w:r>
      <w:r>
        <w:rPr>
          <w:spacing w:val="-1"/>
        </w:rPr>
        <w:t> </w:t>
      </w:r>
      <w:r>
        <w:rPr/>
        <w:t>Serum levels of</w:t>
      </w:r>
      <w:r>
        <w:rPr>
          <w:spacing w:val="-1"/>
        </w:rPr>
        <w:t> </w:t>
      </w:r>
      <w:r>
        <w:rPr/>
        <w:t>pro-and anti-inflammatory</w:t>
      </w:r>
      <w:r>
        <w:rPr>
          <w:spacing w:val="-2"/>
        </w:rPr>
        <w:t> </w:t>
      </w:r>
      <w:r>
        <w:rPr/>
        <w:t>cytokines in non-pregnant women, during pregnancy, labour and abortion. </w:t>
      </w:r>
      <w:r>
        <w:rPr>
          <w:i/>
        </w:rPr>
        <w:t>Mediators of Inflammation</w:t>
      </w:r>
      <w:r>
        <w:rPr/>
        <w:t>; 7(</w:t>
      </w:r>
      <w:r>
        <w:rPr>
          <w:b/>
        </w:rPr>
        <w:t>2</w:t>
      </w:r>
      <w:r>
        <w:rPr/>
        <w:t>): 69-72.</w:t>
      </w:r>
    </w:p>
    <w:p>
      <w:pPr>
        <w:pStyle w:val="BodyText"/>
        <w:spacing w:before="183"/>
        <w:ind w:left="1280" w:right="798" w:hanging="720"/>
        <w:jc w:val="both"/>
      </w:pPr>
      <w:r>
        <w:rPr/>
        <w:t>Veenemans, J., Andang‟o, P.E., Mbugi, E.V., Kraaijenhagen, R.J., Mwaniki, D.L., Mockenhaupt, F.P., Roewer, S., Olomi, R.M., Shao, J.F., Van der Meer, J.W., Savelkoul, H.F., Verhoef, H. (2008). Alpha+ -thalassemia protects against anaemia associated with asymptomatic malaria: evidence from community-based surveys in Tanzania and Kenya. </w:t>
      </w:r>
      <w:r>
        <w:rPr>
          <w:i/>
        </w:rPr>
        <w:t>Journal of Infectious Diseases</w:t>
      </w:r>
      <w:r>
        <w:rPr/>
        <w:t>; 198(</w:t>
      </w:r>
      <w:r>
        <w:rPr>
          <w:b/>
        </w:rPr>
        <w:t>3</w:t>
      </w:r>
      <w:r>
        <w:rPr/>
        <w:t>): 401-408.</w:t>
      </w:r>
    </w:p>
    <w:p>
      <w:pPr>
        <w:pStyle w:val="BodyText"/>
        <w:spacing w:before="185"/>
        <w:ind w:left="1280" w:right="800" w:hanging="720"/>
        <w:jc w:val="both"/>
      </w:pPr>
      <w:r>
        <w:rPr/>
        <w:t>Venugopal, J. (2007). Cytokine, In: Fundamentals of Medical Immunology 1st edn. Jaypee Brothers Medical Publishers Ltd New Delhi, India. Pp 123-135.</w:t>
      </w:r>
    </w:p>
    <w:p>
      <w:pPr>
        <w:pStyle w:val="BodyText"/>
      </w:pPr>
    </w:p>
    <w:p>
      <w:pPr>
        <w:pStyle w:val="BodyText"/>
        <w:ind w:left="1280" w:right="797" w:hanging="720"/>
        <w:jc w:val="both"/>
      </w:pPr>
      <w:r>
        <w:rPr/>
        <w:t>Virgil F. F. Williams</w:t>
      </w:r>
      <w:r>
        <w:rPr>
          <w:spacing w:val="-2"/>
        </w:rPr>
        <w:t> </w:t>
      </w:r>
      <w:r>
        <w:rPr/>
        <w:t>W. J., Beutler</w:t>
      </w:r>
      <w:r>
        <w:rPr>
          <w:spacing w:val="-1"/>
        </w:rPr>
        <w:t> </w:t>
      </w:r>
      <w:r>
        <w:rPr/>
        <w:t>E.,</w:t>
      </w:r>
      <w:r>
        <w:rPr>
          <w:spacing w:val="-1"/>
        </w:rPr>
        <w:t> </w:t>
      </w:r>
      <w:r>
        <w:rPr/>
        <w:t>Erslev</w:t>
      </w:r>
      <w:r>
        <w:rPr>
          <w:spacing w:val="-1"/>
        </w:rPr>
        <w:t> </w:t>
      </w:r>
      <w:r>
        <w:rPr/>
        <w:t>A.</w:t>
      </w:r>
      <w:r>
        <w:rPr>
          <w:spacing w:val="-1"/>
        </w:rPr>
        <w:t> </w:t>
      </w:r>
      <w:r>
        <w:rPr/>
        <w:t>J. and Lichtaman and Ernest B. (1990). Iron Deficiency. In: </w:t>
      </w:r>
      <w:r>
        <w:rPr>
          <w:i/>
        </w:rPr>
        <w:t>Haematology</w:t>
      </w:r>
      <w:r>
        <w:rPr/>
        <w:t>. A. (eds).</w:t>
      </w:r>
      <w:r>
        <w:rPr>
          <w:spacing w:val="40"/>
        </w:rPr>
        <w:t> </w:t>
      </w:r>
      <w:r>
        <w:rPr/>
        <w:t>4th edition. New York. McGraw-Hill Publishing Company PP 482-501</w:t>
      </w:r>
    </w:p>
    <w:p>
      <w:pPr>
        <w:pStyle w:val="BodyText"/>
        <w:spacing w:before="212"/>
        <w:ind w:left="1280" w:right="795" w:hanging="720"/>
        <w:rPr>
          <w:rFonts w:ascii="Microsoft Sans Serif"/>
          <w:sz w:val="18"/>
        </w:rPr>
      </w:pPr>
      <w:r>
        <w:rPr/>
        <w:t>Warell, D. A., Turner, G. D. H. and Francis, N. (2002)Pathology and pathophysiology of human</w:t>
      </w:r>
      <w:r>
        <w:rPr>
          <w:spacing w:val="-3"/>
        </w:rPr>
        <w:t> </w:t>
      </w:r>
      <w:r>
        <w:rPr/>
        <w:t>malaria.</w:t>
      </w:r>
      <w:r>
        <w:rPr>
          <w:spacing w:val="-2"/>
        </w:rPr>
        <w:t> </w:t>
      </w:r>
      <w:r>
        <w:rPr/>
        <w:t>In:Warell,</w:t>
      </w:r>
      <w:r>
        <w:rPr>
          <w:spacing w:val="-3"/>
        </w:rPr>
        <w:t> </w:t>
      </w:r>
      <w:r>
        <w:rPr/>
        <w:t>D.</w:t>
      </w:r>
      <w:r>
        <w:rPr>
          <w:spacing w:val="-3"/>
        </w:rPr>
        <w:t> </w:t>
      </w:r>
      <w:r>
        <w:rPr/>
        <w:t>A.,</w:t>
      </w:r>
      <w:r>
        <w:rPr>
          <w:spacing w:val="-3"/>
        </w:rPr>
        <w:t> </w:t>
      </w:r>
      <w:r>
        <w:rPr/>
        <w:t>Gilles,</w:t>
      </w:r>
      <w:r>
        <w:rPr>
          <w:spacing w:val="-3"/>
        </w:rPr>
        <w:t> </w:t>
      </w:r>
      <w:r>
        <w:rPr/>
        <w:t>H.</w:t>
      </w:r>
      <w:r>
        <w:rPr>
          <w:spacing w:val="-3"/>
        </w:rPr>
        <w:t> </w:t>
      </w:r>
      <w:r>
        <w:rPr/>
        <w:t>M.</w:t>
      </w:r>
      <w:r>
        <w:rPr>
          <w:spacing w:val="-3"/>
        </w:rPr>
        <w:t> </w:t>
      </w:r>
      <w:r>
        <w:rPr/>
        <w:t>(ed).</w:t>
      </w:r>
      <w:r>
        <w:rPr>
          <w:spacing w:val="-3"/>
        </w:rPr>
        <w:t> </w:t>
      </w:r>
      <w:r>
        <w:rPr/>
        <w:t>Essential</w:t>
      </w:r>
      <w:r>
        <w:rPr>
          <w:spacing w:val="-3"/>
        </w:rPr>
        <w:t> </w:t>
      </w:r>
      <w:r>
        <w:rPr/>
        <w:t>Malariology</w:t>
      </w:r>
      <w:r>
        <w:rPr>
          <w:spacing w:val="-6"/>
        </w:rPr>
        <w:t> </w:t>
      </w:r>
      <w:r>
        <w:rPr/>
        <w:t>4th</w:t>
      </w:r>
      <w:r>
        <w:rPr>
          <w:spacing w:val="-3"/>
        </w:rPr>
        <w:t> </w:t>
      </w:r>
      <w:r>
        <w:rPr/>
        <w:t>Ed. London: Arnold</w:t>
      </w:r>
      <w:r>
        <w:rPr>
          <w:spacing w:val="40"/>
        </w:rPr>
        <w:t> </w:t>
      </w:r>
      <w:r>
        <w:rPr/>
        <w:t>Publications;pg 236-251</w:t>
      </w:r>
      <w:r>
        <w:rPr>
          <w:rFonts w:ascii="Microsoft Sans Serif"/>
          <w:sz w:val="18"/>
        </w:rPr>
        <w:t>.</w:t>
      </w:r>
    </w:p>
    <w:p>
      <w:pPr>
        <w:pStyle w:val="BodyText"/>
        <w:spacing w:before="4"/>
        <w:rPr>
          <w:rFonts w:ascii="Microsoft Sans Serif"/>
        </w:rPr>
      </w:pPr>
    </w:p>
    <w:p>
      <w:pPr>
        <w:pStyle w:val="BodyText"/>
        <w:spacing w:before="1"/>
        <w:ind w:left="1280" w:right="795" w:hanging="720"/>
      </w:pPr>
      <w:r>
        <w:rPr/>
        <w:t>Warren, L. (2010). Cellular Basis of the Immune Response. Review of medical microbiology and immunology.11th edn. copyright McGraw Hill Company Inc, USA. Pp 384-401.</w:t>
      </w:r>
    </w:p>
    <w:p>
      <w:pPr>
        <w:pStyle w:val="BodyText"/>
        <w:spacing w:before="206"/>
      </w:pPr>
    </w:p>
    <w:p>
      <w:pPr>
        <w:pStyle w:val="BodyText"/>
        <w:ind w:left="1280" w:right="798" w:hanging="720"/>
        <w:jc w:val="both"/>
      </w:pPr>
      <w:r>
        <w:rPr/>
        <w:t>Wegmann, T.G., Lin, H., Guilbert, L. and Mosman, T.R. (1993). Bidirectional cytokine interactions in the maternal-foetal relationship: is successful pregnancy a T</w:t>
      </w:r>
      <w:r>
        <w:rPr>
          <w:vertAlign w:val="subscript"/>
        </w:rPr>
        <w:t>H</w:t>
      </w:r>
      <w:r>
        <w:rPr>
          <w:vertAlign w:val="baseline"/>
        </w:rPr>
        <w:t>2 phenomenon? </w:t>
      </w:r>
      <w:r>
        <w:rPr>
          <w:i/>
          <w:vertAlign w:val="baseline"/>
        </w:rPr>
        <w:t>Immunology Today</w:t>
      </w:r>
      <w:r>
        <w:rPr>
          <w:vertAlign w:val="baseline"/>
        </w:rPr>
        <w:t>; 14(</w:t>
      </w:r>
      <w:r>
        <w:rPr>
          <w:b/>
          <w:vertAlign w:val="baseline"/>
        </w:rPr>
        <w:t>7</w:t>
      </w:r>
      <w:r>
        <w:rPr>
          <w:vertAlign w:val="baseline"/>
        </w:rPr>
        <w:t>): 353-356.</w:t>
      </w:r>
    </w:p>
    <w:p>
      <w:pPr>
        <w:pStyle w:val="BodyText"/>
        <w:spacing w:before="185"/>
        <w:ind w:left="1280" w:right="772" w:hanging="720"/>
      </w:pPr>
      <w:r>
        <w:rPr/>
        <w:t>Weiss,</w:t>
      </w:r>
      <w:r>
        <w:rPr>
          <w:spacing w:val="-3"/>
        </w:rPr>
        <w:t> </w:t>
      </w:r>
      <w:r>
        <w:rPr/>
        <w:t>G.,</w:t>
      </w:r>
      <w:r>
        <w:rPr>
          <w:spacing w:val="-3"/>
        </w:rPr>
        <w:t> </w:t>
      </w:r>
      <w:r>
        <w:rPr/>
        <w:t>Bogdan,</w:t>
      </w:r>
      <w:r>
        <w:rPr>
          <w:spacing w:val="-3"/>
        </w:rPr>
        <w:t> </w:t>
      </w:r>
      <w:r>
        <w:rPr/>
        <w:t>C.,</w:t>
      </w:r>
      <w:r>
        <w:rPr>
          <w:spacing w:val="-3"/>
        </w:rPr>
        <w:t> </w:t>
      </w:r>
      <w:r>
        <w:rPr/>
        <w:t>and</w:t>
      </w:r>
      <w:r>
        <w:rPr>
          <w:spacing w:val="-3"/>
        </w:rPr>
        <w:t> </w:t>
      </w:r>
      <w:r>
        <w:rPr/>
        <w:t>Hentze,</w:t>
      </w:r>
      <w:r>
        <w:rPr>
          <w:spacing w:val="-3"/>
        </w:rPr>
        <w:t> </w:t>
      </w:r>
      <w:r>
        <w:rPr/>
        <w:t>M.</w:t>
      </w:r>
      <w:r>
        <w:rPr>
          <w:spacing w:val="-3"/>
        </w:rPr>
        <w:t> </w:t>
      </w:r>
      <w:r>
        <w:rPr/>
        <w:t>W,</w:t>
      </w:r>
      <w:r>
        <w:rPr>
          <w:spacing w:val="-3"/>
        </w:rPr>
        <w:t> </w:t>
      </w:r>
      <w:r>
        <w:rPr/>
        <w:t>(1997).</w:t>
      </w:r>
      <w:r>
        <w:rPr>
          <w:spacing w:val="-3"/>
        </w:rPr>
        <w:t> </w:t>
      </w:r>
      <w:r>
        <w:rPr/>
        <w:t>Pathways</w:t>
      </w:r>
      <w:r>
        <w:rPr>
          <w:spacing w:val="-1"/>
        </w:rPr>
        <w:t> </w:t>
      </w:r>
      <w:r>
        <w:rPr/>
        <w:t>for</w:t>
      </w:r>
      <w:r>
        <w:rPr>
          <w:spacing w:val="-5"/>
        </w:rPr>
        <w:t> </w:t>
      </w:r>
      <w:r>
        <w:rPr/>
        <w:t>the</w:t>
      </w:r>
      <w:r>
        <w:rPr>
          <w:spacing w:val="-3"/>
        </w:rPr>
        <w:t> </w:t>
      </w:r>
      <w:r>
        <w:rPr/>
        <w:t>regulation</w:t>
      </w:r>
      <w:r>
        <w:rPr>
          <w:spacing w:val="-3"/>
        </w:rPr>
        <w:t> </w:t>
      </w:r>
      <w:r>
        <w:rPr/>
        <w:t>of</w:t>
      </w:r>
      <w:r>
        <w:rPr>
          <w:spacing w:val="-4"/>
        </w:rPr>
        <w:t> </w:t>
      </w:r>
      <w:r>
        <w:rPr/>
        <w:t>macrophage iron metabolism by the anti-inflammatory cytokines IL-4 and IL-13. </w:t>
      </w:r>
      <w:r>
        <w:rPr>
          <w:i/>
        </w:rPr>
        <w:t>Journal of Immunology; </w:t>
      </w:r>
      <w:r>
        <w:rPr/>
        <w:t>158: 420 – 425</w:t>
      </w:r>
    </w:p>
    <w:p>
      <w:pPr>
        <w:spacing w:after="0"/>
        <w:sectPr>
          <w:pgSz w:w="11910" w:h="16840"/>
          <w:pgMar w:header="0" w:footer="1067" w:top="1060" w:bottom="1260" w:left="880" w:right="640"/>
        </w:sectPr>
      </w:pPr>
    </w:p>
    <w:p>
      <w:pPr>
        <w:spacing w:before="70"/>
        <w:ind w:left="1280" w:right="798" w:hanging="720"/>
        <w:jc w:val="both"/>
        <w:rPr>
          <w:sz w:val="24"/>
        </w:rPr>
      </w:pPr>
      <w:r>
        <w:rPr>
          <w:sz w:val="24"/>
        </w:rPr>
        <w:t>Weiss, G. and Goodnough, L. T. (2005).Anaemia of chronic disease.</w:t>
      </w:r>
      <w:r>
        <w:rPr>
          <w:i/>
          <w:sz w:val="24"/>
        </w:rPr>
        <w:t>The New England Journal of Medicine</w:t>
      </w:r>
      <w:r>
        <w:rPr>
          <w:sz w:val="24"/>
        </w:rPr>
        <w:t>. Vol. 352</w:t>
      </w:r>
      <w:r>
        <w:rPr>
          <w:b/>
          <w:sz w:val="24"/>
        </w:rPr>
        <w:t>(10): </w:t>
      </w:r>
      <w:r>
        <w:rPr>
          <w:sz w:val="24"/>
        </w:rPr>
        <w:t>1011 – 1059</w:t>
      </w:r>
    </w:p>
    <w:p>
      <w:pPr>
        <w:pStyle w:val="BodyText"/>
        <w:spacing w:before="185"/>
        <w:ind w:left="1280" w:right="796" w:hanging="720"/>
        <w:jc w:val="both"/>
      </w:pPr>
      <w:r>
        <w:rPr/>
        <w:t>Weiss, M.J., Tu, C. and</w:t>
      </w:r>
      <w:r>
        <w:rPr>
          <w:spacing w:val="-1"/>
        </w:rPr>
        <w:t> </w:t>
      </w:r>
      <w:r>
        <w:rPr/>
        <w:t>Orkin, S.H. (1997). Erythroid-cell-specific properties of transcription factor GAYA-1 revealed by phenotypic rescue of a gene-targeted cell line. </w:t>
      </w:r>
      <w:r>
        <w:rPr>
          <w:i/>
        </w:rPr>
        <w:t>Molecular and Cellular Biology</w:t>
      </w:r>
      <w:r>
        <w:rPr/>
        <w:t>; 17(</w:t>
      </w:r>
      <w:r>
        <w:rPr>
          <w:b/>
        </w:rPr>
        <w:t>3</w:t>
      </w:r>
      <w:r>
        <w:rPr/>
        <w:t>): 1642 -1651.</w:t>
      </w:r>
    </w:p>
    <w:p>
      <w:pPr>
        <w:pStyle w:val="BodyText"/>
      </w:pPr>
    </w:p>
    <w:p>
      <w:pPr>
        <w:spacing w:before="0"/>
        <w:ind w:left="1280" w:right="796" w:hanging="720"/>
        <w:jc w:val="both"/>
        <w:rPr>
          <w:sz w:val="24"/>
        </w:rPr>
      </w:pPr>
      <w:r>
        <w:rPr>
          <w:sz w:val="24"/>
        </w:rPr>
        <w:t>Williams, T.N., Mwangi, T.W., Wambua, S., Alexander, N.D., Kortok, M., Snow, R.N. and Marsh, K. (2005).Sickle cell trait and the risk of </w:t>
      </w:r>
      <w:r>
        <w:rPr>
          <w:i/>
          <w:sz w:val="24"/>
        </w:rPr>
        <w:t>plasmodium falciparum </w:t>
      </w:r>
      <w:r>
        <w:rPr>
          <w:sz w:val="24"/>
        </w:rPr>
        <w:t>malaria and other childhood diseases.</w:t>
      </w:r>
      <w:r>
        <w:rPr>
          <w:i/>
          <w:sz w:val="24"/>
        </w:rPr>
        <w:t>Journal of Infectious Diseases</w:t>
      </w:r>
      <w:r>
        <w:rPr>
          <w:sz w:val="24"/>
        </w:rPr>
        <w:t>; 192(</w:t>
      </w:r>
      <w:r>
        <w:rPr>
          <w:b/>
          <w:sz w:val="24"/>
        </w:rPr>
        <w:t>1</w:t>
      </w:r>
      <w:r>
        <w:rPr>
          <w:sz w:val="24"/>
        </w:rPr>
        <w:t>): 178-186.</w:t>
      </w:r>
    </w:p>
    <w:p>
      <w:pPr>
        <w:pStyle w:val="BodyText"/>
        <w:spacing w:before="183"/>
        <w:ind w:left="1280" w:right="796" w:hanging="720"/>
        <w:jc w:val="both"/>
      </w:pPr>
      <w:r>
        <w:rPr/>
        <w:t>Wilson, N.O., Bythwood, T., Solomon, W., Jolly, P., Yatich, N., Jiang, Y., Shuaib, F., Adjei, A.A., Anderson, W. and Stiles, J.K. (2010). Elevated levels of IL-10 and G-CSF associated with asymptomatic malaria in pregnant women. </w:t>
      </w:r>
      <w:r>
        <w:rPr>
          <w:i/>
        </w:rPr>
        <w:t>Infectious Diseases in Obstetrics and Gynecology</w:t>
      </w:r>
      <w:r>
        <w:rPr/>
        <w:t>; 2010: 317430.</w:t>
      </w:r>
    </w:p>
    <w:p>
      <w:pPr>
        <w:pStyle w:val="BodyText"/>
      </w:pPr>
    </w:p>
    <w:p>
      <w:pPr>
        <w:spacing w:before="1"/>
        <w:ind w:left="1280" w:right="796" w:hanging="720"/>
        <w:jc w:val="both"/>
        <w:rPr>
          <w:sz w:val="24"/>
        </w:rPr>
      </w:pPr>
      <w:r>
        <w:rPr>
          <w:sz w:val="24"/>
        </w:rPr>
        <w:t>Wogu, M.N., Nduka, F.O. and Wogu, M.D. (2013).Prevalence of malaria parasite infection among pregnant women attending antenatal clinics in Port-Harcourt, Rivers State, Nigeria.</w:t>
      </w:r>
      <w:r>
        <w:rPr>
          <w:i/>
          <w:sz w:val="24"/>
        </w:rPr>
        <w:t>International Journal of Tropical Disease and Health</w:t>
      </w:r>
      <w:r>
        <w:rPr>
          <w:sz w:val="24"/>
        </w:rPr>
        <w:t>; 3(</w:t>
      </w:r>
      <w:r>
        <w:rPr>
          <w:b/>
          <w:sz w:val="24"/>
        </w:rPr>
        <w:t>2</w:t>
      </w:r>
      <w:r>
        <w:rPr>
          <w:sz w:val="24"/>
        </w:rPr>
        <w:t>): 126-132.</w:t>
      </w:r>
    </w:p>
    <w:p>
      <w:pPr>
        <w:spacing w:before="184"/>
        <w:ind w:left="1280" w:right="796" w:hanging="720"/>
        <w:jc w:val="both"/>
        <w:rPr>
          <w:sz w:val="24"/>
        </w:rPr>
      </w:pPr>
      <w:r>
        <w:rPr>
          <w:sz w:val="24"/>
        </w:rPr>
        <w:t>Woofrow,</w:t>
      </w:r>
      <w:r>
        <w:rPr>
          <w:spacing w:val="-3"/>
          <w:sz w:val="24"/>
        </w:rPr>
        <w:t> </w:t>
      </w:r>
      <w:r>
        <w:rPr>
          <w:sz w:val="24"/>
        </w:rPr>
        <w:t>C.</w:t>
      </w:r>
      <w:r>
        <w:rPr>
          <w:spacing w:val="-4"/>
          <w:sz w:val="24"/>
        </w:rPr>
        <w:t> </w:t>
      </w:r>
      <w:r>
        <w:rPr>
          <w:sz w:val="24"/>
        </w:rPr>
        <w:t>J.,</w:t>
      </w:r>
      <w:r>
        <w:rPr>
          <w:spacing w:val="-4"/>
          <w:sz w:val="24"/>
        </w:rPr>
        <w:t> </w:t>
      </w:r>
      <w:r>
        <w:rPr>
          <w:sz w:val="24"/>
        </w:rPr>
        <w:t>Penny,</w:t>
      </w:r>
      <w:r>
        <w:rPr>
          <w:spacing w:val="-2"/>
          <w:sz w:val="24"/>
        </w:rPr>
        <w:t> </w:t>
      </w:r>
      <w:r>
        <w:rPr>
          <w:sz w:val="24"/>
        </w:rPr>
        <w:t>J. I.</w:t>
      </w:r>
      <w:r>
        <w:rPr>
          <w:spacing w:val="-2"/>
          <w:sz w:val="24"/>
        </w:rPr>
        <w:t> </w:t>
      </w:r>
      <w:r>
        <w:rPr>
          <w:sz w:val="24"/>
        </w:rPr>
        <w:t>and</w:t>
      </w:r>
      <w:r>
        <w:rPr>
          <w:spacing w:val="-2"/>
          <w:sz w:val="24"/>
        </w:rPr>
        <w:t> </w:t>
      </w:r>
      <w:r>
        <w:rPr>
          <w:sz w:val="24"/>
        </w:rPr>
        <w:t>Krishna,</w:t>
      </w:r>
      <w:r>
        <w:rPr>
          <w:spacing w:val="-3"/>
          <w:sz w:val="24"/>
        </w:rPr>
        <w:t> </w:t>
      </w:r>
      <w:r>
        <w:rPr>
          <w:sz w:val="24"/>
        </w:rPr>
        <w:t>S.</w:t>
      </w:r>
      <w:r>
        <w:rPr>
          <w:spacing w:val="-2"/>
          <w:sz w:val="24"/>
        </w:rPr>
        <w:t> </w:t>
      </w:r>
      <w:r>
        <w:rPr>
          <w:sz w:val="24"/>
        </w:rPr>
        <w:t>(1999).</w:t>
      </w:r>
      <w:r>
        <w:rPr>
          <w:spacing w:val="-1"/>
          <w:sz w:val="24"/>
        </w:rPr>
        <w:t> </w:t>
      </w:r>
      <w:r>
        <w:rPr>
          <w:sz w:val="24"/>
        </w:rPr>
        <w:t>Intraerythrocytic</w:t>
      </w:r>
      <w:r>
        <w:rPr>
          <w:spacing w:val="-2"/>
          <w:sz w:val="24"/>
        </w:rPr>
        <w:t> </w:t>
      </w:r>
      <w:r>
        <w:rPr>
          <w:i/>
          <w:sz w:val="24"/>
        </w:rPr>
        <w:t>Plasmodium</w:t>
      </w:r>
      <w:r>
        <w:rPr>
          <w:i/>
          <w:spacing w:val="-2"/>
          <w:sz w:val="24"/>
        </w:rPr>
        <w:t> </w:t>
      </w:r>
      <w:r>
        <w:rPr>
          <w:i/>
          <w:sz w:val="24"/>
        </w:rPr>
        <w:t>falciparum </w:t>
      </w:r>
      <w:r>
        <w:rPr>
          <w:sz w:val="24"/>
        </w:rPr>
        <w:t>expresses a high affinity facilitative hexose transporter. </w:t>
      </w:r>
      <w:r>
        <w:rPr>
          <w:i/>
          <w:sz w:val="24"/>
        </w:rPr>
        <w:t>The Journal of Biological Chemistry.</w:t>
      </w:r>
      <w:r>
        <w:rPr>
          <w:b/>
          <w:sz w:val="24"/>
        </w:rPr>
        <w:t>274(11): </w:t>
      </w:r>
      <w:r>
        <w:rPr>
          <w:sz w:val="24"/>
        </w:rPr>
        <w:t>7272-7277</w:t>
      </w:r>
    </w:p>
    <w:p>
      <w:pPr>
        <w:pStyle w:val="BodyText"/>
        <w:spacing w:before="183"/>
        <w:ind w:left="1280" w:right="796" w:hanging="720"/>
        <w:jc w:val="both"/>
      </w:pPr>
      <w:r>
        <w:rPr/>
        <w:t>World Health Organization (1991).Estimating a Parasite Count:</w:t>
      </w:r>
      <w:r>
        <w:rPr>
          <w:spacing w:val="40"/>
        </w:rPr>
        <w:t> </w:t>
      </w:r>
      <w:r>
        <w:rPr/>
        <w:t>Basic Malaria Microscopy (part 1 &amp; 2) World Health Organization, Geneva, Switzerland.</w:t>
      </w:r>
    </w:p>
    <w:p>
      <w:pPr>
        <w:pStyle w:val="BodyText"/>
      </w:pPr>
    </w:p>
    <w:p>
      <w:pPr>
        <w:pStyle w:val="BodyText"/>
        <w:ind w:left="1280" w:right="801" w:hanging="720"/>
        <w:jc w:val="both"/>
      </w:pPr>
      <w:r>
        <w:rPr/>
        <w:t>World Health Organization (2000).Expert committee on malaria, twentieth report.World Health Organization, Geneva, Switzerland.</w:t>
      </w:r>
    </w:p>
    <w:p>
      <w:pPr>
        <w:spacing w:before="185"/>
        <w:ind w:left="1280" w:right="796" w:hanging="720"/>
        <w:jc w:val="both"/>
        <w:rPr>
          <w:sz w:val="24"/>
        </w:rPr>
      </w:pPr>
      <w:r>
        <w:rPr>
          <w:sz w:val="24"/>
        </w:rPr>
        <w:t>World Health Organization (2000).Severe </w:t>
      </w:r>
      <w:r>
        <w:rPr>
          <w:i/>
          <w:sz w:val="24"/>
        </w:rPr>
        <w:t>Falciparum malaria</w:t>
      </w:r>
      <w:r>
        <w:rPr>
          <w:sz w:val="24"/>
        </w:rPr>
        <w:t>. World Health Organization, Communicable disease cluster. </w:t>
      </w:r>
      <w:r>
        <w:rPr>
          <w:i/>
          <w:sz w:val="24"/>
        </w:rPr>
        <w:t>Transactions of the Royal Society of Tropicl Medicine And Hygiene;</w:t>
      </w:r>
      <w:r>
        <w:rPr>
          <w:sz w:val="24"/>
        </w:rPr>
        <w:t>94(</w:t>
      </w:r>
      <w:r>
        <w:rPr>
          <w:b/>
          <w:sz w:val="24"/>
        </w:rPr>
        <w:t>suppl 1</w:t>
      </w:r>
      <w:r>
        <w:rPr>
          <w:sz w:val="24"/>
        </w:rPr>
        <w:t>): s1-s90</w:t>
      </w:r>
    </w:p>
    <w:p>
      <w:pPr>
        <w:pStyle w:val="BodyText"/>
      </w:pPr>
    </w:p>
    <w:p>
      <w:pPr>
        <w:pStyle w:val="BodyText"/>
        <w:ind w:left="1280" w:right="800" w:hanging="720"/>
        <w:jc w:val="both"/>
      </w:pPr>
      <w:r>
        <w:rPr/>
        <w:t>World Health Organization (2001). Iron deficiency aneamia assessment, prevention and control. A guide for programme managers WHO/NHD/01.</w:t>
      </w:r>
    </w:p>
    <w:p>
      <w:pPr>
        <w:pStyle w:val="BodyText"/>
        <w:spacing w:before="1"/>
      </w:pPr>
    </w:p>
    <w:p>
      <w:pPr>
        <w:pStyle w:val="BodyText"/>
        <w:ind w:left="1280" w:right="803" w:hanging="720"/>
        <w:jc w:val="both"/>
      </w:pPr>
      <w:r>
        <w:rPr/>
        <w:t>World Health Organization (2004). A strategic framework for malaria prevention and control during pregnancy in the African region. Brazzaville; World Health Organization regional office for Africa. AFR/MAL/04/01.</w:t>
      </w:r>
    </w:p>
    <w:p>
      <w:pPr>
        <w:pStyle w:val="BodyText"/>
        <w:spacing w:before="185"/>
        <w:ind w:left="1280" w:right="798" w:hanging="720"/>
        <w:jc w:val="both"/>
      </w:pPr>
      <w:r>
        <w:rPr/>
        <w:t>World Health Organization (2007). Malaria in pregnancy: guidelines for measuring key monitoring and evaluation indicators (archived). World Health Organization, Geneva, Switzerland. ISBN: 978 92 4 159 5636.</w:t>
      </w:r>
    </w:p>
    <w:p>
      <w:pPr>
        <w:pStyle w:val="BodyText"/>
        <w:spacing w:before="182"/>
        <w:ind w:left="560"/>
      </w:pPr>
      <w:r>
        <w:rPr/>
        <w:t>World</w:t>
      </w:r>
      <w:r>
        <w:rPr>
          <w:spacing w:val="20"/>
        </w:rPr>
        <w:t> </w:t>
      </w:r>
      <w:r>
        <w:rPr/>
        <w:t>Health</w:t>
      </w:r>
      <w:r>
        <w:rPr>
          <w:spacing w:val="19"/>
        </w:rPr>
        <w:t> </w:t>
      </w:r>
      <w:r>
        <w:rPr/>
        <w:t>Organization</w:t>
      </w:r>
      <w:r>
        <w:rPr>
          <w:spacing w:val="19"/>
        </w:rPr>
        <w:t> </w:t>
      </w:r>
      <w:r>
        <w:rPr/>
        <w:t>(2010).</w:t>
      </w:r>
      <w:r>
        <w:rPr>
          <w:spacing w:val="19"/>
        </w:rPr>
        <w:t> </w:t>
      </w:r>
      <w:r>
        <w:rPr/>
        <w:t>World</w:t>
      </w:r>
      <w:r>
        <w:rPr>
          <w:spacing w:val="19"/>
        </w:rPr>
        <w:t> </w:t>
      </w:r>
      <w:r>
        <w:rPr/>
        <w:t>malaria</w:t>
      </w:r>
      <w:r>
        <w:rPr>
          <w:spacing w:val="18"/>
        </w:rPr>
        <w:t> </w:t>
      </w:r>
      <w:r>
        <w:rPr/>
        <w:t>report</w:t>
      </w:r>
      <w:r>
        <w:rPr>
          <w:spacing w:val="20"/>
        </w:rPr>
        <w:t> </w:t>
      </w:r>
      <w:r>
        <w:rPr/>
        <w:t>2010:</w:t>
      </w:r>
      <w:r>
        <w:rPr>
          <w:spacing w:val="19"/>
        </w:rPr>
        <w:t> </w:t>
      </w:r>
      <w:r>
        <w:rPr/>
        <w:t>World</w:t>
      </w:r>
      <w:r>
        <w:rPr>
          <w:spacing w:val="19"/>
        </w:rPr>
        <w:t> </w:t>
      </w:r>
      <w:r>
        <w:rPr/>
        <w:t>Health</w:t>
      </w:r>
      <w:r>
        <w:rPr>
          <w:spacing w:val="20"/>
        </w:rPr>
        <w:t> </w:t>
      </w:r>
      <w:r>
        <w:rPr>
          <w:spacing w:val="-2"/>
        </w:rPr>
        <w:t>Organization.</w:t>
      </w:r>
    </w:p>
    <w:p>
      <w:pPr>
        <w:pStyle w:val="BodyText"/>
        <w:ind w:left="1280"/>
      </w:pPr>
      <w:r>
        <w:rPr/>
        <w:t>Geneva,</w:t>
      </w:r>
      <w:r>
        <w:rPr>
          <w:spacing w:val="-4"/>
        </w:rPr>
        <w:t> </w:t>
      </w:r>
      <w:r>
        <w:rPr>
          <w:spacing w:val="-2"/>
        </w:rPr>
        <w:t>Switzerland.</w:t>
      </w:r>
    </w:p>
    <w:p>
      <w:pPr>
        <w:pStyle w:val="BodyText"/>
        <w:spacing w:before="1"/>
      </w:pPr>
    </w:p>
    <w:p>
      <w:pPr>
        <w:pStyle w:val="BodyText"/>
        <w:ind w:left="560"/>
      </w:pPr>
      <w:r>
        <w:rPr/>
        <w:t>World</w:t>
      </w:r>
      <w:r>
        <w:rPr>
          <w:spacing w:val="17"/>
        </w:rPr>
        <w:t> </w:t>
      </w:r>
      <w:r>
        <w:rPr/>
        <w:t>Health</w:t>
      </w:r>
      <w:r>
        <w:rPr>
          <w:spacing w:val="19"/>
        </w:rPr>
        <w:t> </w:t>
      </w:r>
      <w:r>
        <w:rPr/>
        <w:t>Organization</w:t>
      </w:r>
      <w:r>
        <w:rPr>
          <w:spacing w:val="18"/>
        </w:rPr>
        <w:t> </w:t>
      </w:r>
      <w:r>
        <w:rPr/>
        <w:t>(2011).</w:t>
      </w:r>
      <w:r>
        <w:rPr>
          <w:spacing w:val="19"/>
        </w:rPr>
        <w:t> </w:t>
      </w:r>
      <w:r>
        <w:rPr/>
        <w:t>World</w:t>
      </w:r>
      <w:r>
        <w:rPr>
          <w:spacing w:val="19"/>
        </w:rPr>
        <w:t> </w:t>
      </w:r>
      <w:r>
        <w:rPr/>
        <w:t>malaria</w:t>
      </w:r>
      <w:r>
        <w:rPr>
          <w:spacing w:val="18"/>
        </w:rPr>
        <w:t> </w:t>
      </w:r>
      <w:r>
        <w:rPr/>
        <w:t>report</w:t>
      </w:r>
      <w:r>
        <w:rPr>
          <w:spacing w:val="19"/>
        </w:rPr>
        <w:t> </w:t>
      </w:r>
      <w:r>
        <w:rPr/>
        <w:t>2011:</w:t>
      </w:r>
      <w:r>
        <w:rPr>
          <w:spacing w:val="19"/>
        </w:rPr>
        <w:t> </w:t>
      </w:r>
      <w:r>
        <w:rPr/>
        <w:t>World</w:t>
      </w:r>
      <w:r>
        <w:rPr>
          <w:spacing w:val="19"/>
        </w:rPr>
        <w:t> </w:t>
      </w:r>
      <w:r>
        <w:rPr/>
        <w:t>Health</w:t>
      </w:r>
      <w:r>
        <w:rPr>
          <w:spacing w:val="19"/>
        </w:rPr>
        <w:t> </w:t>
      </w:r>
      <w:r>
        <w:rPr>
          <w:spacing w:val="-2"/>
        </w:rPr>
        <w:t>Organization.</w:t>
      </w:r>
    </w:p>
    <w:p>
      <w:pPr>
        <w:pStyle w:val="BodyText"/>
        <w:ind w:left="1280"/>
      </w:pPr>
      <w:r>
        <w:rPr/>
        <w:t>Geneva,</w:t>
      </w:r>
      <w:r>
        <w:rPr>
          <w:spacing w:val="-4"/>
        </w:rPr>
        <w:t> </w:t>
      </w:r>
      <w:r>
        <w:rPr>
          <w:spacing w:val="-2"/>
        </w:rPr>
        <w:t>Switzerland.</w:t>
      </w:r>
    </w:p>
    <w:p>
      <w:pPr>
        <w:pStyle w:val="BodyText"/>
        <w:spacing w:before="185"/>
        <w:ind w:left="1280" w:right="800" w:hanging="720"/>
        <w:jc w:val="both"/>
      </w:pPr>
      <w:r>
        <w:rPr/>
        <w:t>World Health Organization (2012). World malaria report 2012; fact sheet. World Health Organization, Geneva, Switzerland.</w:t>
      </w:r>
    </w:p>
    <w:p>
      <w:pPr>
        <w:spacing w:after="0"/>
        <w:jc w:val="both"/>
        <w:sectPr>
          <w:pgSz w:w="11910" w:h="16840"/>
          <w:pgMar w:header="0" w:footer="1067" w:top="1060" w:bottom="1260" w:left="880" w:right="640"/>
        </w:sectPr>
      </w:pPr>
    </w:p>
    <w:p>
      <w:pPr>
        <w:pStyle w:val="BodyText"/>
        <w:spacing w:before="70"/>
        <w:ind w:left="1280" w:right="800" w:hanging="720"/>
        <w:jc w:val="both"/>
      </w:pPr>
      <w:r>
        <w:rPr/>
        <w:t>World Health Organization (2013).Malaria Entomology and Vector Control. Guide for participants. Training module on malaria control.World Helth Organization, Geneva, </w:t>
      </w:r>
      <w:r>
        <w:rPr>
          <w:spacing w:val="-2"/>
        </w:rPr>
        <w:t>Switzerland.</w:t>
      </w:r>
    </w:p>
    <w:p>
      <w:pPr>
        <w:pStyle w:val="BodyText"/>
      </w:pPr>
    </w:p>
    <w:p>
      <w:pPr>
        <w:pStyle w:val="BodyText"/>
        <w:spacing w:before="1"/>
        <w:ind w:left="1280" w:right="802" w:hanging="720"/>
        <w:jc w:val="both"/>
      </w:pPr>
      <w:r>
        <w:rPr/>
        <w:t>Worwood, M. and May, A. (2012). IDA and iron overload: In Vacie and Lewis Practical Haematology.</w:t>
      </w:r>
      <w:r>
        <w:rPr>
          <w:spacing w:val="17"/>
        </w:rPr>
        <w:t> </w:t>
      </w:r>
      <w:r>
        <w:rPr/>
        <w:t>11</w:t>
      </w:r>
      <w:r>
        <w:rPr>
          <w:vertAlign w:val="superscript"/>
        </w:rPr>
        <w:t>th</w:t>
      </w:r>
      <w:r>
        <w:rPr>
          <w:spacing w:val="20"/>
          <w:vertAlign w:val="baseline"/>
        </w:rPr>
        <w:t> </w:t>
      </w:r>
      <w:r>
        <w:rPr>
          <w:vertAlign w:val="baseline"/>
        </w:rPr>
        <w:t>Edn.</w:t>
      </w:r>
      <w:r>
        <w:rPr>
          <w:spacing w:val="15"/>
          <w:vertAlign w:val="baseline"/>
        </w:rPr>
        <w:t> </w:t>
      </w:r>
      <w:r>
        <w:rPr>
          <w:vertAlign w:val="baseline"/>
        </w:rPr>
        <w:t>Edited</w:t>
      </w:r>
      <w:r>
        <w:rPr>
          <w:spacing w:val="17"/>
          <w:vertAlign w:val="baseline"/>
        </w:rPr>
        <w:t> </w:t>
      </w:r>
      <w:r>
        <w:rPr>
          <w:vertAlign w:val="baseline"/>
        </w:rPr>
        <w:t>by</w:t>
      </w:r>
      <w:r>
        <w:rPr>
          <w:spacing w:val="11"/>
          <w:vertAlign w:val="baseline"/>
        </w:rPr>
        <w:t> </w:t>
      </w:r>
      <w:r>
        <w:rPr>
          <w:vertAlign w:val="baseline"/>
        </w:rPr>
        <w:t>Barbara,</w:t>
      </w:r>
      <w:r>
        <w:rPr>
          <w:spacing w:val="17"/>
          <w:vertAlign w:val="baseline"/>
        </w:rPr>
        <w:t> </w:t>
      </w:r>
      <w:r>
        <w:rPr>
          <w:vertAlign w:val="baseline"/>
        </w:rPr>
        <w:t>J.B.,</w:t>
      </w:r>
      <w:r>
        <w:rPr>
          <w:spacing w:val="15"/>
          <w:vertAlign w:val="baseline"/>
        </w:rPr>
        <w:t> </w:t>
      </w:r>
      <w:r>
        <w:rPr>
          <w:vertAlign w:val="baseline"/>
        </w:rPr>
        <w:t>Imelda,</w:t>
      </w:r>
      <w:r>
        <w:rPr>
          <w:spacing w:val="18"/>
          <w:vertAlign w:val="baseline"/>
        </w:rPr>
        <w:t> </w:t>
      </w:r>
      <w:r>
        <w:rPr>
          <w:vertAlign w:val="baseline"/>
        </w:rPr>
        <w:t>B.,</w:t>
      </w:r>
      <w:r>
        <w:rPr>
          <w:spacing w:val="17"/>
          <w:vertAlign w:val="baseline"/>
        </w:rPr>
        <w:t> </w:t>
      </w:r>
      <w:r>
        <w:rPr>
          <w:vertAlign w:val="baseline"/>
        </w:rPr>
        <w:t>Mike,</w:t>
      </w:r>
      <w:r>
        <w:rPr>
          <w:spacing w:val="17"/>
          <w:vertAlign w:val="baseline"/>
        </w:rPr>
        <w:t> </w:t>
      </w:r>
      <w:r>
        <w:rPr>
          <w:vertAlign w:val="baseline"/>
        </w:rPr>
        <w:t>A.</w:t>
      </w:r>
      <w:r>
        <w:rPr>
          <w:spacing w:val="19"/>
          <w:vertAlign w:val="baseline"/>
        </w:rPr>
        <w:t> </w:t>
      </w:r>
      <w:r>
        <w:rPr>
          <w:vertAlign w:val="baseline"/>
        </w:rPr>
        <w:t>L.</w:t>
      </w:r>
      <w:r>
        <w:rPr>
          <w:spacing w:val="18"/>
          <w:vertAlign w:val="baseline"/>
        </w:rPr>
        <w:t> </w:t>
      </w:r>
      <w:r>
        <w:rPr>
          <w:vertAlign w:val="baseline"/>
        </w:rPr>
        <w:t>and</w:t>
      </w:r>
      <w:r>
        <w:rPr>
          <w:spacing w:val="20"/>
          <w:vertAlign w:val="baseline"/>
        </w:rPr>
        <w:t> </w:t>
      </w:r>
      <w:r>
        <w:rPr>
          <w:spacing w:val="-2"/>
          <w:vertAlign w:val="baseline"/>
        </w:rPr>
        <w:t>Lewis,</w:t>
      </w:r>
    </w:p>
    <w:p>
      <w:pPr>
        <w:pStyle w:val="BodyText"/>
        <w:ind w:left="1280"/>
      </w:pPr>
      <w:r>
        <w:rPr/>
        <w:t>S.</w:t>
      </w:r>
      <w:r>
        <w:rPr>
          <w:spacing w:val="-2"/>
        </w:rPr>
        <w:t> </w:t>
      </w:r>
      <w:r>
        <w:rPr/>
        <w:t>M.</w:t>
      </w:r>
      <w:r>
        <w:rPr>
          <w:spacing w:val="-1"/>
        </w:rPr>
        <w:t> </w:t>
      </w:r>
      <w:r>
        <w:rPr/>
        <w:t>Elsevier</w:t>
      </w:r>
      <w:r>
        <w:rPr>
          <w:spacing w:val="-4"/>
        </w:rPr>
        <w:t> </w:t>
      </w:r>
      <w:r>
        <w:rPr/>
        <w:t>ChurchHill</w:t>
      </w:r>
      <w:r>
        <w:rPr>
          <w:spacing w:val="1"/>
        </w:rPr>
        <w:t> </w:t>
      </w:r>
      <w:r>
        <w:rPr/>
        <w:t>Livingstone</w:t>
      </w:r>
      <w:r>
        <w:rPr>
          <w:spacing w:val="-1"/>
        </w:rPr>
        <w:t> </w:t>
      </w:r>
      <w:r>
        <w:rPr/>
        <w:t>LTD.</w:t>
      </w:r>
      <w:r>
        <w:rPr>
          <w:spacing w:val="-1"/>
        </w:rPr>
        <w:t> </w:t>
      </w:r>
      <w:r>
        <w:rPr/>
        <w:t>UK.</w:t>
      </w:r>
      <w:r>
        <w:rPr>
          <w:spacing w:val="-1"/>
        </w:rPr>
        <w:t> </w:t>
      </w:r>
      <w:r>
        <w:rPr/>
        <w:t>Pp</w:t>
      </w:r>
      <w:r>
        <w:rPr>
          <w:spacing w:val="-1"/>
        </w:rPr>
        <w:t> </w:t>
      </w:r>
      <w:r>
        <w:rPr/>
        <w:t>175-</w:t>
      </w:r>
      <w:r>
        <w:rPr>
          <w:spacing w:val="-4"/>
        </w:rPr>
        <w:t>200.</w:t>
      </w:r>
    </w:p>
    <w:p>
      <w:pPr>
        <w:spacing w:before="184"/>
        <w:ind w:left="1280" w:right="795" w:hanging="720"/>
        <w:jc w:val="both"/>
        <w:rPr>
          <w:sz w:val="24"/>
        </w:rPr>
      </w:pPr>
      <w:r>
        <w:rPr>
          <w:sz w:val="24"/>
        </w:rPr>
        <w:t>Yamada,</w:t>
      </w:r>
      <w:r>
        <w:rPr>
          <w:spacing w:val="-3"/>
          <w:sz w:val="24"/>
        </w:rPr>
        <w:t> </w:t>
      </w:r>
      <w:r>
        <w:rPr>
          <w:sz w:val="24"/>
        </w:rPr>
        <w:t>M.,</w:t>
      </w:r>
      <w:r>
        <w:rPr>
          <w:spacing w:val="-3"/>
          <w:sz w:val="24"/>
        </w:rPr>
        <w:t> </w:t>
      </w:r>
      <w:r>
        <w:rPr>
          <w:sz w:val="24"/>
        </w:rPr>
        <w:t>Steketee,</w:t>
      </w:r>
      <w:r>
        <w:rPr>
          <w:spacing w:val="-3"/>
          <w:sz w:val="24"/>
        </w:rPr>
        <w:t> </w:t>
      </w:r>
      <w:r>
        <w:rPr>
          <w:sz w:val="24"/>
        </w:rPr>
        <w:t>R.,</w:t>
      </w:r>
      <w:r>
        <w:rPr>
          <w:spacing w:val="-3"/>
          <w:sz w:val="24"/>
        </w:rPr>
        <w:t> </w:t>
      </w:r>
      <w:r>
        <w:rPr>
          <w:sz w:val="24"/>
        </w:rPr>
        <w:t>Abramowsky,</w:t>
      </w:r>
      <w:r>
        <w:rPr>
          <w:spacing w:val="-3"/>
          <w:sz w:val="24"/>
        </w:rPr>
        <w:t> </w:t>
      </w:r>
      <w:r>
        <w:rPr>
          <w:sz w:val="24"/>
        </w:rPr>
        <w:t>C.,</w:t>
      </w:r>
      <w:r>
        <w:rPr>
          <w:spacing w:val="-3"/>
          <w:sz w:val="24"/>
        </w:rPr>
        <w:t> </w:t>
      </w:r>
      <w:r>
        <w:rPr>
          <w:sz w:val="24"/>
        </w:rPr>
        <w:t>Kida,</w:t>
      </w:r>
      <w:r>
        <w:rPr>
          <w:spacing w:val="-3"/>
          <w:sz w:val="24"/>
        </w:rPr>
        <w:t> </w:t>
      </w:r>
      <w:r>
        <w:rPr>
          <w:sz w:val="24"/>
        </w:rPr>
        <w:t>M.,</w:t>
      </w:r>
      <w:r>
        <w:rPr>
          <w:spacing w:val="-3"/>
          <w:sz w:val="24"/>
        </w:rPr>
        <w:t> </w:t>
      </w:r>
      <w:r>
        <w:rPr>
          <w:sz w:val="24"/>
        </w:rPr>
        <w:t>Wirima,</w:t>
      </w:r>
      <w:r>
        <w:rPr>
          <w:spacing w:val="-1"/>
          <w:sz w:val="24"/>
        </w:rPr>
        <w:t> </w:t>
      </w:r>
      <w:r>
        <w:rPr>
          <w:sz w:val="24"/>
        </w:rPr>
        <w:t>J.,</w:t>
      </w:r>
      <w:r>
        <w:rPr>
          <w:spacing w:val="-3"/>
          <w:sz w:val="24"/>
        </w:rPr>
        <w:t> </w:t>
      </w:r>
      <w:r>
        <w:rPr>
          <w:sz w:val="24"/>
        </w:rPr>
        <w:t>Heymann,</w:t>
      </w:r>
      <w:r>
        <w:rPr>
          <w:spacing w:val="-3"/>
          <w:sz w:val="24"/>
        </w:rPr>
        <w:t> </w:t>
      </w:r>
      <w:r>
        <w:rPr>
          <w:sz w:val="24"/>
        </w:rPr>
        <w:t>D.,</w:t>
      </w:r>
      <w:r>
        <w:rPr>
          <w:spacing w:val="-3"/>
          <w:sz w:val="24"/>
        </w:rPr>
        <w:t> </w:t>
      </w:r>
      <w:r>
        <w:rPr>
          <w:sz w:val="24"/>
        </w:rPr>
        <w:t>Rabbege,</w:t>
      </w:r>
      <w:r>
        <w:rPr>
          <w:spacing w:val="-1"/>
          <w:sz w:val="24"/>
        </w:rPr>
        <w:t> </w:t>
      </w:r>
      <w:r>
        <w:rPr>
          <w:sz w:val="24"/>
        </w:rPr>
        <w:t>J., Breman, J. and Aikawa, M. (2007). </w:t>
      </w:r>
      <w:r>
        <w:rPr>
          <w:i/>
          <w:sz w:val="24"/>
        </w:rPr>
        <w:t>Plasmodium falciparum </w:t>
      </w:r>
      <w:r>
        <w:rPr>
          <w:sz w:val="24"/>
        </w:rPr>
        <w:t>associated placental pathology: a light and electron microscopic and immune-histologic study. </w:t>
      </w:r>
      <w:r>
        <w:rPr>
          <w:i/>
          <w:sz w:val="24"/>
        </w:rPr>
        <w:t>The American Journal of Tropical Medicine and Hygiene</w:t>
      </w:r>
      <w:r>
        <w:rPr>
          <w:sz w:val="24"/>
        </w:rPr>
        <w:t>; 41(</w:t>
      </w:r>
      <w:r>
        <w:rPr>
          <w:b/>
          <w:sz w:val="24"/>
        </w:rPr>
        <w:t>2</w:t>
      </w:r>
      <w:r>
        <w:rPr>
          <w:sz w:val="24"/>
        </w:rPr>
        <w:t>): 161-168.</w:t>
      </w:r>
    </w:p>
    <w:p>
      <w:pPr>
        <w:spacing w:before="183"/>
        <w:ind w:left="1280" w:right="795" w:hanging="720"/>
        <w:jc w:val="both"/>
        <w:rPr>
          <w:sz w:val="24"/>
        </w:rPr>
      </w:pPr>
      <w:r>
        <w:rPr>
          <w:sz w:val="24"/>
        </w:rPr>
        <w:t>Yasmin, S., Osrin, D., Paul, E. and Costello, A. (2001).Neonatal mortality of low birth</w:t>
      </w:r>
      <w:r>
        <w:rPr>
          <w:spacing w:val="80"/>
          <w:sz w:val="24"/>
        </w:rPr>
        <w:t> </w:t>
      </w:r>
      <w:r>
        <w:rPr>
          <w:sz w:val="24"/>
        </w:rPr>
        <w:t>weight infants in Bangladesh.</w:t>
      </w:r>
      <w:r>
        <w:rPr>
          <w:i/>
          <w:sz w:val="24"/>
        </w:rPr>
        <w:t>Bulletin of the World Health Organization</w:t>
      </w:r>
      <w:r>
        <w:rPr>
          <w:sz w:val="24"/>
        </w:rPr>
        <w:t>; 29(</w:t>
      </w:r>
      <w:r>
        <w:rPr>
          <w:b/>
          <w:sz w:val="24"/>
        </w:rPr>
        <w:t>7</w:t>
      </w:r>
      <w:r>
        <w:rPr>
          <w:sz w:val="24"/>
        </w:rPr>
        <w:t>): 608- </w:t>
      </w:r>
      <w:r>
        <w:rPr>
          <w:spacing w:val="-4"/>
          <w:sz w:val="24"/>
        </w:rPr>
        <w:t>614</w:t>
      </w:r>
    </w:p>
    <w:p>
      <w:pPr>
        <w:pStyle w:val="BodyText"/>
      </w:pPr>
    </w:p>
    <w:p>
      <w:pPr>
        <w:pStyle w:val="BodyText"/>
        <w:spacing w:before="1"/>
        <w:ind w:left="1280" w:right="797" w:hanging="660"/>
        <w:jc w:val="both"/>
      </w:pPr>
      <w:r>
        <w:rPr/>
        <w:t>Yasnot, M. F., Perkins, J D., Corredo M., Yanow, S., Carmona-Fonseca J. and Maestre A.: The effects of </w:t>
      </w:r>
      <w:r>
        <w:rPr>
          <w:i/>
        </w:rPr>
        <w:t>Plasmodium vivax </w:t>
      </w:r>
      <w:r>
        <w:rPr/>
        <w:t>gestational malaria on the clinical and immune</w:t>
      </w:r>
      <w:r>
        <w:rPr>
          <w:spacing w:val="40"/>
        </w:rPr>
        <w:t> </w:t>
      </w:r>
      <w:r>
        <w:rPr/>
        <w:t>status of pregnant women in Northwestern Colombia. </w:t>
      </w:r>
      <w:r>
        <w:rPr>
          <w:i/>
        </w:rPr>
        <w:t>Colombia Medica</w:t>
      </w:r>
      <w:r>
        <w:rPr/>
        <w:t>; 44(3):172-7</w:t>
      </w:r>
    </w:p>
    <w:p>
      <w:pPr>
        <w:pStyle w:val="BodyText"/>
        <w:spacing w:before="276"/>
        <w:ind w:left="1280" w:right="951" w:hanging="720"/>
      </w:pPr>
      <w:r>
        <w:rPr/>
        <w:t>Xie,</w:t>
      </w:r>
      <w:r>
        <w:rPr>
          <w:spacing w:val="-3"/>
        </w:rPr>
        <w:t> </w:t>
      </w:r>
      <w:r>
        <w:rPr/>
        <w:t>Y.</w:t>
      </w:r>
      <w:r>
        <w:rPr>
          <w:spacing w:val="-3"/>
        </w:rPr>
        <w:t> </w:t>
      </w:r>
      <w:r>
        <w:rPr/>
        <w:t>W.</w:t>
      </w:r>
      <w:r>
        <w:rPr>
          <w:spacing w:val="-3"/>
        </w:rPr>
        <w:t> </w:t>
      </w:r>
      <w:r>
        <w:rPr/>
        <w:t>and</w:t>
      </w:r>
      <w:r>
        <w:rPr>
          <w:spacing w:val="-3"/>
        </w:rPr>
        <w:t> </w:t>
      </w:r>
      <w:r>
        <w:rPr/>
        <w:t>Wolin,</w:t>
      </w:r>
      <w:r>
        <w:rPr>
          <w:spacing w:val="-3"/>
        </w:rPr>
        <w:t> </w:t>
      </w:r>
      <w:r>
        <w:rPr/>
        <w:t>M.</w:t>
      </w:r>
      <w:r>
        <w:rPr>
          <w:spacing w:val="-3"/>
        </w:rPr>
        <w:t> </w:t>
      </w:r>
      <w:r>
        <w:rPr/>
        <w:t>S.</w:t>
      </w:r>
      <w:r>
        <w:rPr>
          <w:spacing w:val="-3"/>
        </w:rPr>
        <w:t> </w:t>
      </w:r>
      <w:r>
        <w:rPr/>
        <w:t>(1996).</w:t>
      </w:r>
      <w:r>
        <w:rPr>
          <w:spacing w:val="-3"/>
        </w:rPr>
        <w:t> </w:t>
      </w:r>
      <w:r>
        <w:rPr/>
        <w:t>Role</w:t>
      </w:r>
      <w:r>
        <w:rPr>
          <w:spacing w:val="-4"/>
        </w:rPr>
        <w:t> </w:t>
      </w:r>
      <w:r>
        <w:rPr/>
        <w:t>of</w:t>
      </w:r>
      <w:r>
        <w:rPr>
          <w:spacing w:val="-3"/>
        </w:rPr>
        <w:t> </w:t>
      </w:r>
      <w:r>
        <w:rPr/>
        <w:t>nitric</w:t>
      </w:r>
      <w:r>
        <w:rPr>
          <w:spacing w:val="-4"/>
        </w:rPr>
        <w:t> </w:t>
      </w:r>
      <w:r>
        <w:rPr/>
        <w:t>oxide</w:t>
      </w:r>
      <w:r>
        <w:rPr>
          <w:spacing w:val="-3"/>
        </w:rPr>
        <w:t> </w:t>
      </w:r>
      <w:r>
        <w:rPr/>
        <w:t>and</w:t>
      </w:r>
      <w:r>
        <w:rPr>
          <w:spacing w:val="-3"/>
        </w:rPr>
        <w:t> </w:t>
      </w:r>
      <w:r>
        <w:rPr/>
        <w:t>its</w:t>
      </w:r>
      <w:r>
        <w:rPr>
          <w:spacing w:val="-3"/>
        </w:rPr>
        <w:t> </w:t>
      </w:r>
      <w:r>
        <w:rPr/>
        <w:t>interaction</w:t>
      </w:r>
      <w:r>
        <w:rPr>
          <w:spacing w:val="-1"/>
        </w:rPr>
        <w:t> </w:t>
      </w:r>
      <w:r>
        <w:rPr/>
        <w:t>with</w:t>
      </w:r>
      <w:r>
        <w:rPr>
          <w:spacing w:val="-3"/>
        </w:rPr>
        <w:t> </w:t>
      </w:r>
      <w:r>
        <w:rPr/>
        <w:t>superoxide in the suppressiong of cardiac muscle mitochondrial respiration. Involvement in response to hypoxia/ reoxygenation. </w:t>
      </w:r>
      <w:r>
        <w:rPr>
          <w:i/>
        </w:rPr>
        <w:t>Circulation; </w:t>
      </w:r>
      <w:r>
        <w:rPr/>
        <w:t>94 </w:t>
      </w:r>
      <w:r>
        <w:rPr>
          <w:b/>
        </w:rPr>
        <w:t>(10): </w:t>
      </w:r>
      <w:r>
        <w:rPr/>
        <w:t>2580 – 2586</w:t>
      </w:r>
    </w:p>
    <w:p>
      <w:pPr>
        <w:pStyle w:val="BodyText"/>
        <w:spacing w:before="156"/>
      </w:pPr>
    </w:p>
    <w:p>
      <w:pPr>
        <w:spacing w:before="0"/>
        <w:ind w:left="1280" w:right="795" w:hanging="720"/>
        <w:jc w:val="left"/>
        <w:rPr>
          <w:sz w:val="24"/>
        </w:rPr>
      </w:pPr>
      <w:r>
        <w:rPr>
          <w:sz w:val="24"/>
        </w:rPr>
        <w:t>Zeyrek, F. Y., Kurcer, M. A. and Simsek, Z. (2006). Parasite density and serum cytokine levels</w:t>
      </w:r>
      <w:r>
        <w:rPr>
          <w:spacing w:val="-4"/>
          <w:sz w:val="24"/>
        </w:rPr>
        <w:t> </w:t>
      </w:r>
      <w:r>
        <w:rPr>
          <w:sz w:val="24"/>
        </w:rPr>
        <w:t>in</w:t>
      </w:r>
      <w:r>
        <w:rPr>
          <w:spacing w:val="-4"/>
          <w:sz w:val="24"/>
        </w:rPr>
        <w:t> </w:t>
      </w:r>
      <w:r>
        <w:rPr>
          <w:i/>
          <w:sz w:val="24"/>
        </w:rPr>
        <w:t>Plasmodium</w:t>
      </w:r>
      <w:r>
        <w:rPr>
          <w:i/>
          <w:spacing w:val="-4"/>
          <w:sz w:val="24"/>
        </w:rPr>
        <w:t> </w:t>
      </w:r>
      <w:r>
        <w:rPr>
          <w:i/>
          <w:sz w:val="24"/>
        </w:rPr>
        <w:t>vivax</w:t>
      </w:r>
      <w:r>
        <w:rPr>
          <w:i/>
          <w:spacing w:val="-5"/>
          <w:sz w:val="24"/>
        </w:rPr>
        <w:t> </w:t>
      </w:r>
      <w:r>
        <w:rPr>
          <w:sz w:val="24"/>
        </w:rPr>
        <w:t>malaria</w:t>
      </w:r>
      <w:r>
        <w:rPr>
          <w:spacing w:val="-6"/>
          <w:sz w:val="24"/>
        </w:rPr>
        <w:t> </w:t>
      </w:r>
      <w:r>
        <w:rPr>
          <w:sz w:val="24"/>
        </w:rPr>
        <w:t>in</w:t>
      </w:r>
      <w:r>
        <w:rPr>
          <w:spacing w:val="-4"/>
          <w:sz w:val="24"/>
        </w:rPr>
        <w:t> </w:t>
      </w:r>
      <w:r>
        <w:rPr>
          <w:sz w:val="24"/>
        </w:rPr>
        <w:t>Turkey.</w:t>
      </w:r>
      <w:r>
        <w:rPr>
          <w:spacing w:val="-3"/>
          <w:sz w:val="24"/>
        </w:rPr>
        <w:t> </w:t>
      </w:r>
      <w:r>
        <w:rPr>
          <w:i/>
          <w:sz w:val="24"/>
        </w:rPr>
        <w:t>Parasite</w:t>
      </w:r>
      <w:r>
        <w:rPr>
          <w:i/>
          <w:spacing w:val="-4"/>
          <w:sz w:val="24"/>
        </w:rPr>
        <w:t> </w:t>
      </w:r>
      <w:r>
        <w:rPr>
          <w:i/>
          <w:sz w:val="24"/>
        </w:rPr>
        <w:t>Immunology;</w:t>
      </w:r>
      <w:r>
        <w:rPr>
          <w:b/>
          <w:sz w:val="24"/>
        </w:rPr>
        <w:t>28(5)</w:t>
      </w:r>
      <w:r>
        <w:rPr>
          <w:b/>
          <w:spacing w:val="-2"/>
          <w:sz w:val="24"/>
        </w:rPr>
        <w:t> </w:t>
      </w:r>
      <w:r>
        <w:rPr>
          <w:sz w:val="24"/>
        </w:rPr>
        <w:t>:201-207</w:t>
      </w:r>
    </w:p>
    <w:p>
      <w:pPr>
        <w:spacing w:after="0"/>
        <w:jc w:val="left"/>
        <w:rPr>
          <w:sz w:val="24"/>
        </w:rPr>
        <w:sectPr>
          <w:pgSz w:w="11910" w:h="16840"/>
          <w:pgMar w:header="0" w:footer="1067" w:top="1060" w:bottom="1260" w:left="880" w:right="640"/>
        </w:sectPr>
      </w:pPr>
    </w:p>
    <w:p>
      <w:pPr>
        <w:pStyle w:val="BodyText"/>
        <w:spacing w:before="11"/>
        <w:rPr>
          <w:sz w:val="23"/>
        </w:rPr>
      </w:pPr>
    </w:p>
    <w:p>
      <w:pPr>
        <w:spacing w:before="0"/>
        <w:ind w:left="0" w:right="238" w:firstLine="0"/>
        <w:jc w:val="center"/>
        <w:rPr>
          <w:b/>
          <w:sz w:val="23"/>
        </w:rPr>
      </w:pPr>
      <w:r>
        <w:rPr>
          <w:b/>
          <w:sz w:val="23"/>
        </w:rPr>
        <w:t>APPENDIX</w:t>
      </w:r>
      <w:r>
        <w:rPr>
          <w:b/>
          <w:spacing w:val="-8"/>
          <w:sz w:val="23"/>
        </w:rPr>
        <w:t> </w:t>
      </w:r>
      <w:r>
        <w:rPr>
          <w:b/>
          <w:spacing w:val="-5"/>
          <w:sz w:val="23"/>
        </w:rPr>
        <w:t>IA</w:t>
      </w:r>
    </w:p>
    <w:p>
      <w:pPr>
        <w:pStyle w:val="BodyText"/>
        <w:rPr>
          <w:b/>
          <w:sz w:val="20"/>
        </w:rPr>
      </w:pPr>
    </w:p>
    <w:p>
      <w:pPr>
        <w:pStyle w:val="BodyText"/>
        <w:spacing w:before="45"/>
        <w:rPr>
          <w:b/>
          <w:sz w:val="20"/>
        </w:rPr>
      </w:pPr>
      <w:r>
        <w:rPr/>
        <w:drawing>
          <wp:anchor distT="0" distB="0" distL="0" distR="0" allowOverlap="1" layoutInCell="1" locked="0" behindDoc="1" simplePos="0" relativeHeight="487599616">
            <wp:simplePos x="0" y="0"/>
            <wp:positionH relativeFrom="page">
              <wp:posOffset>914400</wp:posOffset>
            </wp:positionH>
            <wp:positionV relativeFrom="paragraph">
              <wp:posOffset>190286</wp:posOffset>
            </wp:positionV>
            <wp:extent cx="5652101" cy="7274052"/>
            <wp:effectExtent l="0" t="0" r="0" b="0"/>
            <wp:wrapTopAndBottom/>
            <wp:docPr id="55" name="Image 55" descr="C:\Users\ovic\Desktop\scan0008.jpg"/>
            <wp:cNvGraphicFramePr>
              <a:graphicFrameLocks/>
            </wp:cNvGraphicFramePr>
            <a:graphic>
              <a:graphicData uri="http://schemas.openxmlformats.org/drawingml/2006/picture">
                <pic:pic>
                  <pic:nvPicPr>
                    <pic:cNvPr id="55" name="Image 55" descr="C:\Users\ovic\Desktop\scan0008.jpg"/>
                    <pic:cNvPicPr/>
                  </pic:nvPicPr>
                  <pic:blipFill>
                    <a:blip r:embed="rId25" cstate="print"/>
                    <a:stretch>
                      <a:fillRect/>
                    </a:stretch>
                  </pic:blipFill>
                  <pic:spPr>
                    <a:xfrm>
                      <a:off x="0" y="0"/>
                      <a:ext cx="5652101" cy="7274052"/>
                    </a:xfrm>
                    <a:prstGeom prst="rect">
                      <a:avLst/>
                    </a:prstGeom>
                  </pic:spPr>
                </pic:pic>
              </a:graphicData>
            </a:graphic>
          </wp:anchor>
        </w:drawing>
      </w:r>
    </w:p>
    <w:p>
      <w:pPr>
        <w:spacing w:after="0"/>
        <w:rPr>
          <w:sz w:val="20"/>
        </w:rPr>
        <w:sectPr>
          <w:pgSz w:w="11910" w:h="16840"/>
          <w:pgMar w:header="0" w:footer="1067" w:top="1920" w:bottom="1260" w:left="880" w:right="640"/>
        </w:sectPr>
      </w:pPr>
    </w:p>
    <w:p>
      <w:pPr>
        <w:spacing w:before="77"/>
        <w:ind w:left="0" w:right="238" w:firstLine="0"/>
        <w:jc w:val="center"/>
        <w:rPr>
          <w:b/>
          <w:sz w:val="23"/>
        </w:rPr>
      </w:pPr>
      <w:r>
        <w:rPr>
          <w:b/>
          <w:sz w:val="23"/>
        </w:rPr>
        <w:t>APPENDIX</w:t>
      </w:r>
      <w:r>
        <w:rPr>
          <w:b/>
          <w:spacing w:val="-8"/>
          <w:sz w:val="23"/>
        </w:rPr>
        <w:t> </w:t>
      </w:r>
      <w:r>
        <w:rPr>
          <w:b/>
          <w:spacing w:val="-5"/>
          <w:sz w:val="23"/>
        </w:rPr>
        <w:t>IB</w:t>
      </w:r>
    </w:p>
    <w:p>
      <w:pPr>
        <w:pStyle w:val="BodyText"/>
        <w:rPr>
          <w:b/>
          <w:sz w:val="20"/>
        </w:rPr>
      </w:pPr>
    </w:p>
    <w:p>
      <w:pPr>
        <w:pStyle w:val="BodyText"/>
        <w:spacing w:before="47"/>
        <w:rPr>
          <w:b/>
          <w:sz w:val="20"/>
        </w:rPr>
      </w:pPr>
      <w:r>
        <w:rPr/>
        <w:drawing>
          <wp:anchor distT="0" distB="0" distL="0" distR="0" allowOverlap="1" layoutInCell="1" locked="0" behindDoc="1" simplePos="0" relativeHeight="487600128">
            <wp:simplePos x="0" y="0"/>
            <wp:positionH relativeFrom="page">
              <wp:posOffset>914400</wp:posOffset>
            </wp:positionH>
            <wp:positionV relativeFrom="paragraph">
              <wp:posOffset>191352</wp:posOffset>
            </wp:positionV>
            <wp:extent cx="5654381" cy="6884955"/>
            <wp:effectExtent l="0" t="0" r="0" b="0"/>
            <wp:wrapTopAndBottom/>
            <wp:docPr id="56" name="Image 56" descr="C:\Users\ovic\Desktop\scan0007.jpg"/>
            <wp:cNvGraphicFramePr>
              <a:graphicFrameLocks/>
            </wp:cNvGraphicFramePr>
            <a:graphic>
              <a:graphicData uri="http://schemas.openxmlformats.org/drawingml/2006/picture">
                <pic:pic>
                  <pic:nvPicPr>
                    <pic:cNvPr id="56" name="Image 56" descr="C:\Users\ovic\Desktop\scan0007.jpg"/>
                    <pic:cNvPicPr/>
                  </pic:nvPicPr>
                  <pic:blipFill>
                    <a:blip r:embed="rId26" cstate="print"/>
                    <a:stretch>
                      <a:fillRect/>
                    </a:stretch>
                  </pic:blipFill>
                  <pic:spPr>
                    <a:xfrm>
                      <a:off x="0" y="0"/>
                      <a:ext cx="5654381" cy="6884955"/>
                    </a:xfrm>
                    <a:prstGeom prst="rect">
                      <a:avLst/>
                    </a:prstGeom>
                  </pic:spPr>
                </pic:pic>
              </a:graphicData>
            </a:graphic>
          </wp:anchor>
        </w:drawing>
      </w:r>
    </w:p>
    <w:p>
      <w:pPr>
        <w:spacing w:after="0"/>
        <w:rPr>
          <w:sz w:val="20"/>
        </w:rPr>
        <w:sectPr>
          <w:pgSz w:w="11910" w:h="16840"/>
          <w:pgMar w:header="0" w:footer="1067" w:top="1060" w:bottom="1260" w:left="880" w:right="640"/>
        </w:sectPr>
      </w:pPr>
    </w:p>
    <w:p>
      <w:pPr>
        <w:spacing w:before="77"/>
        <w:ind w:left="0" w:right="239" w:firstLine="0"/>
        <w:jc w:val="center"/>
        <w:rPr>
          <w:b/>
          <w:sz w:val="23"/>
        </w:rPr>
      </w:pPr>
      <w:r>
        <w:rPr>
          <w:b/>
          <w:sz w:val="23"/>
        </w:rPr>
        <w:t>APPENDIX</w:t>
      </w:r>
      <w:r>
        <w:rPr>
          <w:b/>
          <w:spacing w:val="-8"/>
          <w:sz w:val="23"/>
        </w:rPr>
        <w:t> </w:t>
      </w:r>
      <w:r>
        <w:rPr>
          <w:b/>
          <w:spacing w:val="-5"/>
          <w:sz w:val="23"/>
        </w:rPr>
        <w:t>II</w:t>
      </w:r>
    </w:p>
    <w:p>
      <w:pPr>
        <w:spacing w:line="360" w:lineRule="auto" w:before="127"/>
        <w:ind w:left="2250" w:right="2491" w:firstLine="3"/>
        <w:jc w:val="center"/>
        <w:rPr>
          <w:sz w:val="23"/>
        </w:rPr>
      </w:pPr>
      <w:r>
        <w:rPr>
          <w:sz w:val="23"/>
        </w:rPr>
        <w:t>QUESTIONNAIRE AND CONFIDENTIALITY FORM DEPARTMENT</w:t>
      </w:r>
      <w:r>
        <w:rPr>
          <w:spacing w:val="-10"/>
          <w:sz w:val="23"/>
        </w:rPr>
        <w:t> </w:t>
      </w:r>
      <w:r>
        <w:rPr>
          <w:sz w:val="23"/>
        </w:rPr>
        <w:t>OF</w:t>
      </w:r>
      <w:r>
        <w:rPr>
          <w:spacing w:val="-13"/>
          <w:sz w:val="23"/>
        </w:rPr>
        <w:t> </w:t>
      </w:r>
      <w:r>
        <w:rPr>
          <w:sz w:val="23"/>
        </w:rPr>
        <w:t>MEDICAL</w:t>
      </w:r>
      <w:r>
        <w:rPr>
          <w:spacing w:val="-10"/>
          <w:sz w:val="23"/>
        </w:rPr>
        <w:t> </w:t>
      </w:r>
      <w:r>
        <w:rPr>
          <w:sz w:val="23"/>
        </w:rPr>
        <w:t>LABORATORY</w:t>
      </w:r>
      <w:r>
        <w:rPr>
          <w:spacing w:val="-9"/>
          <w:sz w:val="23"/>
        </w:rPr>
        <w:t> </w:t>
      </w:r>
      <w:r>
        <w:rPr>
          <w:sz w:val="23"/>
        </w:rPr>
        <w:t>SCIENCE NNAMDI AZIKIWE UNIVERSITY, NNEWI CAMPUS</w:t>
      </w:r>
    </w:p>
    <w:p>
      <w:pPr>
        <w:pStyle w:val="BodyText"/>
        <w:spacing w:before="132"/>
        <w:rPr>
          <w:sz w:val="23"/>
        </w:rPr>
      </w:pPr>
    </w:p>
    <w:p>
      <w:pPr>
        <w:spacing w:line="360" w:lineRule="auto" w:before="0"/>
        <w:ind w:left="560" w:right="797" w:firstLine="6116"/>
        <w:jc w:val="both"/>
        <w:rPr>
          <w:sz w:val="23"/>
        </w:rPr>
      </w:pPr>
      <w:r>
        <w:rPr>
          <w:sz w:val="23"/>
        </w:rPr>
        <w:t>Date:</w:t>
      </w:r>
      <w:r>
        <w:rPr>
          <w:spacing w:val="-15"/>
          <w:sz w:val="23"/>
        </w:rPr>
        <w:t> </w:t>
      </w:r>
      <w:r>
        <w:rPr>
          <w:sz w:val="23"/>
        </w:rPr>
        <w:t>…………………………. The content of the questionnaire and confidentiality form will be read and explained both in English and Igbo languages for proper interpretation and understanding of the documentation. To this level, the questionnaire and confidentiality form uses the laboratory code and numbers</w:t>
      </w:r>
      <w:r>
        <w:rPr>
          <w:spacing w:val="40"/>
          <w:sz w:val="23"/>
        </w:rPr>
        <w:t> </w:t>
      </w:r>
      <w:r>
        <w:rPr>
          <w:sz w:val="23"/>
        </w:rPr>
        <w:t>instead of subject‟s names. Residential address and correspondences of the subjects are not </w:t>
      </w:r>
      <w:r>
        <w:rPr>
          <w:spacing w:val="-2"/>
          <w:sz w:val="23"/>
        </w:rPr>
        <w:t>required.</w:t>
      </w:r>
    </w:p>
    <w:p>
      <w:pPr>
        <w:pStyle w:val="BodyText"/>
        <w:spacing w:before="135"/>
        <w:rPr>
          <w:sz w:val="23"/>
        </w:rPr>
      </w:pPr>
    </w:p>
    <w:p>
      <w:pPr>
        <w:spacing w:line="360" w:lineRule="auto" w:before="0"/>
        <w:ind w:left="560" w:right="806" w:firstLine="0"/>
        <w:jc w:val="both"/>
        <w:rPr>
          <w:sz w:val="23"/>
        </w:rPr>
      </w:pPr>
      <w:r>
        <w:rPr>
          <w:sz w:val="23"/>
        </w:rPr>
        <w:t>Also, unlinked anonymous testing will be used in the study.</w:t>
      </w:r>
      <w:r>
        <w:rPr>
          <w:spacing w:val="40"/>
          <w:sz w:val="23"/>
        </w:rPr>
        <w:t> </w:t>
      </w:r>
      <w:r>
        <w:rPr>
          <w:sz w:val="23"/>
        </w:rPr>
        <w:t>After sample collection, all information that could identify the source of the blood will be eliminated from the sample </w:t>
      </w:r>
      <w:r>
        <w:rPr>
          <w:spacing w:val="-2"/>
          <w:sz w:val="23"/>
        </w:rPr>
        <w:t>containers.</w:t>
      </w:r>
    </w:p>
    <w:p>
      <w:pPr>
        <w:pStyle w:val="BodyText"/>
        <w:spacing w:before="132"/>
        <w:rPr>
          <w:sz w:val="23"/>
        </w:rPr>
      </w:pPr>
    </w:p>
    <w:p>
      <w:pPr>
        <w:spacing w:before="0"/>
        <w:ind w:left="560" w:right="0" w:firstLine="0"/>
        <w:jc w:val="both"/>
        <w:rPr>
          <w:sz w:val="23"/>
        </w:rPr>
      </w:pPr>
      <w:r>
        <w:rPr>
          <w:sz w:val="23"/>
        </w:rPr>
        <w:t>PLEASE</w:t>
      </w:r>
      <w:r>
        <w:rPr>
          <w:spacing w:val="-6"/>
          <w:sz w:val="23"/>
        </w:rPr>
        <w:t> </w:t>
      </w:r>
      <w:r>
        <w:rPr>
          <w:sz w:val="23"/>
        </w:rPr>
        <w:t>GIVE</w:t>
      </w:r>
      <w:r>
        <w:rPr>
          <w:spacing w:val="-4"/>
          <w:sz w:val="23"/>
        </w:rPr>
        <w:t> </w:t>
      </w:r>
      <w:r>
        <w:rPr>
          <w:sz w:val="23"/>
        </w:rPr>
        <w:t>THE</w:t>
      </w:r>
      <w:r>
        <w:rPr>
          <w:spacing w:val="-4"/>
          <w:sz w:val="23"/>
        </w:rPr>
        <w:t> </w:t>
      </w:r>
      <w:r>
        <w:rPr>
          <w:sz w:val="23"/>
        </w:rPr>
        <w:t>INFORMATION</w:t>
      </w:r>
      <w:r>
        <w:rPr>
          <w:spacing w:val="-5"/>
          <w:sz w:val="23"/>
        </w:rPr>
        <w:t> </w:t>
      </w:r>
      <w:r>
        <w:rPr>
          <w:sz w:val="23"/>
        </w:rPr>
        <w:t>REQUIRED</w:t>
      </w:r>
      <w:r>
        <w:rPr>
          <w:spacing w:val="-4"/>
          <w:sz w:val="23"/>
        </w:rPr>
        <w:t> </w:t>
      </w:r>
      <w:r>
        <w:rPr>
          <w:spacing w:val="-2"/>
          <w:sz w:val="23"/>
        </w:rPr>
        <w:t>CORRECTLY</w:t>
      </w:r>
    </w:p>
    <w:p>
      <w:pPr>
        <w:spacing w:before="132"/>
        <w:ind w:left="560" w:right="0" w:firstLine="0"/>
        <w:jc w:val="both"/>
        <w:rPr>
          <w:sz w:val="23"/>
        </w:rPr>
      </w:pPr>
      <w:r>
        <w:rPr>
          <w:sz w:val="23"/>
        </w:rPr>
        <w:t>LAB</w:t>
      </w:r>
      <w:r>
        <w:rPr>
          <w:spacing w:val="-5"/>
          <w:sz w:val="23"/>
        </w:rPr>
        <w:t> </w:t>
      </w:r>
      <w:r>
        <w:rPr>
          <w:sz w:val="23"/>
        </w:rPr>
        <w:t>NO:</w:t>
      </w:r>
      <w:r>
        <w:rPr>
          <w:spacing w:val="-4"/>
          <w:sz w:val="23"/>
        </w:rPr>
        <w:t> </w:t>
      </w:r>
      <w:r>
        <w:rPr>
          <w:sz w:val="23"/>
        </w:rPr>
        <w:t>……………………………..</w:t>
      </w:r>
      <w:r>
        <w:rPr>
          <w:spacing w:val="75"/>
          <w:sz w:val="23"/>
        </w:rPr>
        <w:t>  </w:t>
      </w:r>
      <w:r>
        <w:rPr>
          <w:sz w:val="23"/>
        </w:rPr>
        <w:t>PATIENT‟S</w:t>
      </w:r>
      <w:r>
        <w:rPr>
          <w:spacing w:val="-6"/>
          <w:sz w:val="23"/>
        </w:rPr>
        <w:t> </w:t>
      </w:r>
      <w:r>
        <w:rPr>
          <w:sz w:val="23"/>
        </w:rPr>
        <w:t>CODE:</w:t>
      </w:r>
      <w:r>
        <w:rPr>
          <w:spacing w:val="-4"/>
          <w:sz w:val="23"/>
        </w:rPr>
        <w:t> </w:t>
      </w:r>
      <w:r>
        <w:rPr>
          <w:spacing w:val="-2"/>
          <w:sz w:val="23"/>
        </w:rPr>
        <w:t>………….</w:t>
      </w:r>
    </w:p>
    <w:p>
      <w:pPr>
        <w:pStyle w:val="BodyText"/>
        <w:rPr>
          <w:sz w:val="23"/>
        </w:rPr>
      </w:pPr>
    </w:p>
    <w:p>
      <w:pPr>
        <w:pStyle w:val="BodyText"/>
        <w:spacing w:before="5"/>
        <w:rPr>
          <w:sz w:val="23"/>
        </w:rPr>
      </w:pPr>
    </w:p>
    <w:p>
      <w:pPr>
        <w:spacing w:before="0"/>
        <w:ind w:left="0" w:right="239" w:firstLine="0"/>
        <w:jc w:val="center"/>
        <w:rPr>
          <w:b/>
          <w:sz w:val="23"/>
        </w:rPr>
      </w:pPr>
      <w:r>
        <w:rPr>
          <w:b/>
          <w:sz w:val="23"/>
        </w:rPr>
        <w:t>SECTION</w:t>
      </w:r>
      <w:r>
        <w:rPr>
          <w:b/>
          <w:spacing w:val="-4"/>
          <w:sz w:val="23"/>
        </w:rPr>
        <w:t> </w:t>
      </w:r>
      <w:r>
        <w:rPr>
          <w:b/>
          <w:sz w:val="23"/>
        </w:rPr>
        <w:t>A:</w:t>
      </w:r>
      <w:r>
        <w:rPr>
          <w:b/>
          <w:spacing w:val="-4"/>
          <w:sz w:val="23"/>
        </w:rPr>
        <w:t> </w:t>
      </w:r>
      <w:r>
        <w:rPr>
          <w:b/>
          <w:sz w:val="23"/>
        </w:rPr>
        <w:t>ANTHROPOMETRIC</w:t>
      </w:r>
      <w:r>
        <w:rPr>
          <w:b/>
          <w:spacing w:val="-3"/>
          <w:sz w:val="23"/>
        </w:rPr>
        <w:t> </w:t>
      </w:r>
      <w:r>
        <w:rPr>
          <w:b/>
          <w:spacing w:val="-4"/>
          <w:sz w:val="23"/>
        </w:rPr>
        <w:t>DATA</w:t>
      </w:r>
    </w:p>
    <w:p>
      <w:pPr>
        <w:spacing w:before="127"/>
        <w:ind w:left="0" w:right="7813" w:firstLine="0"/>
        <w:jc w:val="center"/>
        <w:rPr>
          <w:sz w:val="23"/>
        </w:rPr>
      </w:pPr>
      <w:r>
        <w:rPr>
          <w:sz w:val="23"/>
        </w:rPr>
        <w:t>AGE</w:t>
      </w:r>
      <w:r>
        <w:rPr>
          <w:spacing w:val="-2"/>
          <w:sz w:val="23"/>
        </w:rPr>
        <w:t> </w:t>
      </w:r>
      <w:r>
        <w:rPr>
          <w:spacing w:val="-4"/>
          <w:sz w:val="23"/>
        </w:rPr>
        <w:t>…………</w:t>
      </w:r>
    </w:p>
    <w:p>
      <w:pPr>
        <w:spacing w:before="132"/>
        <w:ind w:left="560" w:right="0" w:firstLine="0"/>
        <w:jc w:val="left"/>
        <w:rPr>
          <w:sz w:val="23"/>
        </w:rPr>
      </w:pPr>
      <w:r>
        <w:rPr>
          <w:sz w:val="23"/>
        </w:rPr>
        <w:t>MARITAL</w:t>
      </w:r>
      <w:r>
        <w:rPr>
          <w:spacing w:val="-6"/>
          <w:sz w:val="23"/>
        </w:rPr>
        <w:t> </w:t>
      </w:r>
      <w:r>
        <w:rPr>
          <w:sz w:val="23"/>
        </w:rPr>
        <w:t>STATUS:</w:t>
      </w:r>
      <w:r>
        <w:rPr>
          <w:spacing w:val="-4"/>
          <w:sz w:val="23"/>
        </w:rPr>
        <w:t> </w:t>
      </w:r>
      <w:r>
        <w:rPr>
          <w:sz w:val="23"/>
        </w:rPr>
        <w:t>SINGLE/</w:t>
      </w:r>
      <w:r>
        <w:rPr>
          <w:spacing w:val="-3"/>
          <w:sz w:val="23"/>
        </w:rPr>
        <w:t> </w:t>
      </w:r>
      <w:r>
        <w:rPr>
          <w:spacing w:val="-2"/>
          <w:sz w:val="23"/>
        </w:rPr>
        <w:t>MARRIED</w:t>
      </w:r>
    </w:p>
    <w:p>
      <w:pPr>
        <w:tabs>
          <w:tab w:pos="3440" w:val="left" w:leader="none"/>
        </w:tabs>
        <w:spacing w:before="134"/>
        <w:ind w:left="560" w:right="0" w:firstLine="0"/>
        <w:jc w:val="left"/>
        <w:rPr>
          <w:sz w:val="23"/>
        </w:rPr>
      </w:pPr>
      <w:r>
        <w:rPr>
          <w:sz w:val="23"/>
        </w:rPr>
        <w:t>LEVEL</w:t>
      </w:r>
      <w:r>
        <w:rPr>
          <w:spacing w:val="-3"/>
          <w:sz w:val="23"/>
        </w:rPr>
        <w:t> </w:t>
      </w:r>
      <w:r>
        <w:rPr>
          <w:sz w:val="23"/>
        </w:rPr>
        <w:t>OF</w:t>
      </w:r>
      <w:r>
        <w:rPr>
          <w:spacing w:val="-4"/>
          <w:sz w:val="23"/>
        </w:rPr>
        <w:t> </w:t>
      </w:r>
      <w:r>
        <w:rPr>
          <w:spacing w:val="-2"/>
          <w:sz w:val="23"/>
        </w:rPr>
        <w:t>EDUCATION:</w:t>
      </w:r>
      <w:r>
        <w:rPr>
          <w:sz w:val="23"/>
        </w:rPr>
        <w:tab/>
        <w:t>PRIMARY</w:t>
      </w:r>
      <w:r>
        <w:rPr>
          <w:spacing w:val="-5"/>
          <w:sz w:val="23"/>
        </w:rPr>
        <w:t> </w:t>
      </w:r>
      <w:r>
        <w:rPr>
          <w:spacing w:val="-2"/>
          <w:sz w:val="23"/>
        </w:rPr>
        <w:t>SCHOOL</w:t>
      </w:r>
    </w:p>
    <w:p>
      <w:pPr>
        <w:spacing w:line="360" w:lineRule="auto" w:before="131"/>
        <w:ind w:left="3441" w:right="4023" w:firstLine="0"/>
        <w:jc w:val="left"/>
        <w:rPr>
          <w:sz w:val="23"/>
        </w:rPr>
      </w:pPr>
      <w:r>
        <w:rPr>
          <w:sz w:val="23"/>
        </w:rPr>
        <w:t>SECONDARY SCHOOL POST</w:t>
      </w:r>
      <w:r>
        <w:rPr>
          <w:spacing w:val="-15"/>
          <w:sz w:val="23"/>
        </w:rPr>
        <w:t> </w:t>
      </w:r>
      <w:r>
        <w:rPr>
          <w:sz w:val="23"/>
        </w:rPr>
        <w:t>SCONDARY</w:t>
      </w:r>
      <w:r>
        <w:rPr>
          <w:spacing w:val="-14"/>
          <w:sz w:val="23"/>
        </w:rPr>
        <w:t> </w:t>
      </w:r>
      <w:r>
        <w:rPr>
          <w:sz w:val="23"/>
        </w:rPr>
        <w:t>SCHOOL</w:t>
      </w:r>
    </w:p>
    <w:p>
      <w:pPr>
        <w:spacing w:line="264" w:lineRule="exact" w:before="0"/>
        <w:ind w:left="560" w:right="0" w:firstLine="0"/>
        <w:jc w:val="left"/>
        <w:rPr>
          <w:sz w:val="23"/>
        </w:rPr>
      </w:pPr>
      <w:r>
        <w:rPr>
          <w:sz w:val="23"/>
        </w:rPr>
        <w:t>ARE</w:t>
      </w:r>
      <w:r>
        <w:rPr>
          <w:spacing w:val="-3"/>
          <w:sz w:val="23"/>
        </w:rPr>
        <w:t> </w:t>
      </w:r>
      <w:r>
        <w:rPr>
          <w:sz w:val="23"/>
        </w:rPr>
        <w:t>YOU</w:t>
      </w:r>
      <w:r>
        <w:rPr>
          <w:spacing w:val="-3"/>
          <w:sz w:val="23"/>
        </w:rPr>
        <w:t> </w:t>
      </w:r>
      <w:r>
        <w:rPr>
          <w:sz w:val="23"/>
        </w:rPr>
        <w:t>RESIDENT</w:t>
      </w:r>
      <w:r>
        <w:rPr>
          <w:spacing w:val="-3"/>
          <w:sz w:val="23"/>
        </w:rPr>
        <w:t> </w:t>
      </w:r>
      <w:r>
        <w:rPr>
          <w:sz w:val="23"/>
        </w:rPr>
        <w:t>IN</w:t>
      </w:r>
      <w:r>
        <w:rPr>
          <w:spacing w:val="-2"/>
          <w:sz w:val="23"/>
        </w:rPr>
        <w:t> </w:t>
      </w:r>
      <w:r>
        <w:rPr>
          <w:sz w:val="23"/>
        </w:rPr>
        <w:t>ABA?</w:t>
      </w:r>
      <w:r>
        <w:rPr>
          <w:spacing w:val="1"/>
          <w:sz w:val="23"/>
        </w:rPr>
        <w:t> </w:t>
      </w:r>
      <w:r>
        <w:rPr>
          <w:spacing w:val="-2"/>
          <w:sz w:val="23"/>
        </w:rPr>
        <w:t>YES/NO</w:t>
      </w:r>
    </w:p>
    <w:p>
      <w:pPr>
        <w:spacing w:before="134"/>
        <w:ind w:left="560" w:right="0" w:firstLine="0"/>
        <w:jc w:val="left"/>
        <w:rPr>
          <w:sz w:val="23"/>
        </w:rPr>
      </w:pPr>
      <w:r>
        <w:rPr>
          <w:sz w:val="23"/>
        </w:rPr>
        <w:t>HOW</w:t>
      </w:r>
      <w:r>
        <w:rPr>
          <w:spacing w:val="-6"/>
          <w:sz w:val="23"/>
        </w:rPr>
        <w:t> </w:t>
      </w:r>
      <w:r>
        <w:rPr>
          <w:sz w:val="23"/>
        </w:rPr>
        <w:t>LONG</w:t>
      </w:r>
      <w:r>
        <w:rPr>
          <w:spacing w:val="-3"/>
          <w:sz w:val="23"/>
        </w:rPr>
        <w:t> </w:t>
      </w:r>
      <w:r>
        <w:rPr>
          <w:sz w:val="23"/>
        </w:rPr>
        <w:t>HAVE</w:t>
      </w:r>
      <w:r>
        <w:rPr>
          <w:spacing w:val="-2"/>
          <w:sz w:val="23"/>
        </w:rPr>
        <w:t> </w:t>
      </w:r>
      <w:r>
        <w:rPr>
          <w:sz w:val="23"/>
        </w:rPr>
        <w:t>YOU</w:t>
      </w:r>
      <w:r>
        <w:rPr>
          <w:spacing w:val="-2"/>
          <w:sz w:val="23"/>
        </w:rPr>
        <w:t> </w:t>
      </w:r>
      <w:r>
        <w:rPr>
          <w:sz w:val="23"/>
        </w:rPr>
        <w:t>BEEN</w:t>
      </w:r>
      <w:r>
        <w:rPr>
          <w:spacing w:val="-3"/>
          <w:sz w:val="23"/>
        </w:rPr>
        <w:t> </w:t>
      </w:r>
      <w:r>
        <w:rPr>
          <w:sz w:val="23"/>
        </w:rPr>
        <w:t>RESIDING</w:t>
      </w:r>
      <w:r>
        <w:rPr>
          <w:spacing w:val="-3"/>
          <w:sz w:val="23"/>
        </w:rPr>
        <w:t> </w:t>
      </w:r>
      <w:r>
        <w:rPr>
          <w:sz w:val="23"/>
        </w:rPr>
        <w:t>IN</w:t>
      </w:r>
      <w:r>
        <w:rPr>
          <w:spacing w:val="-1"/>
          <w:sz w:val="23"/>
        </w:rPr>
        <w:t> </w:t>
      </w:r>
      <w:r>
        <w:rPr>
          <w:sz w:val="23"/>
        </w:rPr>
        <w:t>ABA?</w:t>
      </w:r>
      <w:r>
        <w:rPr>
          <w:spacing w:val="2"/>
          <w:sz w:val="23"/>
        </w:rPr>
        <w:t> </w:t>
      </w:r>
      <w:r>
        <w:rPr>
          <w:spacing w:val="-2"/>
          <w:sz w:val="23"/>
        </w:rPr>
        <w:t>..............................</w:t>
      </w:r>
    </w:p>
    <w:p>
      <w:pPr>
        <w:spacing w:before="131"/>
        <w:ind w:left="560" w:right="0" w:firstLine="0"/>
        <w:jc w:val="left"/>
        <w:rPr>
          <w:sz w:val="23"/>
        </w:rPr>
      </w:pPr>
      <w:r>
        <w:rPr>
          <w:sz w:val="23"/>
        </w:rPr>
        <w:t>SPOUSE</w:t>
      </w:r>
      <w:r>
        <w:rPr>
          <w:spacing w:val="-5"/>
          <w:sz w:val="23"/>
        </w:rPr>
        <w:t> </w:t>
      </w:r>
      <w:r>
        <w:rPr>
          <w:spacing w:val="-2"/>
          <w:sz w:val="23"/>
        </w:rPr>
        <w:t>OCCUPATION:…………………………………………………….</w:t>
      </w:r>
    </w:p>
    <w:p>
      <w:pPr>
        <w:pStyle w:val="BodyText"/>
        <w:rPr>
          <w:sz w:val="23"/>
        </w:rPr>
      </w:pPr>
    </w:p>
    <w:p>
      <w:pPr>
        <w:pStyle w:val="BodyText"/>
        <w:spacing w:before="6"/>
        <w:rPr>
          <w:sz w:val="23"/>
        </w:rPr>
      </w:pPr>
    </w:p>
    <w:p>
      <w:pPr>
        <w:spacing w:before="0"/>
        <w:ind w:left="0" w:right="238" w:firstLine="0"/>
        <w:jc w:val="center"/>
        <w:rPr>
          <w:b/>
          <w:sz w:val="23"/>
        </w:rPr>
      </w:pPr>
      <w:r>
        <w:rPr>
          <w:b/>
          <w:sz w:val="23"/>
        </w:rPr>
        <w:t>SECTION</w:t>
      </w:r>
      <w:r>
        <w:rPr>
          <w:b/>
          <w:spacing w:val="-3"/>
          <w:sz w:val="23"/>
        </w:rPr>
        <w:t> </w:t>
      </w:r>
      <w:r>
        <w:rPr>
          <w:b/>
          <w:sz w:val="23"/>
        </w:rPr>
        <w:t>B:</w:t>
      </w:r>
      <w:r>
        <w:rPr>
          <w:b/>
          <w:spacing w:val="-2"/>
          <w:sz w:val="23"/>
        </w:rPr>
        <w:t> </w:t>
      </w:r>
      <w:r>
        <w:rPr>
          <w:b/>
          <w:sz w:val="23"/>
        </w:rPr>
        <w:t>MEDICAL</w:t>
      </w:r>
      <w:r>
        <w:rPr>
          <w:b/>
          <w:spacing w:val="-1"/>
          <w:sz w:val="23"/>
        </w:rPr>
        <w:t> </w:t>
      </w:r>
      <w:r>
        <w:rPr>
          <w:b/>
          <w:spacing w:val="-2"/>
          <w:sz w:val="23"/>
        </w:rPr>
        <w:t>HISTORY</w:t>
      </w:r>
    </w:p>
    <w:p>
      <w:pPr>
        <w:pStyle w:val="BodyText"/>
        <w:spacing w:before="258"/>
        <w:rPr>
          <w:b/>
          <w:sz w:val="23"/>
        </w:rPr>
      </w:pPr>
    </w:p>
    <w:p>
      <w:pPr>
        <w:spacing w:before="1"/>
        <w:ind w:left="560" w:right="0" w:firstLine="0"/>
        <w:jc w:val="left"/>
        <w:rPr>
          <w:sz w:val="23"/>
        </w:rPr>
      </w:pPr>
      <w:r>
        <w:rPr>
          <w:sz w:val="23"/>
        </w:rPr>
        <w:t>ARE</w:t>
      </w:r>
      <w:r>
        <w:rPr>
          <w:spacing w:val="-5"/>
          <w:sz w:val="23"/>
        </w:rPr>
        <w:t> </w:t>
      </w:r>
      <w:r>
        <w:rPr>
          <w:sz w:val="23"/>
        </w:rPr>
        <w:t>YOU</w:t>
      </w:r>
      <w:r>
        <w:rPr>
          <w:spacing w:val="-4"/>
          <w:sz w:val="23"/>
        </w:rPr>
        <w:t> </w:t>
      </w:r>
      <w:r>
        <w:rPr>
          <w:sz w:val="23"/>
        </w:rPr>
        <w:t>HYPERTENSIVE?</w:t>
      </w:r>
      <w:r>
        <w:rPr>
          <w:spacing w:val="54"/>
          <w:sz w:val="23"/>
        </w:rPr>
        <w:t> </w:t>
      </w:r>
      <w:r>
        <w:rPr>
          <w:sz w:val="23"/>
        </w:rPr>
        <w:t>YES/</w:t>
      </w:r>
      <w:r>
        <w:rPr>
          <w:spacing w:val="-2"/>
          <w:sz w:val="23"/>
        </w:rPr>
        <w:t> </w:t>
      </w:r>
      <w:r>
        <w:rPr>
          <w:spacing w:val="-5"/>
          <w:sz w:val="23"/>
        </w:rPr>
        <w:t>NO</w:t>
      </w:r>
    </w:p>
    <w:p>
      <w:pPr>
        <w:spacing w:line="360" w:lineRule="auto" w:before="134"/>
        <w:ind w:left="560" w:right="2958" w:firstLine="0"/>
        <w:jc w:val="left"/>
        <w:rPr>
          <w:sz w:val="23"/>
        </w:rPr>
      </w:pPr>
      <w:r>
        <w:rPr>
          <w:sz w:val="23"/>
        </w:rPr>
        <w:t>HAVE</w:t>
      </w:r>
      <w:r>
        <w:rPr>
          <w:spacing w:val="-5"/>
          <w:sz w:val="23"/>
        </w:rPr>
        <w:t> </w:t>
      </w:r>
      <w:r>
        <w:rPr>
          <w:sz w:val="23"/>
        </w:rPr>
        <w:t>YOU</w:t>
      </w:r>
      <w:r>
        <w:rPr>
          <w:spacing w:val="-6"/>
          <w:sz w:val="23"/>
        </w:rPr>
        <w:t> </w:t>
      </w:r>
      <w:r>
        <w:rPr>
          <w:sz w:val="23"/>
        </w:rPr>
        <w:t>SUFFERED</w:t>
      </w:r>
      <w:r>
        <w:rPr>
          <w:spacing w:val="-4"/>
          <w:sz w:val="23"/>
        </w:rPr>
        <w:t> </w:t>
      </w:r>
      <w:r>
        <w:rPr>
          <w:sz w:val="23"/>
        </w:rPr>
        <w:t>ANY</w:t>
      </w:r>
      <w:r>
        <w:rPr>
          <w:spacing w:val="-6"/>
          <w:sz w:val="23"/>
        </w:rPr>
        <w:t> </w:t>
      </w:r>
      <w:r>
        <w:rPr>
          <w:sz w:val="23"/>
        </w:rPr>
        <w:t>HEART</w:t>
      </w:r>
      <w:r>
        <w:rPr>
          <w:spacing w:val="-5"/>
          <w:sz w:val="23"/>
        </w:rPr>
        <w:t> </w:t>
      </w:r>
      <w:r>
        <w:rPr>
          <w:sz w:val="23"/>
        </w:rPr>
        <w:t>DISEASE</w:t>
      </w:r>
      <w:r>
        <w:rPr>
          <w:spacing w:val="-3"/>
          <w:sz w:val="23"/>
        </w:rPr>
        <w:t> </w:t>
      </w:r>
      <w:r>
        <w:rPr>
          <w:sz w:val="23"/>
        </w:rPr>
        <w:t>BEFORE?</w:t>
      </w:r>
      <w:r>
        <w:rPr>
          <w:spacing w:val="40"/>
          <w:sz w:val="23"/>
        </w:rPr>
        <w:t> </w:t>
      </w:r>
      <w:r>
        <w:rPr>
          <w:sz w:val="23"/>
        </w:rPr>
        <w:t>YES/NO ARE YOU DIABETIC?</w:t>
      </w:r>
      <w:r>
        <w:rPr>
          <w:spacing w:val="40"/>
          <w:sz w:val="23"/>
        </w:rPr>
        <w:t> </w:t>
      </w:r>
      <w:r>
        <w:rPr>
          <w:sz w:val="23"/>
        </w:rPr>
        <w:t>YES/NO</w:t>
      </w:r>
    </w:p>
    <w:p>
      <w:pPr>
        <w:spacing w:line="360" w:lineRule="auto" w:before="0"/>
        <w:ind w:left="560" w:right="2774" w:firstLine="0"/>
        <w:jc w:val="left"/>
        <w:rPr>
          <w:sz w:val="23"/>
        </w:rPr>
      </w:pPr>
      <w:r>
        <w:rPr>
          <w:sz w:val="23"/>
        </w:rPr>
        <w:t>HAVE YOU SUFFERED ANY KIDNEY DISEASE BEFORE?</w:t>
      </w:r>
      <w:r>
        <w:rPr>
          <w:spacing w:val="40"/>
          <w:sz w:val="23"/>
        </w:rPr>
        <w:t> </w:t>
      </w:r>
      <w:r>
        <w:rPr>
          <w:sz w:val="23"/>
        </w:rPr>
        <w:t>YES/NO HAVE</w:t>
      </w:r>
      <w:r>
        <w:rPr>
          <w:spacing w:val="-5"/>
          <w:sz w:val="23"/>
        </w:rPr>
        <w:t> </w:t>
      </w:r>
      <w:r>
        <w:rPr>
          <w:sz w:val="23"/>
        </w:rPr>
        <w:t>YOU</w:t>
      </w:r>
      <w:r>
        <w:rPr>
          <w:spacing w:val="-6"/>
          <w:sz w:val="23"/>
        </w:rPr>
        <w:t> </w:t>
      </w:r>
      <w:r>
        <w:rPr>
          <w:sz w:val="23"/>
        </w:rPr>
        <w:t>BEEN</w:t>
      </w:r>
      <w:r>
        <w:rPr>
          <w:spacing w:val="-6"/>
          <w:sz w:val="23"/>
        </w:rPr>
        <w:t> </w:t>
      </w:r>
      <w:r>
        <w:rPr>
          <w:sz w:val="23"/>
        </w:rPr>
        <w:t>TREATED</w:t>
      </w:r>
      <w:r>
        <w:rPr>
          <w:spacing w:val="-6"/>
          <w:sz w:val="23"/>
        </w:rPr>
        <w:t> </w:t>
      </w:r>
      <w:r>
        <w:rPr>
          <w:sz w:val="23"/>
        </w:rPr>
        <w:t>FOR</w:t>
      </w:r>
      <w:r>
        <w:rPr>
          <w:spacing w:val="-5"/>
          <w:sz w:val="23"/>
        </w:rPr>
        <w:t> </w:t>
      </w:r>
      <w:r>
        <w:rPr>
          <w:sz w:val="23"/>
        </w:rPr>
        <w:t>URINARY</w:t>
      </w:r>
      <w:r>
        <w:rPr>
          <w:spacing w:val="-6"/>
          <w:sz w:val="23"/>
        </w:rPr>
        <w:t> </w:t>
      </w:r>
      <w:r>
        <w:rPr>
          <w:sz w:val="23"/>
        </w:rPr>
        <w:t>TRACT</w:t>
      </w:r>
      <w:r>
        <w:rPr>
          <w:spacing w:val="-5"/>
          <w:sz w:val="23"/>
        </w:rPr>
        <w:t> </w:t>
      </w:r>
      <w:r>
        <w:rPr>
          <w:sz w:val="23"/>
        </w:rPr>
        <w:t>INFECTION</w:t>
      </w:r>
      <w:r>
        <w:rPr>
          <w:spacing w:val="-4"/>
          <w:sz w:val="23"/>
        </w:rPr>
        <w:t> </w:t>
      </w:r>
      <w:r>
        <w:rPr>
          <w:sz w:val="23"/>
        </w:rPr>
        <w:t>IN</w:t>
      </w:r>
    </w:p>
    <w:p>
      <w:pPr>
        <w:spacing w:after="0" w:line="360" w:lineRule="auto"/>
        <w:jc w:val="left"/>
        <w:rPr>
          <w:sz w:val="23"/>
        </w:rPr>
        <w:sectPr>
          <w:pgSz w:w="11910" w:h="16840"/>
          <w:pgMar w:header="0" w:footer="1067" w:top="1060" w:bottom="1260" w:left="880" w:right="640"/>
        </w:sectPr>
      </w:pPr>
    </w:p>
    <w:p>
      <w:pPr>
        <w:spacing w:before="72"/>
        <w:ind w:left="560" w:right="0" w:firstLine="0"/>
        <w:jc w:val="left"/>
        <w:rPr>
          <w:sz w:val="23"/>
        </w:rPr>
      </w:pPr>
      <w:r>
        <w:rPr>
          <w:sz w:val="23"/>
        </w:rPr>
        <w:t>THE</w:t>
      </w:r>
      <w:r>
        <w:rPr>
          <w:spacing w:val="-3"/>
          <w:sz w:val="23"/>
        </w:rPr>
        <w:t> </w:t>
      </w:r>
      <w:r>
        <w:rPr>
          <w:sz w:val="23"/>
        </w:rPr>
        <w:t>PAST</w:t>
      </w:r>
      <w:r>
        <w:rPr>
          <w:spacing w:val="-3"/>
          <w:sz w:val="23"/>
        </w:rPr>
        <w:t> </w:t>
      </w:r>
      <w:r>
        <w:rPr>
          <w:sz w:val="23"/>
        </w:rPr>
        <w:t>ONE</w:t>
      </w:r>
      <w:r>
        <w:rPr>
          <w:spacing w:val="-3"/>
          <w:sz w:val="23"/>
        </w:rPr>
        <w:t> </w:t>
      </w:r>
      <w:r>
        <w:rPr>
          <w:sz w:val="23"/>
        </w:rPr>
        <w:t>YEAR?</w:t>
      </w:r>
      <w:r>
        <w:rPr>
          <w:spacing w:val="-2"/>
          <w:sz w:val="23"/>
        </w:rPr>
        <w:t> YES/NO</w:t>
      </w:r>
    </w:p>
    <w:p>
      <w:pPr>
        <w:spacing w:before="132"/>
        <w:ind w:left="560" w:right="0" w:firstLine="0"/>
        <w:jc w:val="left"/>
        <w:rPr>
          <w:sz w:val="23"/>
        </w:rPr>
      </w:pPr>
      <w:r>
        <w:rPr>
          <w:sz w:val="23"/>
        </w:rPr>
        <w:t>ARE</w:t>
      </w:r>
      <w:r>
        <w:rPr>
          <w:spacing w:val="-3"/>
          <w:sz w:val="23"/>
        </w:rPr>
        <w:t> </w:t>
      </w:r>
      <w:r>
        <w:rPr>
          <w:sz w:val="23"/>
        </w:rPr>
        <w:t>YOU</w:t>
      </w:r>
      <w:r>
        <w:rPr>
          <w:spacing w:val="-3"/>
          <w:sz w:val="23"/>
        </w:rPr>
        <w:t> </w:t>
      </w:r>
      <w:r>
        <w:rPr>
          <w:sz w:val="23"/>
        </w:rPr>
        <w:t>SUFFERING</w:t>
      </w:r>
      <w:r>
        <w:rPr>
          <w:spacing w:val="-2"/>
          <w:sz w:val="23"/>
        </w:rPr>
        <w:t> </w:t>
      </w:r>
      <w:r>
        <w:rPr>
          <w:sz w:val="23"/>
        </w:rPr>
        <w:t>FOR</w:t>
      </w:r>
      <w:r>
        <w:rPr>
          <w:spacing w:val="-2"/>
          <w:sz w:val="23"/>
        </w:rPr>
        <w:t> </w:t>
      </w:r>
      <w:r>
        <w:rPr>
          <w:sz w:val="23"/>
        </w:rPr>
        <w:t>ANY</w:t>
      </w:r>
      <w:r>
        <w:rPr>
          <w:spacing w:val="-2"/>
          <w:sz w:val="23"/>
        </w:rPr>
        <w:t> </w:t>
      </w:r>
      <w:r>
        <w:rPr>
          <w:sz w:val="23"/>
        </w:rPr>
        <w:t>LIVER</w:t>
      </w:r>
      <w:r>
        <w:rPr>
          <w:spacing w:val="-2"/>
          <w:sz w:val="23"/>
        </w:rPr>
        <w:t> DISEASE?</w:t>
      </w:r>
    </w:p>
    <w:p>
      <w:pPr>
        <w:spacing w:line="360" w:lineRule="auto" w:before="134"/>
        <w:ind w:left="560" w:right="3345" w:firstLine="0"/>
        <w:jc w:val="left"/>
        <w:rPr>
          <w:sz w:val="23"/>
        </w:rPr>
      </w:pPr>
      <w:r>
        <w:rPr>
          <w:sz w:val="23"/>
        </w:rPr>
        <w:t>HAVE</w:t>
      </w:r>
      <w:r>
        <w:rPr>
          <w:spacing w:val="-6"/>
          <w:sz w:val="23"/>
        </w:rPr>
        <w:t> </w:t>
      </w:r>
      <w:r>
        <w:rPr>
          <w:sz w:val="23"/>
        </w:rPr>
        <w:t>YOU</w:t>
      </w:r>
      <w:r>
        <w:rPr>
          <w:spacing w:val="-7"/>
          <w:sz w:val="23"/>
        </w:rPr>
        <w:t> </w:t>
      </w:r>
      <w:r>
        <w:rPr>
          <w:sz w:val="23"/>
        </w:rPr>
        <w:t>RECEIVED</w:t>
      </w:r>
      <w:r>
        <w:rPr>
          <w:spacing w:val="-5"/>
          <w:sz w:val="23"/>
        </w:rPr>
        <w:t> </w:t>
      </w:r>
      <w:r>
        <w:rPr>
          <w:sz w:val="23"/>
        </w:rPr>
        <w:t>ANY</w:t>
      </w:r>
      <w:r>
        <w:rPr>
          <w:spacing w:val="-7"/>
          <w:sz w:val="23"/>
        </w:rPr>
        <w:t> </w:t>
      </w:r>
      <w:r>
        <w:rPr>
          <w:sz w:val="23"/>
        </w:rPr>
        <w:t>BLOOD</w:t>
      </w:r>
      <w:r>
        <w:rPr>
          <w:spacing w:val="-7"/>
          <w:sz w:val="23"/>
        </w:rPr>
        <w:t> </w:t>
      </w:r>
      <w:r>
        <w:rPr>
          <w:sz w:val="23"/>
        </w:rPr>
        <w:t>TRANSFUSION</w:t>
      </w:r>
      <w:r>
        <w:rPr>
          <w:spacing w:val="-7"/>
          <w:sz w:val="23"/>
        </w:rPr>
        <w:t> </w:t>
      </w:r>
      <w:r>
        <w:rPr>
          <w:sz w:val="23"/>
        </w:rPr>
        <w:t>YES/NO WHEN LAST WERE YOU TESTED FOR HIV?</w:t>
      </w:r>
    </w:p>
    <w:p>
      <w:pPr>
        <w:spacing w:line="360" w:lineRule="auto" w:before="0"/>
        <w:ind w:left="560" w:right="3345" w:firstLine="0"/>
        <w:jc w:val="left"/>
        <w:rPr>
          <w:sz w:val="23"/>
        </w:rPr>
      </w:pPr>
      <w:r>
        <w:rPr>
          <w:sz w:val="23"/>
        </w:rPr>
        <w:t>CURRENTLY,</w:t>
      </w:r>
      <w:r>
        <w:rPr>
          <w:spacing w:val="-3"/>
          <w:sz w:val="23"/>
        </w:rPr>
        <w:t> </w:t>
      </w:r>
      <w:r>
        <w:rPr>
          <w:sz w:val="23"/>
        </w:rPr>
        <w:t>WHAT</w:t>
      </w:r>
      <w:r>
        <w:rPr>
          <w:spacing w:val="-5"/>
          <w:sz w:val="23"/>
        </w:rPr>
        <w:t> </w:t>
      </w:r>
      <w:r>
        <w:rPr>
          <w:sz w:val="23"/>
        </w:rPr>
        <w:t>IS</w:t>
      </w:r>
      <w:r>
        <w:rPr>
          <w:spacing w:val="-4"/>
          <w:sz w:val="23"/>
        </w:rPr>
        <w:t> </w:t>
      </w:r>
      <w:r>
        <w:rPr>
          <w:sz w:val="23"/>
        </w:rPr>
        <w:t>THE</w:t>
      </w:r>
      <w:r>
        <w:rPr>
          <w:spacing w:val="-5"/>
          <w:sz w:val="23"/>
        </w:rPr>
        <w:t> </w:t>
      </w:r>
      <w:r>
        <w:rPr>
          <w:sz w:val="23"/>
        </w:rPr>
        <w:t>RESULT</w:t>
      </w:r>
      <w:r>
        <w:rPr>
          <w:spacing w:val="-5"/>
          <w:sz w:val="23"/>
        </w:rPr>
        <w:t> </w:t>
      </w:r>
      <w:r>
        <w:rPr>
          <w:sz w:val="23"/>
        </w:rPr>
        <w:t>OF</w:t>
      </w:r>
      <w:r>
        <w:rPr>
          <w:spacing w:val="-9"/>
          <w:sz w:val="23"/>
        </w:rPr>
        <w:t> </w:t>
      </w:r>
      <w:r>
        <w:rPr>
          <w:sz w:val="23"/>
        </w:rPr>
        <w:t>YOUR</w:t>
      </w:r>
      <w:r>
        <w:rPr>
          <w:spacing w:val="-5"/>
          <w:sz w:val="23"/>
        </w:rPr>
        <w:t> </w:t>
      </w:r>
      <w:r>
        <w:rPr>
          <w:sz w:val="23"/>
        </w:rPr>
        <w:t>HIV</w:t>
      </w:r>
      <w:r>
        <w:rPr>
          <w:spacing w:val="-6"/>
          <w:sz w:val="23"/>
        </w:rPr>
        <w:t> </w:t>
      </w:r>
      <w:r>
        <w:rPr>
          <w:sz w:val="23"/>
        </w:rPr>
        <w:t>TEST? </w:t>
      </w:r>
      <w:r>
        <w:rPr>
          <w:spacing w:val="-2"/>
          <w:sz w:val="23"/>
        </w:rPr>
        <w:t>POSITIVE/NEGATIVE</w:t>
      </w:r>
    </w:p>
    <w:p>
      <w:pPr>
        <w:spacing w:before="0"/>
        <w:ind w:left="560" w:right="0" w:firstLine="0"/>
        <w:jc w:val="left"/>
        <w:rPr>
          <w:sz w:val="23"/>
        </w:rPr>
      </w:pPr>
      <w:r>
        <w:rPr>
          <w:sz w:val="23"/>
        </w:rPr>
        <w:t>DO</w:t>
      </w:r>
      <w:r>
        <w:rPr>
          <w:spacing w:val="-4"/>
          <w:sz w:val="23"/>
        </w:rPr>
        <w:t> </w:t>
      </w:r>
      <w:r>
        <w:rPr>
          <w:sz w:val="23"/>
        </w:rPr>
        <w:t>YOU</w:t>
      </w:r>
      <w:r>
        <w:rPr>
          <w:spacing w:val="-4"/>
          <w:sz w:val="23"/>
        </w:rPr>
        <w:t> </w:t>
      </w:r>
      <w:r>
        <w:rPr>
          <w:sz w:val="23"/>
        </w:rPr>
        <w:t>HAVE</w:t>
      </w:r>
      <w:r>
        <w:rPr>
          <w:spacing w:val="-3"/>
          <w:sz w:val="23"/>
        </w:rPr>
        <w:t> </w:t>
      </w:r>
      <w:r>
        <w:rPr>
          <w:sz w:val="23"/>
        </w:rPr>
        <w:t>TUBERCULOSIS?</w:t>
      </w:r>
      <w:r>
        <w:rPr>
          <w:spacing w:val="54"/>
          <w:sz w:val="23"/>
        </w:rPr>
        <w:t> </w:t>
      </w:r>
      <w:r>
        <w:rPr>
          <w:spacing w:val="-2"/>
          <w:sz w:val="23"/>
        </w:rPr>
        <w:t>YES/NO</w:t>
      </w:r>
    </w:p>
    <w:p>
      <w:pPr>
        <w:spacing w:before="131"/>
        <w:ind w:left="560" w:right="0" w:firstLine="0"/>
        <w:jc w:val="left"/>
        <w:rPr>
          <w:sz w:val="23"/>
        </w:rPr>
      </w:pPr>
      <w:r>
        <w:rPr>
          <w:sz w:val="23"/>
        </w:rPr>
        <w:t>DO</w:t>
      </w:r>
      <w:r>
        <w:rPr>
          <w:spacing w:val="-4"/>
          <w:sz w:val="23"/>
        </w:rPr>
        <w:t> </w:t>
      </w:r>
      <w:r>
        <w:rPr>
          <w:sz w:val="23"/>
        </w:rPr>
        <w:t>YOU</w:t>
      </w:r>
      <w:r>
        <w:rPr>
          <w:spacing w:val="-3"/>
          <w:sz w:val="23"/>
        </w:rPr>
        <w:t> </w:t>
      </w:r>
      <w:r>
        <w:rPr>
          <w:sz w:val="23"/>
        </w:rPr>
        <w:t>SUFFER</w:t>
      </w:r>
      <w:r>
        <w:rPr>
          <w:spacing w:val="-1"/>
          <w:sz w:val="23"/>
        </w:rPr>
        <w:t> </w:t>
      </w:r>
      <w:r>
        <w:rPr>
          <w:sz w:val="23"/>
        </w:rPr>
        <w:t>FROM</w:t>
      </w:r>
      <w:r>
        <w:rPr>
          <w:spacing w:val="-3"/>
          <w:sz w:val="23"/>
        </w:rPr>
        <w:t> </w:t>
      </w:r>
      <w:r>
        <w:rPr>
          <w:sz w:val="23"/>
        </w:rPr>
        <w:t>ULCER</w:t>
      </w:r>
      <w:r>
        <w:rPr>
          <w:spacing w:val="-3"/>
          <w:sz w:val="23"/>
        </w:rPr>
        <w:t> </w:t>
      </w:r>
      <w:r>
        <w:rPr>
          <w:sz w:val="23"/>
        </w:rPr>
        <w:t>/PILE?</w:t>
      </w:r>
      <w:r>
        <w:rPr>
          <w:spacing w:val="56"/>
          <w:sz w:val="23"/>
        </w:rPr>
        <w:t> </w:t>
      </w:r>
      <w:r>
        <w:rPr>
          <w:spacing w:val="-2"/>
          <w:sz w:val="23"/>
        </w:rPr>
        <w:t>YES/NO</w:t>
      </w:r>
    </w:p>
    <w:p>
      <w:pPr>
        <w:spacing w:line="362" w:lineRule="auto" w:before="132"/>
        <w:ind w:left="560" w:right="3656" w:firstLine="0"/>
        <w:jc w:val="left"/>
        <w:rPr>
          <w:sz w:val="23"/>
        </w:rPr>
      </w:pPr>
      <w:r>
        <w:rPr>
          <w:sz w:val="23"/>
        </w:rPr>
        <w:t>WHEN</w:t>
      </w:r>
      <w:r>
        <w:rPr>
          <w:spacing w:val="-6"/>
          <w:sz w:val="23"/>
        </w:rPr>
        <w:t> </w:t>
      </w:r>
      <w:r>
        <w:rPr>
          <w:sz w:val="23"/>
        </w:rPr>
        <w:t>LAST</w:t>
      </w:r>
      <w:r>
        <w:rPr>
          <w:spacing w:val="-7"/>
          <w:sz w:val="23"/>
        </w:rPr>
        <w:t> </w:t>
      </w:r>
      <w:r>
        <w:rPr>
          <w:sz w:val="23"/>
        </w:rPr>
        <w:t>DID</w:t>
      </w:r>
      <w:r>
        <w:rPr>
          <w:spacing w:val="-8"/>
          <w:sz w:val="23"/>
        </w:rPr>
        <w:t> </w:t>
      </w:r>
      <w:r>
        <w:rPr>
          <w:sz w:val="23"/>
        </w:rPr>
        <w:t>YOU</w:t>
      </w:r>
      <w:r>
        <w:rPr>
          <w:spacing w:val="-6"/>
          <w:sz w:val="23"/>
        </w:rPr>
        <w:t> </w:t>
      </w:r>
      <w:r>
        <w:rPr>
          <w:sz w:val="23"/>
        </w:rPr>
        <w:t>TAKE</w:t>
      </w:r>
      <w:r>
        <w:rPr>
          <w:spacing w:val="-7"/>
          <w:sz w:val="23"/>
        </w:rPr>
        <w:t> </w:t>
      </w:r>
      <w:r>
        <w:rPr>
          <w:sz w:val="23"/>
        </w:rPr>
        <w:t>ANTI-HELMITHIC</w:t>
      </w:r>
      <w:r>
        <w:rPr>
          <w:spacing w:val="-7"/>
          <w:sz w:val="23"/>
        </w:rPr>
        <w:t> </w:t>
      </w:r>
      <w:r>
        <w:rPr>
          <w:sz w:val="23"/>
        </w:rPr>
        <w:t>DRUGS? DO YOU HAVE CANCER?</w:t>
      </w:r>
      <w:r>
        <w:rPr>
          <w:spacing w:val="40"/>
          <w:sz w:val="23"/>
        </w:rPr>
        <w:t> </w:t>
      </w:r>
      <w:r>
        <w:rPr>
          <w:sz w:val="23"/>
        </w:rPr>
        <w:t>YES/NO</w:t>
      </w:r>
    </w:p>
    <w:p>
      <w:pPr>
        <w:spacing w:line="360" w:lineRule="auto" w:before="0"/>
        <w:ind w:left="560" w:right="3345" w:firstLine="0"/>
        <w:jc w:val="left"/>
        <w:rPr>
          <w:sz w:val="23"/>
        </w:rPr>
      </w:pPr>
      <w:r>
        <w:rPr>
          <w:sz w:val="23"/>
        </w:rPr>
        <w:t>HAVE</w:t>
      </w:r>
      <w:r>
        <w:rPr>
          <w:spacing w:val="-5"/>
          <w:sz w:val="23"/>
        </w:rPr>
        <w:t> </w:t>
      </w:r>
      <w:r>
        <w:rPr>
          <w:sz w:val="23"/>
        </w:rPr>
        <w:t>YOU</w:t>
      </w:r>
      <w:r>
        <w:rPr>
          <w:spacing w:val="-6"/>
          <w:sz w:val="23"/>
        </w:rPr>
        <w:t> </w:t>
      </w:r>
      <w:r>
        <w:rPr>
          <w:sz w:val="23"/>
        </w:rPr>
        <w:t>HAD</w:t>
      </w:r>
      <w:r>
        <w:rPr>
          <w:spacing w:val="-6"/>
          <w:sz w:val="23"/>
        </w:rPr>
        <w:t> </w:t>
      </w:r>
      <w:r>
        <w:rPr>
          <w:sz w:val="23"/>
        </w:rPr>
        <w:t>CEASERIA</w:t>
      </w:r>
      <w:r>
        <w:rPr>
          <w:spacing w:val="-6"/>
          <w:sz w:val="23"/>
        </w:rPr>
        <w:t> </w:t>
      </w:r>
      <w:r>
        <w:rPr>
          <w:sz w:val="23"/>
        </w:rPr>
        <w:t>SECTION</w:t>
      </w:r>
      <w:r>
        <w:rPr>
          <w:spacing w:val="-6"/>
          <w:sz w:val="23"/>
        </w:rPr>
        <w:t> </w:t>
      </w:r>
      <w:r>
        <w:rPr>
          <w:sz w:val="23"/>
        </w:rPr>
        <w:t>BEFORE?</w:t>
      </w:r>
      <w:r>
        <w:rPr>
          <w:spacing w:val="40"/>
          <w:sz w:val="23"/>
        </w:rPr>
        <w:t> </w:t>
      </w:r>
      <w:r>
        <w:rPr>
          <w:sz w:val="23"/>
        </w:rPr>
        <w:t>YES/NO HAVE YOU HAD PRE-TERM BIRTH BEFORE?</w:t>
      </w:r>
      <w:r>
        <w:rPr>
          <w:spacing w:val="40"/>
          <w:sz w:val="23"/>
        </w:rPr>
        <w:t> </w:t>
      </w:r>
      <w:r>
        <w:rPr>
          <w:sz w:val="23"/>
        </w:rPr>
        <w:t>YES/NO</w:t>
      </w:r>
    </w:p>
    <w:p>
      <w:pPr>
        <w:spacing w:before="0"/>
        <w:ind w:left="560" w:right="0" w:firstLine="0"/>
        <w:jc w:val="left"/>
        <w:rPr>
          <w:sz w:val="23"/>
        </w:rPr>
      </w:pPr>
      <w:r>
        <w:rPr>
          <w:sz w:val="23"/>
        </w:rPr>
        <w:t>HAVE</w:t>
      </w:r>
      <w:r>
        <w:rPr>
          <w:spacing w:val="-5"/>
          <w:sz w:val="23"/>
        </w:rPr>
        <w:t> </w:t>
      </w:r>
      <w:r>
        <w:rPr>
          <w:sz w:val="23"/>
        </w:rPr>
        <w:t>YOU</w:t>
      </w:r>
      <w:r>
        <w:rPr>
          <w:spacing w:val="-3"/>
          <w:sz w:val="23"/>
        </w:rPr>
        <w:t> </w:t>
      </w:r>
      <w:r>
        <w:rPr>
          <w:sz w:val="23"/>
        </w:rPr>
        <w:t>EVER</w:t>
      </w:r>
      <w:r>
        <w:rPr>
          <w:spacing w:val="-3"/>
          <w:sz w:val="23"/>
        </w:rPr>
        <w:t> </w:t>
      </w:r>
      <w:r>
        <w:rPr>
          <w:sz w:val="23"/>
        </w:rPr>
        <w:t>HAD LOW</w:t>
      </w:r>
      <w:r>
        <w:rPr>
          <w:spacing w:val="-6"/>
          <w:sz w:val="23"/>
        </w:rPr>
        <w:t> </w:t>
      </w:r>
      <w:r>
        <w:rPr>
          <w:sz w:val="23"/>
        </w:rPr>
        <w:t>BIRTH</w:t>
      </w:r>
      <w:r>
        <w:rPr>
          <w:spacing w:val="-2"/>
          <w:sz w:val="23"/>
        </w:rPr>
        <w:t> </w:t>
      </w:r>
      <w:r>
        <w:rPr>
          <w:sz w:val="23"/>
        </w:rPr>
        <w:t>WIEGHT</w:t>
      </w:r>
      <w:r>
        <w:rPr>
          <w:spacing w:val="-2"/>
          <w:sz w:val="23"/>
        </w:rPr>
        <w:t> </w:t>
      </w:r>
      <w:r>
        <w:rPr>
          <w:sz w:val="23"/>
        </w:rPr>
        <w:t>BABY</w:t>
      </w:r>
      <w:r>
        <w:rPr>
          <w:spacing w:val="-3"/>
          <w:sz w:val="23"/>
        </w:rPr>
        <w:t> </w:t>
      </w:r>
      <w:r>
        <w:rPr>
          <w:spacing w:val="-2"/>
          <w:sz w:val="23"/>
        </w:rPr>
        <w:t>BEFORE?</w:t>
      </w:r>
    </w:p>
    <w:p>
      <w:pPr>
        <w:pStyle w:val="BodyText"/>
        <w:rPr>
          <w:sz w:val="23"/>
        </w:rPr>
      </w:pPr>
    </w:p>
    <w:p>
      <w:pPr>
        <w:pStyle w:val="BodyText"/>
        <w:rPr>
          <w:sz w:val="23"/>
        </w:rPr>
      </w:pPr>
    </w:p>
    <w:p>
      <w:pPr>
        <w:spacing w:before="0"/>
        <w:ind w:left="2876" w:right="0" w:firstLine="0"/>
        <w:jc w:val="both"/>
        <w:rPr>
          <w:b/>
          <w:sz w:val="23"/>
        </w:rPr>
      </w:pPr>
      <w:r>
        <w:rPr>
          <w:b/>
          <w:sz w:val="23"/>
        </w:rPr>
        <w:t>SECTION</w:t>
      </w:r>
      <w:r>
        <w:rPr>
          <w:b/>
          <w:spacing w:val="-6"/>
          <w:sz w:val="23"/>
        </w:rPr>
        <w:t> </w:t>
      </w:r>
      <w:r>
        <w:rPr>
          <w:b/>
          <w:sz w:val="23"/>
        </w:rPr>
        <w:t>C:</w:t>
      </w:r>
      <w:r>
        <w:rPr>
          <w:b/>
          <w:spacing w:val="-2"/>
          <w:sz w:val="23"/>
        </w:rPr>
        <w:t> </w:t>
      </w:r>
      <w:r>
        <w:rPr>
          <w:b/>
          <w:sz w:val="23"/>
        </w:rPr>
        <w:t>STUDY</w:t>
      </w:r>
      <w:r>
        <w:rPr>
          <w:b/>
          <w:spacing w:val="-2"/>
          <w:sz w:val="23"/>
        </w:rPr>
        <w:t> </w:t>
      </w:r>
      <w:r>
        <w:rPr>
          <w:b/>
          <w:sz w:val="23"/>
        </w:rPr>
        <w:t>SURROGATE</w:t>
      </w:r>
      <w:r>
        <w:rPr>
          <w:b/>
          <w:spacing w:val="-2"/>
          <w:sz w:val="23"/>
        </w:rPr>
        <w:t> </w:t>
      </w:r>
      <w:r>
        <w:rPr>
          <w:b/>
          <w:spacing w:val="-4"/>
          <w:sz w:val="23"/>
        </w:rPr>
        <w:t>DATA</w:t>
      </w:r>
    </w:p>
    <w:p>
      <w:pPr>
        <w:spacing w:before="127"/>
        <w:ind w:left="560" w:right="0" w:firstLine="0"/>
        <w:jc w:val="both"/>
        <w:rPr>
          <w:sz w:val="23"/>
        </w:rPr>
      </w:pPr>
      <w:r>
        <w:rPr>
          <w:sz w:val="23"/>
        </w:rPr>
        <w:t>DO</w:t>
      </w:r>
      <w:r>
        <w:rPr>
          <w:spacing w:val="-3"/>
          <w:sz w:val="23"/>
        </w:rPr>
        <w:t> </w:t>
      </w:r>
      <w:r>
        <w:rPr>
          <w:sz w:val="23"/>
        </w:rPr>
        <w:t>YOU</w:t>
      </w:r>
      <w:r>
        <w:rPr>
          <w:spacing w:val="-3"/>
          <w:sz w:val="23"/>
        </w:rPr>
        <w:t> </w:t>
      </w:r>
      <w:r>
        <w:rPr>
          <w:sz w:val="23"/>
        </w:rPr>
        <w:t>SLEEP</w:t>
      </w:r>
      <w:r>
        <w:rPr>
          <w:spacing w:val="-3"/>
          <w:sz w:val="23"/>
        </w:rPr>
        <w:t> </w:t>
      </w:r>
      <w:r>
        <w:rPr>
          <w:sz w:val="23"/>
        </w:rPr>
        <w:t>UNDER</w:t>
      </w:r>
      <w:r>
        <w:rPr>
          <w:spacing w:val="-2"/>
          <w:sz w:val="23"/>
        </w:rPr>
        <w:t> </w:t>
      </w:r>
      <w:r>
        <w:rPr>
          <w:sz w:val="23"/>
        </w:rPr>
        <w:t>MOSQUITO</w:t>
      </w:r>
      <w:r>
        <w:rPr>
          <w:spacing w:val="-3"/>
          <w:sz w:val="23"/>
        </w:rPr>
        <w:t> </w:t>
      </w:r>
      <w:r>
        <w:rPr>
          <w:sz w:val="23"/>
        </w:rPr>
        <w:t>NET?</w:t>
      </w:r>
      <w:r>
        <w:rPr>
          <w:spacing w:val="53"/>
          <w:sz w:val="23"/>
        </w:rPr>
        <w:t> </w:t>
      </w:r>
      <w:r>
        <w:rPr>
          <w:spacing w:val="-2"/>
          <w:sz w:val="23"/>
        </w:rPr>
        <w:t>YES/NO</w:t>
      </w:r>
    </w:p>
    <w:p>
      <w:pPr>
        <w:spacing w:line="360" w:lineRule="auto" w:before="134"/>
        <w:ind w:left="560" w:right="1787" w:firstLine="0"/>
        <w:jc w:val="both"/>
        <w:rPr>
          <w:sz w:val="23"/>
        </w:rPr>
      </w:pPr>
      <w:r>
        <w:rPr>
          <w:sz w:val="23"/>
        </w:rPr>
        <w:t>DO</w:t>
      </w:r>
      <w:r>
        <w:rPr>
          <w:spacing w:val="-1"/>
          <w:sz w:val="23"/>
        </w:rPr>
        <w:t> </w:t>
      </w:r>
      <w:r>
        <w:rPr>
          <w:sz w:val="23"/>
        </w:rPr>
        <w:t>YOU</w:t>
      </w:r>
      <w:r>
        <w:rPr>
          <w:spacing w:val="-1"/>
          <w:sz w:val="23"/>
        </w:rPr>
        <w:t> </w:t>
      </w:r>
      <w:r>
        <w:rPr>
          <w:sz w:val="23"/>
        </w:rPr>
        <w:t>APPLY</w:t>
      </w:r>
      <w:r>
        <w:rPr>
          <w:spacing w:val="-1"/>
          <w:sz w:val="23"/>
        </w:rPr>
        <w:t> </w:t>
      </w:r>
      <w:r>
        <w:rPr>
          <w:sz w:val="23"/>
        </w:rPr>
        <w:t>MOSQUITO INSECTICIDE IN YOUR APARTMENT?</w:t>
      </w:r>
      <w:r>
        <w:rPr>
          <w:spacing w:val="80"/>
          <w:sz w:val="23"/>
        </w:rPr>
        <w:t> </w:t>
      </w:r>
      <w:r>
        <w:rPr>
          <w:sz w:val="23"/>
        </w:rPr>
        <w:t>YES/NO HOW</w:t>
      </w:r>
      <w:r>
        <w:rPr>
          <w:spacing w:val="-8"/>
          <w:sz w:val="23"/>
        </w:rPr>
        <w:t> </w:t>
      </w:r>
      <w:r>
        <w:rPr>
          <w:sz w:val="23"/>
        </w:rPr>
        <w:t>OFTEN</w:t>
      </w:r>
      <w:r>
        <w:rPr>
          <w:spacing w:val="-5"/>
          <w:sz w:val="23"/>
        </w:rPr>
        <w:t> </w:t>
      </w:r>
      <w:r>
        <w:rPr>
          <w:sz w:val="23"/>
        </w:rPr>
        <w:t>ARE</w:t>
      </w:r>
      <w:r>
        <w:rPr>
          <w:spacing w:val="-5"/>
          <w:sz w:val="23"/>
        </w:rPr>
        <w:t> </w:t>
      </w:r>
      <w:r>
        <w:rPr>
          <w:sz w:val="23"/>
        </w:rPr>
        <w:t>YOU</w:t>
      </w:r>
      <w:r>
        <w:rPr>
          <w:spacing w:val="-4"/>
          <w:sz w:val="23"/>
        </w:rPr>
        <w:t> </w:t>
      </w:r>
      <w:r>
        <w:rPr>
          <w:sz w:val="23"/>
        </w:rPr>
        <w:t>BITTEN</w:t>
      </w:r>
      <w:r>
        <w:rPr>
          <w:spacing w:val="-5"/>
          <w:sz w:val="23"/>
        </w:rPr>
        <w:t> </w:t>
      </w:r>
      <w:r>
        <w:rPr>
          <w:sz w:val="23"/>
        </w:rPr>
        <w:t>BY</w:t>
      </w:r>
      <w:r>
        <w:rPr>
          <w:spacing w:val="-5"/>
          <w:sz w:val="23"/>
        </w:rPr>
        <w:t> </w:t>
      </w:r>
      <w:r>
        <w:rPr>
          <w:sz w:val="23"/>
        </w:rPr>
        <w:t>MOSQUITO?</w:t>
      </w:r>
      <w:r>
        <w:rPr>
          <w:spacing w:val="40"/>
          <w:sz w:val="23"/>
        </w:rPr>
        <w:t> </w:t>
      </w:r>
      <w:r>
        <w:rPr>
          <w:sz w:val="23"/>
        </w:rPr>
        <w:t>……………………………….. WHEN</w:t>
      </w:r>
      <w:r>
        <w:rPr>
          <w:spacing w:val="-2"/>
          <w:sz w:val="23"/>
        </w:rPr>
        <w:t> </w:t>
      </w:r>
      <w:r>
        <w:rPr>
          <w:sz w:val="23"/>
        </w:rPr>
        <w:t>LAST</w:t>
      </w:r>
      <w:r>
        <w:rPr>
          <w:spacing w:val="-1"/>
          <w:sz w:val="23"/>
        </w:rPr>
        <w:t> </w:t>
      </w:r>
      <w:r>
        <w:rPr>
          <w:sz w:val="23"/>
        </w:rPr>
        <w:t>WERE</w:t>
      </w:r>
      <w:r>
        <w:rPr>
          <w:spacing w:val="-3"/>
          <w:sz w:val="23"/>
        </w:rPr>
        <w:t> </w:t>
      </w:r>
      <w:r>
        <w:rPr>
          <w:sz w:val="23"/>
        </w:rPr>
        <w:t>YOU</w:t>
      </w:r>
      <w:r>
        <w:rPr>
          <w:spacing w:val="-4"/>
          <w:sz w:val="23"/>
        </w:rPr>
        <w:t> </w:t>
      </w:r>
      <w:r>
        <w:rPr>
          <w:sz w:val="23"/>
        </w:rPr>
        <w:t>TREATED</w:t>
      </w:r>
      <w:r>
        <w:rPr>
          <w:spacing w:val="-2"/>
          <w:sz w:val="23"/>
        </w:rPr>
        <w:t> </w:t>
      </w:r>
      <w:r>
        <w:rPr>
          <w:sz w:val="23"/>
        </w:rPr>
        <w:t>FOR</w:t>
      </w:r>
      <w:r>
        <w:rPr>
          <w:spacing w:val="-4"/>
          <w:sz w:val="23"/>
        </w:rPr>
        <w:t> </w:t>
      </w:r>
      <w:r>
        <w:rPr>
          <w:sz w:val="23"/>
        </w:rPr>
        <w:t>MALARIA? …………………………… CURRENTLY, ARE YOU ON ANTIMALARIA DRUGS? YES/NO</w:t>
      </w:r>
    </w:p>
    <w:p>
      <w:pPr>
        <w:spacing w:line="264" w:lineRule="exact" w:before="0"/>
        <w:ind w:left="560" w:right="0" w:firstLine="0"/>
        <w:jc w:val="both"/>
        <w:rPr>
          <w:sz w:val="23"/>
        </w:rPr>
      </w:pPr>
      <w:r>
        <w:rPr>
          <w:sz w:val="23"/>
        </w:rPr>
        <w:t>WHICH</w:t>
      </w:r>
      <w:r>
        <w:rPr>
          <w:spacing w:val="-4"/>
          <w:sz w:val="23"/>
        </w:rPr>
        <w:t> </w:t>
      </w:r>
      <w:r>
        <w:rPr>
          <w:sz w:val="23"/>
        </w:rPr>
        <w:t>TYPE</w:t>
      </w:r>
      <w:r>
        <w:rPr>
          <w:spacing w:val="-3"/>
          <w:sz w:val="23"/>
        </w:rPr>
        <w:t> </w:t>
      </w:r>
      <w:r>
        <w:rPr>
          <w:sz w:val="23"/>
        </w:rPr>
        <w:t>ARE</w:t>
      </w:r>
      <w:r>
        <w:rPr>
          <w:spacing w:val="-2"/>
          <w:sz w:val="23"/>
        </w:rPr>
        <w:t> </w:t>
      </w:r>
      <w:r>
        <w:rPr>
          <w:sz w:val="23"/>
        </w:rPr>
        <w:t>YOU</w:t>
      </w:r>
      <w:r>
        <w:rPr>
          <w:spacing w:val="-3"/>
          <w:sz w:val="23"/>
        </w:rPr>
        <w:t> </w:t>
      </w:r>
      <w:r>
        <w:rPr>
          <w:sz w:val="23"/>
        </w:rPr>
        <w:t>TAKING?</w:t>
      </w:r>
      <w:r>
        <w:rPr>
          <w:spacing w:val="55"/>
          <w:sz w:val="23"/>
        </w:rPr>
        <w:t> </w:t>
      </w:r>
      <w:r>
        <w:rPr>
          <w:spacing w:val="-2"/>
          <w:sz w:val="23"/>
        </w:rPr>
        <w:t>……………………………….</w:t>
      </w:r>
    </w:p>
    <w:p>
      <w:pPr>
        <w:tabs>
          <w:tab w:pos="7041" w:val="left" w:leader="none"/>
          <w:tab w:pos="8214" w:val="left" w:leader="none"/>
        </w:tabs>
        <w:spacing w:line="362" w:lineRule="auto" w:before="132"/>
        <w:ind w:left="560" w:right="1341" w:firstLine="0"/>
        <w:jc w:val="left"/>
        <w:rPr>
          <w:sz w:val="23"/>
        </w:rPr>
      </w:pPr>
      <w:r>
        <w:rPr>
          <w:sz w:val="23"/>
        </w:rPr>
        <w:t>IS THIS YOUR FIRST ANC ENROLMENT IN THIS PREGNANCY?</w:t>
        <w:tab/>
      </w:r>
      <w:r>
        <w:rPr>
          <w:spacing w:val="-2"/>
          <w:sz w:val="23"/>
        </w:rPr>
        <w:t>YES/NO </w:t>
      </w:r>
      <w:r>
        <w:rPr>
          <w:sz w:val="23"/>
        </w:rPr>
        <w:t>CAN YOU REMEMBER YOUR LAST MENSTRAL PERIOD?</w:t>
        <w:tab/>
      </w:r>
      <w:r>
        <w:rPr>
          <w:spacing w:val="-2"/>
          <w:sz w:val="23"/>
        </w:rPr>
        <w:t>YES/NO</w:t>
      </w:r>
    </w:p>
    <w:p>
      <w:pPr>
        <w:spacing w:line="360" w:lineRule="auto" w:before="0"/>
        <w:ind w:left="560" w:right="2774" w:firstLine="0"/>
        <w:jc w:val="left"/>
        <w:rPr>
          <w:sz w:val="23"/>
        </w:rPr>
      </w:pPr>
      <w:r>
        <w:rPr>
          <w:sz w:val="23"/>
        </w:rPr>
        <w:t>IF</w:t>
      </w:r>
      <w:r>
        <w:rPr>
          <w:spacing w:val="-9"/>
          <w:sz w:val="23"/>
        </w:rPr>
        <w:t> </w:t>
      </w:r>
      <w:r>
        <w:rPr>
          <w:sz w:val="23"/>
        </w:rPr>
        <w:t>YES,</w:t>
      </w:r>
      <w:r>
        <w:rPr>
          <w:spacing w:val="-3"/>
          <w:sz w:val="23"/>
        </w:rPr>
        <w:t> </w:t>
      </w:r>
      <w:r>
        <w:rPr>
          <w:sz w:val="23"/>
        </w:rPr>
        <w:t>INDICATE</w:t>
      </w:r>
      <w:r>
        <w:rPr>
          <w:spacing w:val="-5"/>
          <w:sz w:val="23"/>
        </w:rPr>
        <w:t> </w:t>
      </w:r>
      <w:r>
        <w:rPr>
          <w:sz w:val="23"/>
        </w:rPr>
        <w:t>THE</w:t>
      </w:r>
      <w:r>
        <w:rPr>
          <w:spacing w:val="-5"/>
          <w:sz w:val="23"/>
        </w:rPr>
        <w:t> </w:t>
      </w:r>
      <w:r>
        <w:rPr>
          <w:sz w:val="23"/>
        </w:rPr>
        <w:t>LAST</w:t>
      </w:r>
      <w:r>
        <w:rPr>
          <w:spacing w:val="-5"/>
          <w:sz w:val="23"/>
        </w:rPr>
        <w:t> </w:t>
      </w:r>
      <w:r>
        <w:rPr>
          <w:sz w:val="23"/>
        </w:rPr>
        <w:t>MENSTRUAL</w:t>
      </w:r>
      <w:r>
        <w:rPr>
          <w:spacing w:val="-9"/>
          <w:sz w:val="23"/>
        </w:rPr>
        <w:t> </w:t>
      </w:r>
      <w:r>
        <w:rPr>
          <w:sz w:val="23"/>
        </w:rPr>
        <w:t>PERIOD</w:t>
      </w:r>
      <w:r>
        <w:rPr>
          <w:spacing w:val="-6"/>
          <w:sz w:val="23"/>
        </w:rPr>
        <w:t> </w:t>
      </w:r>
      <w:r>
        <w:rPr>
          <w:sz w:val="23"/>
        </w:rPr>
        <w:t>………………… WHAT IS THE GESTATIONAL AGE OF THIS PREGNANCY?</w:t>
      </w:r>
    </w:p>
    <w:p>
      <w:pPr>
        <w:spacing w:line="362" w:lineRule="auto" w:before="0"/>
        <w:ind w:left="560" w:right="5170" w:firstLine="0"/>
        <w:jc w:val="left"/>
        <w:rPr>
          <w:sz w:val="23"/>
        </w:rPr>
      </w:pPr>
      <w:r>
        <w:rPr>
          <w:sz w:val="23"/>
        </w:rPr>
        <w:t>DO YOU HAVE A SCAN RESULT?</w:t>
      </w:r>
      <w:r>
        <w:rPr>
          <w:spacing w:val="40"/>
          <w:sz w:val="23"/>
        </w:rPr>
        <w:t> </w:t>
      </w:r>
      <w:r>
        <w:rPr>
          <w:sz w:val="23"/>
        </w:rPr>
        <w:t>YES/NO</w:t>
      </w:r>
      <w:r>
        <w:rPr>
          <w:spacing w:val="40"/>
          <w:sz w:val="23"/>
        </w:rPr>
        <w:t> </w:t>
      </w:r>
      <w:r>
        <w:rPr>
          <w:sz w:val="23"/>
        </w:rPr>
        <w:t>IS</w:t>
      </w:r>
      <w:r>
        <w:rPr>
          <w:spacing w:val="-7"/>
          <w:sz w:val="23"/>
        </w:rPr>
        <w:t> </w:t>
      </w:r>
      <w:r>
        <w:rPr>
          <w:sz w:val="23"/>
        </w:rPr>
        <w:t>THIS</w:t>
      </w:r>
      <w:r>
        <w:rPr>
          <w:spacing w:val="-7"/>
          <w:sz w:val="23"/>
        </w:rPr>
        <w:t> </w:t>
      </w:r>
      <w:r>
        <w:rPr>
          <w:sz w:val="23"/>
        </w:rPr>
        <w:t>YOUR</w:t>
      </w:r>
      <w:r>
        <w:rPr>
          <w:spacing w:val="-5"/>
          <w:sz w:val="23"/>
        </w:rPr>
        <w:t> </w:t>
      </w:r>
      <w:r>
        <w:rPr>
          <w:sz w:val="23"/>
        </w:rPr>
        <w:t>FIRST</w:t>
      </w:r>
      <w:r>
        <w:rPr>
          <w:spacing w:val="-6"/>
          <w:sz w:val="23"/>
        </w:rPr>
        <w:t> </w:t>
      </w:r>
      <w:r>
        <w:rPr>
          <w:sz w:val="23"/>
        </w:rPr>
        <w:t>PREGNANCY?</w:t>
      </w:r>
      <w:r>
        <w:rPr>
          <w:spacing w:val="40"/>
          <w:sz w:val="23"/>
        </w:rPr>
        <w:t> </w:t>
      </w:r>
      <w:r>
        <w:rPr>
          <w:sz w:val="23"/>
        </w:rPr>
        <w:t>YES/NO</w:t>
      </w:r>
    </w:p>
    <w:p>
      <w:pPr>
        <w:spacing w:line="260" w:lineRule="exact" w:before="0"/>
        <w:ind w:left="560" w:right="0" w:firstLine="0"/>
        <w:jc w:val="left"/>
        <w:rPr>
          <w:sz w:val="23"/>
        </w:rPr>
      </w:pPr>
      <w:r>
        <w:rPr>
          <w:sz w:val="23"/>
        </w:rPr>
        <w:t>HOW</w:t>
      </w:r>
      <w:r>
        <w:rPr>
          <w:spacing w:val="-5"/>
          <w:sz w:val="23"/>
        </w:rPr>
        <w:t> </w:t>
      </w:r>
      <w:r>
        <w:rPr>
          <w:sz w:val="23"/>
        </w:rPr>
        <w:t>MANY</w:t>
      </w:r>
      <w:r>
        <w:rPr>
          <w:spacing w:val="-2"/>
          <w:sz w:val="23"/>
        </w:rPr>
        <w:t> </w:t>
      </w:r>
      <w:r>
        <w:rPr>
          <w:sz w:val="23"/>
        </w:rPr>
        <w:t>CHILDREN</w:t>
      </w:r>
      <w:r>
        <w:rPr>
          <w:spacing w:val="-2"/>
          <w:sz w:val="23"/>
        </w:rPr>
        <w:t> </w:t>
      </w:r>
      <w:r>
        <w:rPr>
          <w:sz w:val="23"/>
        </w:rPr>
        <w:t>DO</w:t>
      </w:r>
      <w:r>
        <w:rPr>
          <w:spacing w:val="-2"/>
          <w:sz w:val="23"/>
        </w:rPr>
        <w:t> </w:t>
      </w:r>
      <w:r>
        <w:rPr>
          <w:sz w:val="23"/>
        </w:rPr>
        <w:t>YOU</w:t>
      </w:r>
      <w:r>
        <w:rPr>
          <w:spacing w:val="-2"/>
          <w:sz w:val="23"/>
        </w:rPr>
        <w:t> </w:t>
      </w:r>
      <w:r>
        <w:rPr>
          <w:sz w:val="23"/>
        </w:rPr>
        <w:t>HAVE?</w:t>
      </w:r>
      <w:r>
        <w:rPr>
          <w:spacing w:val="60"/>
          <w:sz w:val="23"/>
        </w:rPr>
        <w:t> </w:t>
      </w:r>
      <w:r>
        <w:rPr>
          <w:spacing w:val="-2"/>
          <w:sz w:val="23"/>
        </w:rPr>
        <w:t>………………………………….</w:t>
      </w:r>
    </w:p>
    <w:p>
      <w:pPr>
        <w:spacing w:before="126"/>
        <w:ind w:left="560" w:right="0" w:firstLine="0"/>
        <w:jc w:val="left"/>
        <w:rPr>
          <w:sz w:val="23"/>
        </w:rPr>
      </w:pPr>
      <w:r>
        <w:rPr>
          <w:sz w:val="23"/>
        </w:rPr>
        <w:t>HAVE</w:t>
      </w:r>
      <w:r>
        <w:rPr>
          <w:spacing w:val="1"/>
          <w:sz w:val="23"/>
        </w:rPr>
        <w:t> </w:t>
      </w:r>
      <w:r>
        <w:rPr>
          <w:sz w:val="23"/>
        </w:rPr>
        <w:t>YOU</w:t>
      </w:r>
      <w:r>
        <w:rPr>
          <w:spacing w:val="4"/>
          <w:sz w:val="23"/>
        </w:rPr>
        <w:t> </w:t>
      </w:r>
      <w:r>
        <w:rPr>
          <w:sz w:val="23"/>
        </w:rPr>
        <w:t>EXPRIENCED</w:t>
      </w:r>
      <w:r>
        <w:rPr>
          <w:spacing w:val="3"/>
          <w:sz w:val="23"/>
        </w:rPr>
        <w:t> </w:t>
      </w:r>
      <w:r>
        <w:rPr>
          <w:sz w:val="23"/>
        </w:rPr>
        <w:t>ANY</w:t>
      </w:r>
      <w:r>
        <w:rPr>
          <w:spacing w:val="4"/>
          <w:sz w:val="23"/>
        </w:rPr>
        <w:t> </w:t>
      </w:r>
      <w:r>
        <w:rPr>
          <w:sz w:val="23"/>
        </w:rPr>
        <w:t>SPOTTING</w:t>
      </w:r>
      <w:r>
        <w:rPr>
          <w:spacing w:val="2"/>
          <w:sz w:val="23"/>
        </w:rPr>
        <w:t> </w:t>
      </w:r>
      <w:r>
        <w:rPr>
          <w:sz w:val="23"/>
        </w:rPr>
        <w:t>OR</w:t>
      </w:r>
      <w:r>
        <w:rPr>
          <w:spacing w:val="4"/>
          <w:sz w:val="23"/>
        </w:rPr>
        <w:t> </w:t>
      </w:r>
      <w:r>
        <w:rPr>
          <w:sz w:val="23"/>
        </w:rPr>
        <w:t>DROPPING</w:t>
      </w:r>
      <w:r>
        <w:rPr>
          <w:spacing w:val="1"/>
          <w:sz w:val="23"/>
        </w:rPr>
        <w:t> </w:t>
      </w:r>
      <w:r>
        <w:rPr>
          <w:sz w:val="23"/>
        </w:rPr>
        <w:t>OF</w:t>
      </w:r>
      <w:r>
        <w:rPr>
          <w:spacing w:val="3"/>
          <w:sz w:val="23"/>
        </w:rPr>
        <w:t> </w:t>
      </w:r>
      <w:r>
        <w:rPr>
          <w:sz w:val="23"/>
        </w:rPr>
        <w:t>BLOOD</w:t>
      </w:r>
      <w:r>
        <w:rPr>
          <w:spacing w:val="4"/>
          <w:sz w:val="23"/>
        </w:rPr>
        <w:t> </w:t>
      </w:r>
      <w:r>
        <w:rPr>
          <w:sz w:val="23"/>
        </w:rPr>
        <w:t>IN</w:t>
      </w:r>
      <w:r>
        <w:rPr>
          <w:spacing w:val="2"/>
          <w:sz w:val="23"/>
        </w:rPr>
        <w:t> </w:t>
      </w:r>
      <w:r>
        <w:rPr>
          <w:sz w:val="23"/>
        </w:rPr>
        <w:t>THE</w:t>
      </w:r>
      <w:r>
        <w:rPr>
          <w:spacing w:val="4"/>
          <w:sz w:val="23"/>
        </w:rPr>
        <w:t> </w:t>
      </w:r>
      <w:r>
        <w:rPr>
          <w:spacing w:val="-2"/>
          <w:sz w:val="23"/>
        </w:rPr>
        <w:t>COURSE</w:t>
      </w:r>
    </w:p>
    <w:p>
      <w:pPr>
        <w:spacing w:line="360" w:lineRule="auto" w:before="134"/>
        <w:ind w:left="560" w:right="4471" w:firstLine="0"/>
        <w:jc w:val="left"/>
        <w:rPr>
          <w:sz w:val="23"/>
        </w:rPr>
      </w:pPr>
      <w:r>
        <w:rPr>
          <w:sz w:val="23"/>
        </w:rPr>
        <w:t>OF</w:t>
      </w:r>
      <w:r>
        <w:rPr>
          <w:spacing w:val="-13"/>
          <w:sz w:val="23"/>
        </w:rPr>
        <w:t> </w:t>
      </w:r>
      <w:r>
        <w:rPr>
          <w:sz w:val="23"/>
        </w:rPr>
        <w:t>THIS</w:t>
      </w:r>
      <w:r>
        <w:rPr>
          <w:spacing w:val="-9"/>
          <w:sz w:val="23"/>
        </w:rPr>
        <w:t> </w:t>
      </w:r>
      <w:r>
        <w:rPr>
          <w:sz w:val="23"/>
        </w:rPr>
        <w:t>PREGNANCY?</w:t>
      </w:r>
      <w:r>
        <w:rPr>
          <w:spacing w:val="40"/>
          <w:sz w:val="23"/>
        </w:rPr>
        <w:t> </w:t>
      </w:r>
      <w:r>
        <w:rPr>
          <w:sz w:val="23"/>
        </w:rPr>
        <w:t>………………………….. ARE YOU ON IRON DRUGS? YES/NO</w:t>
      </w:r>
    </w:p>
    <w:p>
      <w:pPr>
        <w:spacing w:line="263" w:lineRule="exact" w:before="0"/>
        <w:ind w:left="560" w:right="0" w:firstLine="0"/>
        <w:jc w:val="left"/>
        <w:rPr>
          <w:sz w:val="23"/>
        </w:rPr>
      </w:pPr>
      <w:r>
        <w:rPr>
          <w:sz w:val="23"/>
        </w:rPr>
        <w:t>WHEN</w:t>
      </w:r>
      <w:r>
        <w:rPr>
          <w:spacing w:val="-5"/>
          <w:sz w:val="23"/>
        </w:rPr>
        <w:t> </w:t>
      </w:r>
      <w:r>
        <w:rPr>
          <w:sz w:val="23"/>
        </w:rPr>
        <w:t>LAST</w:t>
      </w:r>
      <w:r>
        <w:rPr>
          <w:spacing w:val="-2"/>
          <w:sz w:val="23"/>
        </w:rPr>
        <w:t> </w:t>
      </w:r>
      <w:r>
        <w:rPr>
          <w:sz w:val="23"/>
        </w:rPr>
        <w:t>DID</w:t>
      </w:r>
      <w:r>
        <w:rPr>
          <w:spacing w:val="-4"/>
          <w:sz w:val="23"/>
        </w:rPr>
        <w:t> </w:t>
      </w:r>
      <w:r>
        <w:rPr>
          <w:sz w:val="23"/>
        </w:rPr>
        <w:t>YOU</w:t>
      </w:r>
      <w:r>
        <w:rPr>
          <w:spacing w:val="-2"/>
          <w:sz w:val="23"/>
        </w:rPr>
        <w:t> </w:t>
      </w:r>
      <w:r>
        <w:rPr>
          <w:sz w:val="23"/>
        </w:rPr>
        <w:t>TAKE</w:t>
      </w:r>
      <w:r>
        <w:rPr>
          <w:spacing w:val="-3"/>
          <w:sz w:val="23"/>
        </w:rPr>
        <w:t> </w:t>
      </w:r>
      <w:r>
        <w:rPr>
          <w:sz w:val="23"/>
        </w:rPr>
        <w:t>IRON</w:t>
      </w:r>
      <w:r>
        <w:rPr>
          <w:spacing w:val="-4"/>
          <w:sz w:val="23"/>
        </w:rPr>
        <w:t> </w:t>
      </w:r>
      <w:r>
        <w:rPr>
          <w:sz w:val="23"/>
        </w:rPr>
        <w:t>DRUGS/SUPPLEMENT?</w:t>
      </w:r>
      <w:r>
        <w:rPr>
          <w:spacing w:val="57"/>
          <w:sz w:val="23"/>
        </w:rPr>
        <w:t> </w:t>
      </w:r>
      <w:r>
        <w:rPr>
          <w:spacing w:val="-2"/>
          <w:sz w:val="23"/>
        </w:rPr>
        <w:t>……………………..</w:t>
      </w:r>
    </w:p>
    <w:p>
      <w:pPr>
        <w:spacing w:line="360" w:lineRule="auto" w:before="134"/>
        <w:ind w:left="560" w:right="795" w:firstLine="0"/>
        <w:jc w:val="left"/>
        <w:rPr>
          <w:sz w:val="23"/>
        </w:rPr>
      </w:pPr>
      <w:r>
        <w:rPr>
          <w:sz w:val="23"/>
        </w:rPr>
        <w:t>DID</w:t>
      </w:r>
      <w:r>
        <w:rPr>
          <w:spacing w:val="38"/>
          <w:sz w:val="23"/>
        </w:rPr>
        <w:t> </w:t>
      </w:r>
      <w:r>
        <w:rPr>
          <w:sz w:val="23"/>
        </w:rPr>
        <w:t>YOU</w:t>
      </w:r>
      <w:r>
        <w:rPr>
          <w:spacing w:val="38"/>
          <w:sz w:val="23"/>
        </w:rPr>
        <w:t> </w:t>
      </w:r>
      <w:r>
        <w:rPr>
          <w:sz w:val="23"/>
        </w:rPr>
        <w:t>ATTEND</w:t>
      </w:r>
      <w:r>
        <w:rPr>
          <w:spacing w:val="37"/>
          <w:sz w:val="23"/>
        </w:rPr>
        <w:t> </w:t>
      </w:r>
      <w:r>
        <w:rPr>
          <w:sz w:val="23"/>
        </w:rPr>
        <w:t>ANY</w:t>
      </w:r>
      <w:r>
        <w:rPr>
          <w:spacing w:val="36"/>
          <w:sz w:val="23"/>
        </w:rPr>
        <w:t> </w:t>
      </w:r>
      <w:r>
        <w:rPr>
          <w:sz w:val="23"/>
        </w:rPr>
        <w:t>TRADITIONAL</w:t>
      </w:r>
      <w:r>
        <w:rPr>
          <w:spacing w:val="35"/>
          <w:sz w:val="23"/>
        </w:rPr>
        <w:t> </w:t>
      </w:r>
      <w:r>
        <w:rPr>
          <w:sz w:val="23"/>
        </w:rPr>
        <w:t>MATERNAL</w:t>
      </w:r>
      <w:r>
        <w:rPr>
          <w:spacing w:val="35"/>
          <w:sz w:val="23"/>
        </w:rPr>
        <w:t> </w:t>
      </w:r>
      <w:r>
        <w:rPr>
          <w:sz w:val="23"/>
        </w:rPr>
        <w:t>BIRTH</w:t>
      </w:r>
      <w:r>
        <w:rPr>
          <w:spacing w:val="40"/>
          <w:sz w:val="23"/>
        </w:rPr>
        <w:t> </w:t>
      </w:r>
      <w:r>
        <w:rPr>
          <w:sz w:val="23"/>
        </w:rPr>
        <w:t>HOME</w:t>
      </w:r>
      <w:r>
        <w:rPr>
          <w:spacing w:val="39"/>
          <w:sz w:val="23"/>
        </w:rPr>
        <w:t> </w:t>
      </w:r>
      <w:r>
        <w:rPr>
          <w:sz w:val="23"/>
        </w:rPr>
        <w:t>OR</w:t>
      </w:r>
      <w:r>
        <w:rPr>
          <w:spacing w:val="37"/>
          <w:sz w:val="23"/>
        </w:rPr>
        <w:t> </w:t>
      </w:r>
      <w:r>
        <w:rPr>
          <w:sz w:val="23"/>
        </w:rPr>
        <w:t>EMBARKED ON</w:t>
      </w:r>
      <w:r>
        <w:rPr>
          <w:spacing w:val="30"/>
          <w:sz w:val="23"/>
        </w:rPr>
        <w:t>  </w:t>
      </w:r>
      <w:r>
        <w:rPr>
          <w:sz w:val="23"/>
        </w:rPr>
        <w:t>MEDICATION</w:t>
      </w:r>
      <w:r>
        <w:rPr>
          <w:spacing w:val="31"/>
          <w:sz w:val="23"/>
        </w:rPr>
        <w:t>  </w:t>
      </w:r>
      <w:r>
        <w:rPr>
          <w:sz w:val="23"/>
        </w:rPr>
        <w:t>ELSEWHERE</w:t>
      </w:r>
      <w:r>
        <w:rPr>
          <w:spacing w:val="31"/>
          <w:sz w:val="23"/>
        </w:rPr>
        <w:t>  </w:t>
      </w:r>
      <w:r>
        <w:rPr>
          <w:sz w:val="23"/>
        </w:rPr>
        <w:t>BEFORE</w:t>
      </w:r>
      <w:r>
        <w:rPr>
          <w:spacing w:val="31"/>
          <w:sz w:val="23"/>
        </w:rPr>
        <w:t>  </w:t>
      </w:r>
      <w:r>
        <w:rPr>
          <w:sz w:val="23"/>
        </w:rPr>
        <w:t>COMING</w:t>
      </w:r>
      <w:r>
        <w:rPr>
          <w:spacing w:val="30"/>
          <w:sz w:val="23"/>
        </w:rPr>
        <w:t>  </w:t>
      </w:r>
      <w:r>
        <w:rPr>
          <w:sz w:val="23"/>
        </w:rPr>
        <w:t>TO</w:t>
      </w:r>
      <w:r>
        <w:rPr>
          <w:spacing w:val="31"/>
          <w:sz w:val="23"/>
        </w:rPr>
        <w:t>  </w:t>
      </w:r>
      <w:r>
        <w:rPr>
          <w:sz w:val="23"/>
        </w:rPr>
        <w:t>ANTENATAL</w:t>
      </w:r>
      <w:r>
        <w:rPr>
          <w:spacing w:val="29"/>
          <w:sz w:val="23"/>
        </w:rPr>
        <w:t>  </w:t>
      </w:r>
      <w:r>
        <w:rPr>
          <w:sz w:val="23"/>
        </w:rPr>
        <w:t>CARE</w:t>
      </w:r>
      <w:r>
        <w:rPr>
          <w:spacing w:val="32"/>
          <w:sz w:val="23"/>
        </w:rPr>
        <w:t>  </w:t>
      </w:r>
      <w:r>
        <w:rPr>
          <w:spacing w:val="-5"/>
          <w:sz w:val="23"/>
        </w:rPr>
        <w:t>AT</w:t>
      </w:r>
    </w:p>
    <w:p>
      <w:pPr>
        <w:spacing w:line="263" w:lineRule="exact" w:before="0"/>
        <w:ind w:left="560" w:right="0" w:firstLine="0"/>
        <w:jc w:val="left"/>
        <w:rPr>
          <w:sz w:val="23"/>
        </w:rPr>
      </w:pPr>
      <w:r>
        <w:rPr>
          <w:sz w:val="23"/>
        </w:rPr>
        <w:t>ABSUTH?</w:t>
      </w:r>
      <w:r>
        <w:rPr>
          <w:spacing w:val="-3"/>
          <w:sz w:val="23"/>
        </w:rPr>
        <w:t> </w:t>
      </w:r>
      <w:r>
        <w:rPr>
          <w:spacing w:val="-4"/>
          <w:sz w:val="23"/>
        </w:rPr>
        <w:t>……………</w:t>
      </w:r>
    </w:p>
    <w:p>
      <w:pPr>
        <w:spacing w:after="0" w:line="263" w:lineRule="exact"/>
        <w:jc w:val="left"/>
        <w:rPr>
          <w:sz w:val="23"/>
        </w:rPr>
        <w:sectPr>
          <w:pgSz w:w="11910" w:h="16840"/>
          <w:pgMar w:header="0" w:footer="1067" w:top="1060" w:bottom="1260" w:left="880" w:right="640"/>
        </w:sectPr>
      </w:pPr>
    </w:p>
    <w:p>
      <w:pPr>
        <w:spacing w:before="76"/>
        <w:ind w:left="4487" w:right="0" w:firstLine="0"/>
        <w:jc w:val="left"/>
        <w:rPr>
          <w:b/>
          <w:sz w:val="20"/>
        </w:rPr>
      </w:pPr>
      <w:r>
        <w:rPr>
          <w:b/>
          <w:sz w:val="20"/>
        </w:rPr>
        <w:t>APPENDIX</w:t>
      </w:r>
      <w:r>
        <w:rPr>
          <w:b/>
          <w:spacing w:val="-11"/>
          <w:sz w:val="20"/>
        </w:rPr>
        <w:t> </w:t>
      </w:r>
      <w:r>
        <w:rPr>
          <w:b/>
          <w:spacing w:val="-4"/>
          <w:sz w:val="20"/>
        </w:rPr>
        <w:t>IIIa</w:t>
      </w:r>
    </w:p>
    <w:p>
      <w:pPr>
        <w:spacing w:before="2"/>
        <w:ind w:left="1820" w:right="795" w:hanging="1260"/>
        <w:jc w:val="left"/>
        <w:rPr>
          <w:b/>
          <w:sz w:val="22"/>
        </w:rPr>
      </w:pPr>
      <w:r>
        <w:rPr>
          <w:b/>
          <w:sz w:val="22"/>
        </w:rPr>
        <w:t>TABLE</w:t>
      </w:r>
      <w:r>
        <w:rPr>
          <w:b/>
          <w:spacing w:val="-4"/>
          <w:sz w:val="22"/>
        </w:rPr>
        <w:t> </w:t>
      </w:r>
      <w:r>
        <w:rPr>
          <w:b/>
          <w:sz w:val="22"/>
        </w:rPr>
        <w:t>4.4:</w:t>
      </w:r>
      <w:r>
        <w:rPr>
          <w:b/>
          <w:spacing w:val="-3"/>
          <w:sz w:val="22"/>
        </w:rPr>
        <w:t> </w:t>
      </w:r>
      <w:r>
        <w:rPr>
          <w:b/>
          <w:sz w:val="22"/>
        </w:rPr>
        <w:t>COMPARISON</w:t>
      </w:r>
      <w:r>
        <w:rPr>
          <w:b/>
          <w:spacing w:val="-4"/>
          <w:sz w:val="22"/>
        </w:rPr>
        <w:t> </w:t>
      </w:r>
      <w:r>
        <w:rPr>
          <w:b/>
          <w:sz w:val="22"/>
        </w:rPr>
        <w:t>OF</w:t>
      </w:r>
      <w:r>
        <w:rPr>
          <w:b/>
          <w:spacing w:val="-3"/>
          <w:sz w:val="22"/>
        </w:rPr>
        <w:t> </w:t>
      </w:r>
      <w:r>
        <w:rPr>
          <w:b/>
          <w:sz w:val="22"/>
        </w:rPr>
        <w:t>THE</w:t>
      </w:r>
      <w:r>
        <w:rPr>
          <w:b/>
          <w:spacing w:val="-4"/>
          <w:sz w:val="22"/>
        </w:rPr>
        <w:t> </w:t>
      </w:r>
      <w:r>
        <w:rPr>
          <w:b/>
          <w:sz w:val="22"/>
        </w:rPr>
        <w:t>EFFECT</w:t>
      </w:r>
      <w:r>
        <w:rPr>
          <w:b/>
          <w:spacing w:val="-4"/>
          <w:sz w:val="22"/>
        </w:rPr>
        <w:t> </w:t>
      </w:r>
      <w:r>
        <w:rPr>
          <w:b/>
          <w:sz w:val="22"/>
        </w:rPr>
        <w:t>OF</w:t>
      </w:r>
      <w:r>
        <w:rPr>
          <w:b/>
          <w:spacing w:val="-3"/>
          <w:sz w:val="22"/>
        </w:rPr>
        <w:t> </w:t>
      </w:r>
      <w:r>
        <w:rPr>
          <w:b/>
          <w:sz w:val="22"/>
        </w:rPr>
        <w:t>AGE</w:t>
      </w:r>
      <w:r>
        <w:rPr>
          <w:b/>
          <w:spacing w:val="-4"/>
          <w:sz w:val="22"/>
        </w:rPr>
        <w:t> </w:t>
      </w:r>
      <w:r>
        <w:rPr>
          <w:b/>
          <w:sz w:val="22"/>
        </w:rPr>
        <w:t>ON</w:t>
      </w:r>
      <w:r>
        <w:rPr>
          <w:b/>
          <w:spacing w:val="-4"/>
          <w:sz w:val="22"/>
        </w:rPr>
        <w:t> </w:t>
      </w:r>
      <w:r>
        <w:rPr>
          <w:b/>
          <w:sz w:val="22"/>
        </w:rPr>
        <w:t>CYTOKINE</w:t>
      </w:r>
      <w:r>
        <w:rPr>
          <w:b/>
          <w:spacing w:val="-4"/>
          <w:sz w:val="22"/>
        </w:rPr>
        <w:t> </w:t>
      </w:r>
      <w:r>
        <w:rPr>
          <w:b/>
          <w:sz w:val="22"/>
        </w:rPr>
        <w:t>LEVELS</w:t>
      </w:r>
      <w:r>
        <w:rPr>
          <w:b/>
          <w:spacing w:val="-3"/>
          <w:sz w:val="22"/>
        </w:rPr>
        <w:t> </w:t>
      </w:r>
      <w:r>
        <w:rPr>
          <w:b/>
          <w:sz w:val="22"/>
        </w:rPr>
        <w:t>OF MALARIA INFECTED PREGNANT WOMEN</w:t>
      </w:r>
    </w:p>
    <w:p>
      <w:pPr>
        <w:pStyle w:val="BodyText"/>
        <w:spacing w:before="23"/>
        <w:rPr>
          <w:b/>
          <w:sz w:val="20"/>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8"/>
        <w:gridCol w:w="1752"/>
        <w:gridCol w:w="1717"/>
        <w:gridCol w:w="1710"/>
        <w:gridCol w:w="1710"/>
        <w:gridCol w:w="1711"/>
      </w:tblGrid>
      <w:tr>
        <w:trPr>
          <w:trHeight w:val="536" w:hRule="atLeast"/>
        </w:trPr>
        <w:tc>
          <w:tcPr>
            <w:tcW w:w="1398" w:type="dxa"/>
            <w:tcBorders>
              <w:top w:val="single" w:sz="8" w:space="0" w:color="000000"/>
              <w:bottom w:val="single" w:sz="8" w:space="0" w:color="000000"/>
            </w:tcBorders>
          </w:tcPr>
          <w:p>
            <w:pPr>
              <w:pStyle w:val="TableParagraph"/>
              <w:spacing w:line="265" w:lineRule="exact"/>
              <w:ind w:left="2" w:right="34"/>
              <w:rPr>
                <w:rFonts w:ascii="Calibri"/>
                <w:b/>
                <w:sz w:val="22"/>
              </w:rPr>
            </w:pPr>
            <w:r>
              <w:rPr>
                <w:rFonts w:ascii="Calibri"/>
                <w:b/>
                <w:spacing w:val="-5"/>
                <w:sz w:val="22"/>
              </w:rPr>
              <w:t>AGE</w:t>
            </w:r>
          </w:p>
          <w:p>
            <w:pPr>
              <w:pStyle w:val="TableParagraph"/>
              <w:spacing w:line="251" w:lineRule="exact"/>
              <w:ind w:left="5" w:right="34"/>
              <w:rPr>
                <w:rFonts w:ascii="Calibri"/>
                <w:b/>
                <w:sz w:val="22"/>
              </w:rPr>
            </w:pPr>
            <w:r>
              <w:rPr>
                <w:rFonts w:ascii="Calibri"/>
                <w:b/>
                <w:spacing w:val="-2"/>
                <w:sz w:val="22"/>
              </w:rPr>
              <w:t>GROUPS</w:t>
            </w:r>
          </w:p>
        </w:tc>
        <w:tc>
          <w:tcPr>
            <w:tcW w:w="1752" w:type="dxa"/>
            <w:tcBorders>
              <w:top w:val="single" w:sz="8" w:space="0" w:color="000000"/>
              <w:bottom w:val="single" w:sz="8" w:space="0" w:color="000000"/>
            </w:tcBorders>
          </w:tcPr>
          <w:p>
            <w:pPr>
              <w:pStyle w:val="TableParagraph"/>
              <w:spacing w:line="251" w:lineRule="exact"/>
              <w:ind w:left="582"/>
              <w:jc w:val="left"/>
              <w:rPr>
                <w:b/>
                <w:sz w:val="22"/>
              </w:rPr>
            </w:pPr>
            <w:r>
              <w:rPr>
                <w:b/>
                <w:spacing w:val="-2"/>
                <w:sz w:val="22"/>
              </w:rPr>
              <w:t>IFN-</w:t>
            </w:r>
            <w:r>
              <w:rPr>
                <w:b/>
                <w:spacing w:val="-10"/>
                <w:sz w:val="22"/>
              </w:rPr>
              <w:t>γ</w:t>
            </w:r>
          </w:p>
          <w:p>
            <w:pPr>
              <w:pStyle w:val="TableParagraph"/>
              <w:spacing w:before="1"/>
              <w:ind w:left="546"/>
              <w:jc w:val="left"/>
              <w:rPr>
                <w:b/>
                <w:sz w:val="22"/>
              </w:rPr>
            </w:pPr>
            <w:r>
              <w:rPr>
                <w:b/>
                <w:spacing w:val="-2"/>
                <w:sz w:val="22"/>
              </w:rPr>
              <w:t>(pg/ml)</w:t>
            </w:r>
          </w:p>
        </w:tc>
        <w:tc>
          <w:tcPr>
            <w:tcW w:w="1717" w:type="dxa"/>
            <w:tcBorders>
              <w:top w:val="single" w:sz="8" w:space="0" w:color="000000"/>
              <w:bottom w:val="single" w:sz="8" w:space="0" w:color="000000"/>
            </w:tcBorders>
          </w:tcPr>
          <w:p>
            <w:pPr>
              <w:pStyle w:val="TableParagraph"/>
              <w:spacing w:line="251" w:lineRule="exact"/>
              <w:ind w:left="544"/>
              <w:jc w:val="left"/>
              <w:rPr>
                <w:b/>
                <w:sz w:val="22"/>
              </w:rPr>
            </w:pPr>
            <w:r>
              <w:rPr>
                <w:b/>
                <w:spacing w:val="-2"/>
                <w:sz w:val="22"/>
              </w:rPr>
              <w:t>TNF-</w:t>
            </w:r>
            <w:r>
              <w:rPr>
                <w:b/>
                <w:spacing w:val="-10"/>
                <w:sz w:val="22"/>
              </w:rPr>
              <w:t>α</w:t>
            </w:r>
          </w:p>
          <w:p>
            <w:pPr>
              <w:pStyle w:val="TableParagraph"/>
              <w:spacing w:before="1"/>
              <w:ind w:left="520"/>
              <w:jc w:val="left"/>
              <w:rPr>
                <w:b/>
                <w:sz w:val="22"/>
              </w:rPr>
            </w:pPr>
            <w:r>
              <w:rPr>
                <w:b/>
                <w:spacing w:val="-2"/>
                <w:sz w:val="22"/>
              </w:rPr>
              <w:t>(pg/ml)</w:t>
            </w:r>
          </w:p>
        </w:tc>
        <w:tc>
          <w:tcPr>
            <w:tcW w:w="1710" w:type="dxa"/>
            <w:tcBorders>
              <w:top w:val="single" w:sz="8" w:space="0" w:color="000000"/>
              <w:bottom w:val="single" w:sz="8" w:space="0" w:color="000000"/>
            </w:tcBorders>
          </w:tcPr>
          <w:p>
            <w:pPr>
              <w:pStyle w:val="TableParagraph"/>
              <w:spacing w:line="251" w:lineRule="exact"/>
              <w:ind w:left="6" w:right="4"/>
              <w:rPr>
                <w:b/>
                <w:sz w:val="22"/>
              </w:rPr>
            </w:pPr>
            <w:r>
              <w:rPr>
                <w:b/>
                <w:spacing w:val="-2"/>
                <w:sz w:val="22"/>
              </w:rPr>
              <w:t>IL-</w:t>
            </w:r>
            <w:r>
              <w:rPr>
                <w:b/>
                <w:spacing w:val="-12"/>
                <w:sz w:val="22"/>
              </w:rPr>
              <w:t>4</w:t>
            </w:r>
          </w:p>
          <w:p>
            <w:pPr>
              <w:pStyle w:val="TableParagraph"/>
              <w:spacing w:before="1"/>
              <w:ind w:left="6" w:right="6"/>
              <w:rPr>
                <w:b/>
                <w:sz w:val="22"/>
              </w:rPr>
            </w:pPr>
            <w:r>
              <w:rPr>
                <w:b/>
                <w:spacing w:val="-2"/>
                <w:sz w:val="22"/>
              </w:rPr>
              <w:t>(pg/ml)</w:t>
            </w:r>
          </w:p>
        </w:tc>
        <w:tc>
          <w:tcPr>
            <w:tcW w:w="1710" w:type="dxa"/>
            <w:tcBorders>
              <w:top w:val="single" w:sz="8" w:space="0" w:color="000000"/>
              <w:bottom w:val="single" w:sz="8" w:space="0" w:color="000000"/>
            </w:tcBorders>
          </w:tcPr>
          <w:p>
            <w:pPr>
              <w:pStyle w:val="TableParagraph"/>
              <w:spacing w:line="251" w:lineRule="exact"/>
              <w:ind w:left="6" w:right="2"/>
              <w:rPr>
                <w:b/>
                <w:sz w:val="22"/>
              </w:rPr>
            </w:pPr>
            <w:r>
              <w:rPr>
                <w:b/>
                <w:spacing w:val="-2"/>
                <w:sz w:val="22"/>
              </w:rPr>
              <w:t>IL-</w:t>
            </w:r>
            <w:r>
              <w:rPr>
                <w:b/>
                <w:spacing w:val="-12"/>
                <w:sz w:val="22"/>
              </w:rPr>
              <w:t>6</w:t>
            </w:r>
          </w:p>
          <w:p>
            <w:pPr>
              <w:pStyle w:val="TableParagraph"/>
              <w:spacing w:before="1"/>
              <w:ind w:left="6" w:right="3"/>
              <w:rPr>
                <w:b/>
                <w:sz w:val="22"/>
              </w:rPr>
            </w:pPr>
            <w:r>
              <w:rPr>
                <w:b/>
                <w:spacing w:val="-2"/>
                <w:sz w:val="22"/>
              </w:rPr>
              <w:t>(pg/ml)</w:t>
            </w:r>
          </w:p>
        </w:tc>
        <w:tc>
          <w:tcPr>
            <w:tcW w:w="1711" w:type="dxa"/>
            <w:tcBorders>
              <w:top w:val="single" w:sz="8" w:space="0" w:color="000000"/>
              <w:bottom w:val="single" w:sz="8" w:space="0" w:color="000000"/>
            </w:tcBorders>
          </w:tcPr>
          <w:p>
            <w:pPr>
              <w:pStyle w:val="TableParagraph"/>
              <w:spacing w:line="251" w:lineRule="exact"/>
              <w:ind w:left="4" w:right="2"/>
              <w:rPr>
                <w:b/>
                <w:sz w:val="22"/>
              </w:rPr>
            </w:pPr>
            <w:r>
              <w:rPr>
                <w:b/>
                <w:spacing w:val="-2"/>
                <w:sz w:val="22"/>
              </w:rPr>
              <w:t>IL-</w:t>
            </w:r>
            <w:r>
              <w:rPr>
                <w:b/>
                <w:spacing w:val="-7"/>
                <w:sz w:val="22"/>
              </w:rPr>
              <w:t>10</w:t>
            </w:r>
          </w:p>
          <w:p>
            <w:pPr>
              <w:pStyle w:val="TableParagraph"/>
              <w:spacing w:before="1"/>
              <w:ind w:left="4" w:right="4"/>
              <w:rPr>
                <w:b/>
                <w:sz w:val="22"/>
              </w:rPr>
            </w:pPr>
            <w:r>
              <w:rPr>
                <w:b/>
                <w:spacing w:val="-2"/>
                <w:sz w:val="22"/>
              </w:rPr>
              <w:t>(pg/ml)</w:t>
            </w:r>
          </w:p>
        </w:tc>
      </w:tr>
      <w:tr>
        <w:trPr>
          <w:trHeight w:val="463" w:hRule="atLeast"/>
        </w:trPr>
        <w:tc>
          <w:tcPr>
            <w:tcW w:w="1398" w:type="dxa"/>
            <w:tcBorders>
              <w:top w:val="single" w:sz="8" w:space="0" w:color="000000"/>
            </w:tcBorders>
          </w:tcPr>
          <w:p>
            <w:pPr>
              <w:pStyle w:val="TableParagraph"/>
              <w:spacing w:line="267" w:lineRule="exact"/>
              <w:ind w:left="2" w:right="34"/>
              <w:rPr>
                <w:rFonts w:ascii="Calibri"/>
                <w:b/>
                <w:sz w:val="22"/>
              </w:rPr>
            </w:pPr>
            <w:r>
              <w:rPr>
                <w:rFonts w:ascii="Calibri"/>
                <w:b/>
                <w:sz w:val="22"/>
              </w:rPr>
              <w:t>G1</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14)</w:t>
            </w:r>
          </w:p>
        </w:tc>
        <w:tc>
          <w:tcPr>
            <w:tcW w:w="1752" w:type="dxa"/>
            <w:tcBorders>
              <w:top w:val="single" w:sz="8" w:space="0" w:color="000000"/>
            </w:tcBorders>
          </w:tcPr>
          <w:p>
            <w:pPr>
              <w:pStyle w:val="TableParagraph"/>
              <w:spacing w:before="63"/>
              <w:ind w:left="248"/>
              <w:jc w:val="left"/>
              <w:rPr>
                <w:sz w:val="22"/>
              </w:rPr>
            </w:pPr>
            <w:r>
              <w:rPr>
                <w:sz w:val="22"/>
              </w:rPr>
              <w:t>21.00 ±</w:t>
            </w:r>
            <w:r>
              <w:rPr>
                <w:spacing w:val="-2"/>
                <w:sz w:val="22"/>
              </w:rPr>
              <w:t> 10.25</w:t>
            </w:r>
          </w:p>
        </w:tc>
        <w:tc>
          <w:tcPr>
            <w:tcW w:w="1717" w:type="dxa"/>
            <w:tcBorders>
              <w:top w:val="single" w:sz="8" w:space="0" w:color="000000"/>
            </w:tcBorders>
          </w:tcPr>
          <w:p>
            <w:pPr>
              <w:pStyle w:val="TableParagraph"/>
              <w:spacing w:before="63"/>
              <w:ind w:left="307"/>
              <w:jc w:val="left"/>
              <w:rPr>
                <w:sz w:val="22"/>
              </w:rPr>
            </w:pPr>
            <w:r>
              <w:rPr>
                <w:sz w:val="22"/>
              </w:rPr>
              <w:t>19.49 ±</w:t>
            </w:r>
            <w:r>
              <w:rPr>
                <w:spacing w:val="-2"/>
                <w:sz w:val="22"/>
              </w:rPr>
              <w:t> </w:t>
            </w:r>
            <w:r>
              <w:rPr>
                <w:spacing w:val="-4"/>
                <w:sz w:val="22"/>
              </w:rPr>
              <w:t>7.99</w:t>
            </w:r>
          </w:p>
        </w:tc>
        <w:tc>
          <w:tcPr>
            <w:tcW w:w="1710" w:type="dxa"/>
            <w:tcBorders>
              <w:top w:val="single" w:sz="8" w:space="0" w:color="000000"/>
            </w:tcBorders>
          </w:tcPr>
          <w:p>
            <w:pPr>
              <w:pStyle w:val="TableParagraph"/>
              <w:spacing w:before="63"/>
              <w:ind w:left="354"/>
              <w:jc w:val="left"/>
              <w:rPr>
                <w:sz w:val="22"/>
              </w:rPr>
            </w:pPr>
            <w:r>
              <w:rPr>
                <w:sz w:val="22"/>
              </w:rPr>
              <w:t>6.94 ±</w:t>
            </w:r>
            <w:r>
              <w:rPr>
                <w:spacing w:val="-2"/>
                <w:sz w:val="22"/>
              </w:rPr>
              <w:t> </w:t>
            </w:r>
            <w:r>
              <w:rPr>
                <w:spacing w:val="-4"/>
                <w:sz w:val="22"/>
              </w:rPr>
              <w:t>4.38</w:t>
            </w:r>
          </w:p>
        </w:tc>
        <w:tc>
          <w:tcPr>
            <w:tcW w:w="1710" w:type="dxa"/>
            <w:tcBorders>
              <w:top w:val="single" w:sz="8" w:space="0" w:color="000000"/>
            </w:tcBorders>
          </w:tcPr>
          <w:p>
            <w:pPr>
              <w:pStyle w:val="TableParagraph"/>
              <w:spacing w:before="63"/>
              <w:ind w:left="245"/>
              <w:jc w:val="left"/>
              <w:rPr>
                <w:sz w:val="22"/>
              </w:rPr>
            </w:pPr>
            <w:r>
              <w:rPr>
                <w:sz w:val="22"/>
              </w:rPr>
              <w:t>32.64 ±</w:t>
            </w:r>
            <w:r>
              <w:rPr>
                <w:spacing w:val="-2"/>
                <w:sz w:val="22"/>
              </w:rPr>
              <w:t> 29.43</w:t>
            </w:r>
          </w:p>
        </w:tc>
        <w:tc>
          <w:tcPr>
            <w:tcW w:w="1711" w:type="dxa"/>
            <w:tcBorders>
              <w:top w:val="single" w:sz="8" w:space="0" w:color="000000"/>
            </w:tcBorders>
          </w:tcPr>
          <w:p>
            <w:pPr>
              <w:pStyle w:val="TableParagraph"/>
              <w:spacing w:before="63"/>
              <w:ind w:left="299"/>
              <w:jc w:val="left"/>
              <w:rPr>
                <w:sz w:val="22"/>
              </w:rPr>
            </w:pPr>
            <w:r>
              <w:rPr>
                <w:sz w:val="22"/>
              </w:rPr>
              <w:t>17.55 ±</w:t>
            </w:r>
            <w:r>
              <w:rPr>
                <w:spacing w:val="-2"/>
                <w:sz w:val="22"/>
              </w:rPr>
              <w:t> </w:t>
            </w:r>
            <w:r>
              <w:rPr>
                <w:spacing w:val="-4"/>
                <w:sz w:val="22"/>
              </w:rPr>
              <w:t>7.73</w:t>
            </w:r>
          </w:p>
        </w:tc>
      </w:tr>
      <w:tr>
        <w:trPr>
          <w:trHeight w:val="570" w:hRule="atLeast"/>
        </w:trPr>
        <w:tc>
          <w:tcPr>
            <w:tcW w:w="1398" w:type="dxa"/>
          </w:tcPr>
          <w:p>
            <w:pPr>
              <w:pStyle w:val="TableParagraph"/>
              <w:spacing w:before="104"/>
              <w:ind w:left="2" w:right="34"/>
              <w:rPr>
                <w:rFonts w:ascii="Calibri"/>
                <w:b/>
                <w:sz w:val="22"/>
              </w:rPr>
            </w:pPr>
            <w:r>
              <w:rPr>
                <w:rFonts w:ascii="Calibri"/>
                <w:b/>
                <w:sz w:val="22"/>
              </w:rPr>
              <w:t>G2</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47)</w:t>
            </w:r>
          </w:p>
        </w:tc>
        <w:tc>
          <w:tcPr>
            <w:tcW w:w="1752" w:type="dxa"/>
          </w:tcPr>
          <w:p>
            <w:pPr>
              <w:pStyle w:val="TableParagraph"/>
              <w:spacing w:before="168"/>
              <w:ind w:left="248"/>
              <w:jc w:val="left"/>
              <w:rPr>
                <w:sz w:val="22"/>
              </w:rPr>
            </w:pPr>
            <w:r>
              <w:rPr>
                <w:sz w:val="22"/>
              </w:rPr>
              <w:t>22.83 ±</w:t>
            </w:r>
            <w:r>
              <w:rPr>
                <w:spacing w:val="-2"/>
                <w:sz w:val="22"/>
              </w:rPr>
              <w:t> 13.80</w:t>
            </w:r>
          </w:p>
        </w:tc>
        <w:tc>
          <w:tcPr>
            <w:tcW w:w="1717" w:type="dxa"/>
          </w:tcPr>
          <w:p>
            <w:pPr>
              <w:pStyle w:val="TableParagraph"/>
              <w:spacing w:before="168"/>
              <w:ind w:left="251"/>
              <w:jc w:val="left"/>
              <w:rPr>
                <w:sz w:val="22"/>
              </w:rPr>
            </w:pPr>
            <w:r>
              <w:rPr>
                <w:sz w:val="22"/>
              </w:rPr>
              <w:t>19.19 ±</w:t>
            </w:r>
            <w:r>
              <w:rPr>
                <w:spacing w:val="-2"/>
                <w:sz w:val="22"/>
              </w:rPr>
              <w:t> 10.69</w:t>
            </w:r>
          </w:p>
        </w:tc>
        <w:tc>
          <w:tcPr>
            <w:tcW w:w="1710" w:type="dxa"/>
          </w:tcPr>
          <w:p>
            <w:pPr>
              <w:pStyle w:val="TableParagraph"/>
              <w:spacing w:before="168"/>
              <w:ind w:left="354"/>
              <w:jc w:val="left"/>
              <w:rPr>
                <w:sz w:val="22"/>
              </w:rPr>
            </w:pPr>
            <w:r>
              <w:rPr>
                <w:sz w:val="22"/>
              </w:rPr>
              <w:t>8.46 ±</w:t>
            </w:r>
            <w:r>
              <w:rPr>
                <w:spacing w:val="-1"/>
                <w:sz w:val="22"/>
              </w:rPr>
              <w:t> </w:t>
            </w:r>
            <w:r>
              <w:rPr>
                <w:spacing w:val="-4"/>
                <w:sz w:val="22"/>
              </w:rPr>
              <w:t>5.53</w:t>
            </w:r>
          </w:p>
        </w:tc>
        <w:tc>
          <w:tcPr>
            <w:tcW w:w="1710" w:type="dxa"/>
          </w:tcPr>
          <w:p>
            <w:pPr>
              <w:pStyle w:val="TableParagraph"/>
              <w:spacing w:before="168"/>
              <w:ind w:left="245"/>
              <w:jc w:val="left"/>
              <w:rPr>
                <w:sz w:val="22"/>
              </w:rPr>
            </w:pPr>
            <w:r>
              <w:rPr>
                <w:sz w:val="22"/>
              </w:rPr>
              <w:t>29.60 ±</w:t>
            </w:r>
            <w:r>
              <w:rPr>
                <w:spacing w:val="-2"/>
                <w:sz w:val="22"/>
              </w:rPr>
              <w:t> 23.40</w:t>
            </w:r>
          </w:p>
        </w:tc>
        <w:tc>
          <w:tcPr>
            <w:tcW w:w="1711" w:type="dxa"/>
          </w:tcPr>
          <w:p>
            <w:pPr>
              <w:pStyle w:val="TableParagraph"/>
              <w:spacing w:before="168"/>
              <w:ind w:left="244"/>
              <w:jc w:val="left"/>
              <w:rPr>
                <w:sz w:val="22"/>
              </w:rPr>
            </w:pPr>
            <w:r>
              <w:rPr>
                <w:sz w:val="22"/>
              </w:rPr>
              <w:t>34.26 ±</w:t>
            </w:r>
            <w:r>
              <w:rPr>
                <w:spacing w:val="-2"/>
                <w:sz w:val="22"/>
              </w:rPr>
              <w:t> 26.99</w:t>
            </w:r>
          </w:p>
        </w:tc>
      </w:tr>
      <w:tr>
        <w:trPr>
          <w:trHeight w:val="571" w:hRule="atLeast"/>
        </w:trPr>
        <w:tc>
          <w:tcPr>
            <w:tcW w:w="1398" w:type="dxa"/>
          </w:tcPr>
          <w:p>
            <w:pPr>
              <w:pStyle w:val="TableParagraph"/>
              <w:spacing w:before="105"/>
              <w:ind w:left="2" w:right="34"/>
              <w:rPr>
                <w:rFonts w:ascii="Calibri"/>
                <w:b/>
                <w:sz w:val="22"/>
              </w:rPr>
            </w:pPr>
            <w:r>
              <w:rPr>
                <w:rFonts w:ascii="Calibri"/>
                <w:b/>
                <w:sz w:val="22"/>
              </w:rPr>
              <w:t>G3</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60)</w:t>
            </w:r>
          </w:p>
        </w:tc>
        <w:tc>
          <w:tcPr>
            <w:tcW w:w="1752" w:type="dxa"/>
          </w:tcPr>
          <w:p>
            <w:pPr>
              <w:pStyle w:val="TableParagraph"/>
              <w:spacing w:before="169"/>
              <w:ind w:left="248"/>
              <w:jc w:val="left"/>
              <w:rPr>
                <w:sz w:val="22"/>
              </w:rPr>
            </w:pPr>
            <w:r>
              <w:rPr>
                <w:sz w:val="22"/>
              </w:rPr>
              <w:t>22.94 ±</w:t>
            </w:r>
            <w:r>
              <w:rPr>
                <w:spacing w:val="-2"/>
                <w:sz w:val="22"/>
              </w:rPr>
              <w:t> 12.63</w:t>
            </w:r>
          </w:p>
        </w:tc>
        <w:tc>
          <w:tcPr>
            <w:tcW w:w="1717" w:type="dxa"/>
          </w:tcPr>
          <w:p>
            <w:pPr>
              <w:pStyle w:val="TableParagraph"/>
              <w:spacing w:before="169"/>
              <w:ind w:left="251"/>
              <w:jc w:val="left"/>
              <w:rPr>
                <w:sz w:val="22"/>
              </w:rPr>
            </w:pPr>
            <w:r>
              <w:rPr>
                <w:sz w:val="22"/>
              </w:rPr>
              <w:t>21.38 ±</w:t>
            </w:r>
            <w:r>
              <w:rPr>
                <w:spacing w:val="-2"/>
                <w:sz w:val="22"/>
              </w:rPr>
              <w:t> 13.89</w:t>
            </w:r>
          </w:p>
        </w:tc>
        <w:tc>
          <w:tcPr>
            <w:tcW w:w="1710" w:type="dxa"/>
          </w:tcPr>
          <w:p>
            <w:pPr>
              <w:pStyle w:val="TableParagraph"/>
              <w:spacing w:before="169"/>
              <w:ind w:left="298"/>
              <w:jc w:val="left"/>
              <w:rPr>
                <w:sz w:val="22"/>
              </w:rPr>
            </w:pPr>
            <w:r>
              <w:rPr>
                <w:sz w:val="22"/>
              </w:rPr>
              <w:t>10.94 ±</w:t>
            </w:r>
            <w:r>
              <w:rPr>
                <w:spacing w:val="-2"/>
                <w:sz w:val="22"/>
              </w:rPr>
              <w:t> </w:t>
            </w:r>
            <w:r>
              <w:rPr>
                <w:spacing w:val="-4"/>
                <w:sz w:val="22"/>
              </w:rPr>
              <w:t>6.56</w:t>
            </w:r>
          </w:p>
        </w:tc>
        <w:tc>
          <w:tcPr>
            <w:tcW w:w="1710" w:type="dxa"/>
          </w:tcPr>
          <w:p>
            <w:pPr>
              <w:pStyle w:val="TableParagraph"/>
              <w:spacing w:before="169"/>
              <w:ind w:left="245"/>
              <w:jc w:val="left"/>
              <w:rPr>
                <w:sz w:val="22"/>
              </w:rPr>
            </w:pPr>
            <w:r>
              <w:rPr>
                <w:sz w:val="22"/>
              </w:rPr>
              <w:t>33.36 ±</w:t>
            </w:r>
            <w:r>
              <w:rPr>
                <w:spacing w:val="-2"/>
                <w:sz w:val="22"/>
              </w:rPr>
              <w:t> 29.83</w:t>
            </w:r>
          </w:p>
        </w:tc>
        <w:tc>
          <w:tcPr>
            <w:tcW w:w="1711" w:type="dxa"/>
          </w:tcPr>
          <w:p>
            <w:pPr>
              <w:pStyle w:val="TableParagraph"/>
              <w:spacing w:before="169"/>
              <w:ind w:left="244"/>
              <w:jc w:val="left"/>
              <w:rPr>
                <w:sz w:val="22"/>
              </w:rPr>
            </w:pPr>
            <w:r>
              <w:rPr>
                <w:sz w:val="22"/>
              </w:rPr>
              <w:t>40.74 ±</w:t>
            </w:r>
            <w:r>
              <w:rPr>
                <w:spacing w:val="-2"/>
                <w:sz w:val="22"/>
              </w:rPr>
              <w:t> 31.46</w:t>
            </w:r>
          </w:p>
        </w:tc>
      </w:tr>
      <w:tr>
        <w:trPr>
          <w:trHeight w:val="571" w:hRule="atLeast"/>
        </w:trPr>
        <w:tc>
          <w:tcPr>
            <w:tcW w:w="1398" w:type="dxa"/>
          </w:tcPr>
          <w:p>
            <w:pPr>
              <w:pStyle w:val="TableParagraph"/>
              <w:spacing w:before="105"/>
              <w:ind w:left="2" w:right="34"/>
              <w:rPr>
                <w:rFonts w:ascii="Calibri"/>
                <w:b/>
                <w:sz w:val="22"/>
              </w:rPr>
            </w:pPr>
            <w:r>
              <w:rPr>
                <w:rFonts w:ascii="Calibri"/>
                <w:b/>
                <w:sz w:val="22"/>
              </w:rPr>
              <w:t>G4</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14)</w:t>
            </w:r>
          </w:p>
        </w:tc>
        <w:tc>
          <w:tcPr>
            <w:tcW w:w="1752" w:type="dxa"/>
          </w:tcPr>
          <w:p>
            <w:pPr>
              <w:pStyle w:val="TableParagraph"/>
              <w:spacing w:before="169"/>
              <w:ind w:left="222"/>
              <w:jc w:val="left"/>
              <w:rPr>
                <w:sz w:val="22"/>
              </w:rPr>
            </w:pPr>
            <w:r>
              <w:rPr>
                <w:sz w:val="22"/>
              </w:rPr>
              <w:t>26.28 ±</w:t>
            </w:r>
            <w:r>
              <w:rPr>
                <w:spacing w:val="54"/>
                <w:sz w:val="22"/>
              </w:rPr>
              <w:t> </w:t>
            </w:r>
            <w:r>
              <w:rPr>
                <w:spacing w:val="-2"/>
                <w:sz w:val="22"/>
              </w:rPr>
              <w:t>13.86</w:t>
            </w:r>
          </w:p>
        </w:tc>
        <w:tc>
          <w:tcPr>
            <w:tcW w:w="1717" w:type="dxa"/>
          </w:tcPr>
          <w:p>
            <w:pPr>
              <w:pStyle w:val="TableParagraph"/>
              <w:spacing w:before="169"/>
              <w:ind w:left="251"/>
              <w:jc w:val="left"/>
              <w:rPr>
                <w:sz w:val="22"/>
              </w:rPr>
            </w:pPr>
            <w:r>
              <w:rPr>
                <w:sz w:val="22"/>
              </w:rPr>
              <w:t>23.16 ±</w:t>
            </w:r>
            <w:r>
              <w:rPr>
                <w:spacing w:val="-2"/>
                <w:sz w:val="22"/>
              </w:rPr>
              <w:t> 12.89</w:t>
            </w:r>
          </w:p>
        </w:tc>
        <w:tc>
          <w:tcPr>
            <w:tcW w:w="1710" w:type="dxa"/>
          </w:tcPr>
          <w:p>
            <w:pPr>
              <w:pStyle w:val="TableParagraph"/>
              <w:spacing w:before="169"/>
              <w:ind w:left="243"/>
              <w:jc w:val="left"/>
              <w:rPr>
                <w:sz w:val="22"/>
              </w:rPr>
            </w:pPr>
            <w:r>
              <w:rPr>
                <w:sz w:val="22"/>
              </w:rPr>
              <w:t>10.77 ±</w:t>
            </w:r>
            <w:r>
              <w:rPr>
                <w:spacing w:val="-2"/>
                <w:sz w:val="22"/>
              </w:rPr>
              <w:t> 13.03</w:t>
            </w:r>
          </w:p>
        </w:tc>
        <w:tc>
          <w:tcPr>
            <w:tcW w:w="1710" w:type="dxa"/>
          </w:tcPr>
          <w:p>
            <w:pPr>
              <w:pStyle w:val="TableParagraph"/>
              <w:spacing w:before="169"/>
              <w:ind w:left="245"/>
              <w:jc w:val="left"/>
              <w:rPr>
                <w:sz w:val="22"/>
              </w:rPr>
            </w:pPr>
            <w:r>
              <w:rPr>
                <w:sz w:val="22"/>
              </w:rPr>
              <w:t>26.33 ±</w:t>
            </w:r>
            <w:r>
              <w:rPr>
                <w:spacing w:val="-2"/>
                <w:sz w:val="22"/>
              </w:rPr>
              <w:t> 24.15</w:t>
            </w:r>
          </w:p>
        </w:tc>
        <w:tc>
          <w:tcPr>
            <w:tcW w:w="1711" w:type="dxa"/>
          </w:tcPr>
          <w:p>
            <w:pPr>
              <w:pStyle w:val="TableParagraph"/>
              <w:spacing w:before="169"/>
              <w:ind w:left="244"/>
              <w:jc w:val="left"/>
              <w:rPr>
                <w:sz w:val="22"/>
              </w:rPr>
            </w:pPr>
            <w:r>
              <w:rPr>
                <w:sz w:val="22"/>
              </w:rPr>
              <w:t>30.89 ±</w:t>
            </w:r>
            <w:r>
              <w:rPr>
                <w:spacing w:val="-2"/>
                <w:sz w:val="22"/>
              </w:rPr>
              <w:t> 29.82</w:t>
            </w:r>
          </w:p>
        </w:tc>
      </w:tr>
      <w:tr>
        <w:trPr>
          <w:trHeight w:val="552" w:hRule="atLeast"/>
        </w:trPr>
        <w:tc>
          <w:tcPr>
            <w:tcW w:w="1398" w:type="dxa"/>
          </w:tcPr>
          <w:p>
            <w:pPr>
              <w:pStyle w:val="TableParagraph"/>
              <w:spacing w:before="105"/>
              <w:ind w:right="34"/>
              <w:rPr>
                <w:rFonts w:ascii="Calibri"/>
                <w:b/>
                <w:sz w:val="22"/>
              </w:rPr>
            </w:pPr>
            <w:r>
              <w:rPr>
                <w:rFonts w:ascii="Calibri"/>
                <w:b/>
                <w:sz w:val="22"/>
              </w:rPr>
              <w:t>G5</w:t>
            </w:r>
            <w:r>
              <w:rPr>
                <w:rFonts w:ascii="Calibri"/>
                <w:b/>
                <w:spacing w:val="-2"/>
                <w:sz w:val="22"/>
              </w:rPr>
              <w:t> </w:t>
            </w:r>
            <w:r>
              <w:rPr>
                <w:rFonts w:ascii="Calibri"/>
                <w:b/>
                <w:sz w:val="22"/>
              </w:rPr>
              <w:t>(n</w:t>
            </w:r>
            <w:r>
              <w:rPr>
                <w:rFonts w:ascii="Calibri"/>
                <w:b/>
                <w:spacing w:val="-1"/>
                <w:sz w:val="22"/>
              </w:rPr>
              <w:t> </w:t>
            </w:r>
            <w:r>
              <w:rPr>
                <w:rFonts w:ascii="Calibri"/>
                <w:b/>
                <w:sz w:val="22"/>
              </w:rPr>
              <w:t>=</w:t>
            </w:r>
            <w:r>
              <w:rPr>
                <w:rFonts w:ascii="Calibri"/>
                <w:b/>
                <w:spacing w:val="-2"/>
                <w:sz w:val="22"/>
              </w:rPr>
              <w:t> </w:t>
            </w:r>
            <w:r>
              <w:rPr>
                <w:rFonts w:ascii="Calibri"/>
                <w:b/>
                <w:spacing w:val="-5"/>
                <w:sz w:val="22"/>
              </w:rPr>
              <w:t>9)</w:t>
            </w:r>
          </w:p>
        </w:tc>
        <w:tc>
          <w:tcPr>
            <w:tcW w:w="1752" w:type="dxa"/>
          </w:tcPr>
          <w:p>
            <w:pPr>
              <w:pStyle w:val="TableParagraph"/>
              <w:spacing w:before="169"/>
              <w:ind w:left="248"/>
              <w:jc w:val="left"/>
              <w:rPr>
                <w:sz w:val="22"/>
              </w:rPr>
            </w:pPr>
            <w:r>
              <w:rPr>
                <w:sz w:val="22"/>
              </w:rPr>
              <w:t>21.37 ±</w:t>
            </w:r>
            <w:r>
              <w:rPr>
                <w:spacing w:val="-2"/>
                <w:sz w:val="22"/>
              </w:rPr>
              <w:t> 10.33</w:t>
            </w:r>
          </w:p>
        </w:tc>
        <w:tc>
          <w:tcPr>
            <w:tcW w:w="1717" w:type="dxa"/>
          </w:tcPr>
          <w:p>
            <w:pPr>
              <w:pStyle w:val="TableParagraph"/>
              <w:spacing w:before="169"/>
              <w:ind w:left="251"/>
              <w:jc w:val="left"/>
              <w:rPr>
                <w:sz w:val="22"/>
              </w:rPr>
            </w:pPr>
            <w:r>
              <w:rPr>
                <w:sz w:val="22"/>
              </w:rPr>
              <w:t>28.84 ±</w:t>
            </w:r>
            <w:r>
              <w:rPr>
                <w:spacing w:val="-2"/>
                <w:sz w:val="22"/>
              </w:rPr>
              <w:t> 16.37</w:t>
            </w:r>
          </w:p>
        </w:tc>
        <w:tc>
          <w:tcPr>
            <w:tcW w:w="1710" w:type="dxa"/>
          </w:tcPr>
          <w:p>
            <w:pPr>
              <w:pStyle w:val="TableParagraph"/>
              <w:spacing w:before="169"/>
              <w:ind w:left="354"/>
              <w:jc w:val="left"/>
              <w:rPr>
                <w:sz w:val="22"/>
              </w:rPr>
            </w:pPr>
            <w:r>
              <w:rPr>
                <w:sz w:val="22"/>
              </w:rPr>
              <w:t>9.96 ±</w:t>
            </w:r>
            <w:r>
              <w:rPr>
                <w:spacing w:val="-2"/>
                <w:sz w:val="22"/>
              </w:rPr>
              <w:t> </w:t>
            </w:r>
            <w:r>
              <w:rPr>
                <w:spacing w:val="-4"/>
                <w:sz w:val="22"/>
              </w:rPr>
              <w:t>7.33</w:t>
            </w:r>
          </w:p>
        </w:tc>
        <w:tc>
          <w:tcPr>
            <w:tcW w:w="1710" w:type="dxa"/>
          </w:tcPr>
          <w:p>
            <w:pPr>
              <w:pStyle w:val="TableParagraph"/>
              <w:spacing w:before="169"/>
              <w:ind w:left="245"/>
              <w:jc w:val="left"/>
              <w:rPr>
                <w:sz w:val="22"/>
              </w:rPr>
            </w:pPr>
            <w:r>
              <w:rPr>
                <w:sz w:val="22"/>
              </w:rPr>
              <w:t>45.12 ±</w:t>
            </w:r>
            <w:r>
              <w:rPr>
                <w:spacing w:val="-2"/>
                <w:sz w:val="22"/>
              </w:rPr>
              <w:t> 39.70</w:t>
            </w:r>
          </w:p>
        </w:tc>
        <w:tc>
          <w:tcPr>
            <w:tcW w:w="1711" w:type="dxa"/>
          </w:tcPr>
          <w:p>
            <w:pPr>
              <w:pStyle w:val="TableParagraph"/>
              <w:spacing w:before="169"/>
              <w:ind w:left="244"/>
              <w:jc w:val="left"/>
              <w:rPr>
                <w:sz w:val="22"/>
              </w:rPr>
            </w:pPr>
            <w:r>
              <w:rPr>
                <w:sz w:val="22"/>
              </w:rPr>
              <w:t>37.10 ±</w:t>
            </w:r>
            <w:r>
              <w:rPr>
                <w:spacing w:val="-2"/>
                <w:sz w:val="22"/>
              </w:rPr>
              <w:t> 31.65</w:t>
            </w:r>
          </w:p>
        </w:tc>
      </w:tr>
      <w:tr>
        <w:trPr>
          <w:trHeight w:val="530" w:hRule="atLeast"/>
        </w:trPr>
        <w:tc>
          <w:tcPr>
            <w:tcW w:w="1398" w:type="dxa"/>
          </w:tcPr>
          <w:p>
            <w:pPr>
              <w:pStyle w:val="TableParagraph"/>
              <w:spacing w:before="124"/>
              <w:ind w:left="3" w:right="34"/>
              <w:rPr>
                <w:rFonts w:ascii="Calibri"/>
                <w:b/>
                <w:sz w:val="22"/>
              </w:rPr>
            </w:pPr>
            <w:r>
              <w:rPr>
                <w:rFonts w:ascii="Calibri"/>
                <w:b/>
                <w:sz w:val="22"/>
              </w:rPr>
              <w:t>F(p)</w:t>
            </w:r>
            <w:r>
              <w:rPr>
                <w:rFonts w:ascii="Calibri"/>
                <w:b/>
                <w:spacing w:val="-3"/>
                <w:sz w:val="22"/>
              </w:rPr>
              <w:t> </w:t>
            </w:r>
            <w:r>
              <w:rPr>
                <w:rFonts w:ascii="Calibri"/>
                <w:b/>
                <w:spacing w:val="-2"/>
                <w:sz w:val="22"/>
              </w:rPr>
              <w:t>Value</w:t>
            </w:r>
          </w:p>
        </w:tc>
        <w:tc>
          <w:tcPr>
            <w:tcW w:w="1752" w:type="dxa"/>
          </w:tcPr>
          <w:p>
            <w:pPr>
              <w:pStyle w:val="TableParagraph"/>
              <w:spacing w:before="121"/>
              <w:ind w:left="318"/>
              <w:jc w:val="left"/>
              <w:rPr>
                <w:sz w:val="22"/>
              </w:rPr>
            </w:pPr>
            <w:r>
              <w:rPr>
                <w:sz w:val="22"/>
              </w:rPr>
              <w:t>0.351</w:t>
            </w:r>
            <w:r>
              <w:rPr>
                <w:spacing w:val="-2"/>
                <w:sz w:val="22"/>
              </w:rPr>
              <w:t> (.843)</w:t>
            </w:r>
          </w:p>
        </w:tc>
        <w:tc>
          <w:tcPr>
            <w:tcW w:w="1717" w:type="dxa"/>
          </w:tcPr>
          <w:p>
            <w:pPr>
              <w:pStyle w:val="TableParagraph"/>
              <w:spacing w:before="121"/>
              <w:ind w:left="321"/>
              <w:jc w:val="left"/>
              <w:rPr>
                <w:sz w:val="22"/>
              </w:rPr>
            </w:pPr>
            <w:r>
              <w:rPr>
                <w:sz w:val="22"/>
              </w:rPr>
              <w:t>1.295</w:t>
            </w:r>
            <w:r>
              <w:rPr>
                <w:spacing w:val="-2"/>
                <w:sz w:val="22"/>
              </w:rPr>
              <w:t> (.275)</w:t>
            </w:r>
          </w:p>
        </w:tc>
        <w:tc>
          <w:tcPr>
            <w:tcW w:w="1710" w:type="dxa"/>
          </w:tcPr>
          <w:p>
            <w:pPr>
              <w:pStyle w:val="TableParagraph"/>
              <w:spacing w:before="121"/>
              <w:ind w:left="313"/>
              <w:jc w:val="left"/>
              <w:rPr>
                <w:sz w:val="22"/>
              </w:rPr>
            </w:pPr>
            <w:r>
              <w:rPr>
                <w:sz w:val="22"/>
              </w:rPr>
              <w:t>1.469</w:t>
            </w:r>
            <w:r>
              <w:rPr>
                <w:spacing w:val="-2"/>
                <w:sz w:val="22"/>
              </w:rPr>
              <w:t> (.215)</w:t>
            </w:r>
          </w:p>
        </w:tc>
        <w:tc>
          <w:tcPr>
            <w:tcW w:w="1710" w:type="dxa"/>
          </w:tcPr>
          <w:p>
            <w:pPr>
              <w:pStyle w:val="TableParagraph"/>
              <w:spacing w:before="121"/>
              <w:ind w:left="6" w:right="3"/>
              <w:rPr>
                <w:sz w:val="22"/>
              </w:rPr>
            </w:pPr>
            <w:r>
              <w:rPr>
                <w:sz w:val="22"/>
              </w:rPr>
              <w:t>0.760</w:t>
            </w:r>
            <w:r>
              <w:rPr>
                <w:spacing w:val="-2"/>
                <w:sz w:val="22"/>
              </w:rPr>
              <w:t> (.553)</w:t>
            </w:r>
          </w:p>
        </w:tc>
        <w:tc>
          <w:tcPr>
            <w:tcW w:w="1711" w:type="dxa"/>
          </w:tcPr>
          <w:p>
            <w:pPr>
              <w:pStyle w:val="TableParagraph"/>
              <w:spacing w:before="121"/>
              <w:ind w:left="314"/>
              <w:jc w:val="left"/>
              <w:rPr>
                <w:sz w:val="22"/>
              </w:rPr>
            </w:pPr>
            <w:r>
              <w:rPr>
                <w:sz w:val="22"/>
              </w:rPr>
              <w:t>2.024</w:t>
            </w:r>
            <w:r>
              <w:rPr>
                <w:spacing w:val="-2"/>
                <w:sz w:val="22"/>
              </w:rPr>
              <w:t> (.094)</w:t>
            </w:r>
          </w:p>
        </w:tc>
      </w:tr>
      <w:tr>
        <w:trPr>
          <w:trHeight w:val="469" w:hRule="atLeast"/>
        </w:trPr>
        <w:tc>
          <w:tcPr>
            <w:tcW w:w="1398" w:type="dxa"/>
          </w:tcPr>
          <w:p>
            <w:pPr>
              <w:pStyle w:val="TableParagraph"/>
              <w:spacing w:before="164"/>
              <w:ind w:right="34"/>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G2</w:t>
            </w:r>
          </w:p>
        </w:tc>
        <w:tc>
          <w:tcPr>
            <w:tcW w:w="1752" w:type="dxa"/>
          </w:tcPr>
          <w:p>
            <w:pPr>
              <w:pStyle w:val="TableParagraph"/>
              <w:spacing w:before="161"/>
              <w:ind w:right="27"/>
              <w:rPr>
                <w:sz w:val="22"/>
              </w:rPr>
            </w:pPr>
            <w:r>
              <w:rPr>
                <w:spacing w:val="-2"/>
                <w:sz w:val="22"/>
              </w:rPr>
              <w:t>0.982</w:t>
            </w:r>
          </w:p>
        </w:tc>
        <w:tc>
          <w:tcPr>
            <w:tcW w:w="1717" w:type="dxa"/>
          </w:tcPr>
          <w:p>
            <w:pPr>
              <w:pStyle w:val="TableParagraph"/>
              <w:spacing w:before="161"/>
              <w:ind w:left="13"/>
              <w:rPr>
                <w:sz w:val="22"/>
              </w:rPr>
            </w:pPr>
            <w:r>
              <w:rPr>
                <w:spacing w:val="-2"/>
                <w:sz w:val="22"/>
              </w:rPr>
              <w:t>1.000</w:t>
            </w:r>
          </w:p>
        </w:tc>
        <w:tc>
          <w:tcPr>
            <w:tcW w:w="1710" w:type="dxa"/>
          </w:tcPr>
          <w:p>
            <w:pPr>
              <w:pStyle w:val="TableParagraph"/>
              <w:spacing w:before="161"/>
              <w:ind w:left="6" w:right="2"/>
              <w:rPr>
                <w:sz w:val="22"/>
              </w:rPr>
            </w:pPr>
            <w:r>
              <w:rPr>
                <w:spacing w:val="-2"/>
                <w:sz w:val="22"/>
              </w:rPr>
              <w:t>0.818</w:t>
            </w:r>
          </w:p>
        </w:tc>
        <w:tc>
          <w:tcPr>
            <w:tcW w:w="1710" w:type="dxa"/>
          </w:tcPr>
          <w:p>
            <w:pPr>
              <w:pStyle w:val="TableParagraph"/>
              <w:spacing w:before="161"/>
              <w:ind w:left="6"/>
              <w:rPr>
                <w:sz w:val="22"/>
              </w:rPr>
            </w:pPr>
            <w:r>
              <w:rPr>
                <w:spacing w:val="-2"/>
                <w:sz w:val="22"/>
              </w:rPr>
              <w:t>0.996</w:t>
            </w:r>
          </w:p>
        </w:tc>
        <w:tc>
          <w:tcPr>
            <w:tcW w:w="1711" w:type="dxa"/>
          </w:tcPr>
          <w:p>
            <w:pPr>
              <w:pStyle w:val="TableParagraph"/>
              <w:spacing w:before="161"/>
              <w:ind w:left="4" w:right="2"/>
              <w:rPr>
                <w:sz w:val="22"/>
              </w:rPr>
            </w:pPr>
            <w:r>
              <w:rPr>
                <w:spacing w:val="-2"/>
                <w:sz w:val="22"/>
              </w:rPr>
              <w:t>0.003</w:t>
            </w:r>
            <w:r>
              <w:rPr>
                <w:spacing w:val="-2"/>
                <w:sz w:val="22"/>
                <w:vertAlign w:val="superscript"/>
              </w:rPr>
              <w:t>*</w:t>
            </w:r>
          </w:p>
        </w:tc>
      </w:tr>
      <w:tr>
        <w:trPr>
          <w:trHeight w:val="404" w:hRule="atLeast"/>
        </w:trPr>
        <w:tc>
          <w:tcPr>
            <w:tcW w:w="1398" w:type="dxa"/>
          </w:tcPr>
          <w:p>
            <w:pPr>
              <w:pStyle w:val="TableParagraph"/>
              <w:spacing w:before="62"/>
              <w:ind w:right="34"/>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752" w:type="dxa"/>
          </w:tcPr>
          <w:p>
            <w:pPr>
              <w:pStyle w:val="TableParagraph"/>
              <w:spacing w:before="59"/>
              <w:ind w:right="27"/>
              <w:rPr>
                <w:sz w:val="22"/>
              </w:rPr>
            </w:pPr>
            <w:r>
              <w:rPr>
                <w:spacing w:val="-2"/>
                <w:sz w:val="22"/>
              </w:rPr>
              <w:t>0.972</w:t>
            </w:r>
          </w:p>
        </w:tc>
        <w:tc>
          <w:tcPr>
            <w:tcW w:w="1717" w:type="dxa"/>
          </w:tcPr>
          <w:p>
            <w:pPr>
              <w:pStyle w:val="TableParagraph"/>
              <w:spacing w:before="59"/>
              <w:ind w:left="13"/>
              <w:rPr>
                <w:sz w:val="22"/>
              </w:rPr>
            </w:pPr>
            <w:r>
              <w:rPr>
                <w:spacing w:val="-2"/>
                <w:sz w:val="22"/>
              </w:rPr>
              <w:t>0.959</w:t>
            </w:r>
          </w:p>
        </w:tc>
        <w:tc>
          <w:tcPr>
            <w:tcW w:w="1710" w:type="dxa"/>
          </w:tcPr>
          <w:p>
            <w:pPr>
              <w:pStyle w:val="TableParagraph"/>
              <w:spacing w:before="59"/>
              <w:ind w:left="6" w:right="2"/>
              <w:rPr>
                <w:sz w:val="22"/>
              </w:rPr>
            </w:pPr>
            <w:r>
              <w:rPr>
                <w:spacing w:val="-2"/>
                <w:sz w:val="22"/>
              </w:rPr>
              <w:t>0.067</w:t>
            </w:r>
          </w:p>
        </w:tc>
        <w:tc>
          <w:tcPr>
            <w:tcW w:w="1710" w:type="dxa"/>
          </w:tcPr>
          <w:p>
            <w:pPr>
              <w:pStyle w:val="TableParagraph"/>
              <w:spacing w:before="59"/>
              <w:ind w:left="6"/>
              <w:rPr>
                <w:sz w:val="22"/>
              </w:rPr>
            </w:pPr>
            <w:r>
              <w:rPr>
                <w:spacing w:val="-2"/>
                <w:sz w:val="22"/>
              </w:rPr>
              <w:t>1.000</w:t>
            </w:r>
          </w:p>
        </w:tc>
        <w:tc>
          <w:tcPr>
            <w:tcW w:w="1711" w:type="dxa"/>
          </w:tcPr>
          <w:p>
            <w:pPr>
              <w:pStyle w:val="TableParagraph"/>
              <w:spacing w:before="59"/>
              <w:ind w:left="4" w:right="2"/>
              <w:rPr>
                <w:sz w:val="22"/>
              </w:rPr>
            </w:pPr>
            <w:r>
              <w:rPr>
                <w:spacing w:val="-2"/>
                <w:sz w:val="22"/>
              </w:rPr>
              <w:t>0.000</w:t>
            </w:r>
            <w:r>
              <w:rPr>
                <w:spacing w:val="-2"/>
                <w:sz w:val="22"/>
                <w:vertAlign w:val="superscript"/>
              </w:rPr>
              <w:t>*</w:t>
            </w:r>
          </w:p>
        </w:tc>
      </w:tr>
      <w:tr>
        <w:trPr>
          <w:trHeight w:val="391" w:hRule="atLeast"/>
        </w:trPr>
        <w:tc>
          <w:tcPr>
            <w:tcW w:w="1398" w:type="dxa"/>
          </w:tcPr>
          <w:p>
            <w:pPr>
              <w:pStyle w:val="TableParagraph"/>
              <w:spacing w:before="71"/>
              <w:ind w:right="34"/>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G4</w:t>
            </w:r>
          </w:p>
        </w:tc>
        <w:tc>
          <w:tcPr>
            <w:tcW w:w="1752" w:type="dxa"/>
          </w:tcPr>
          <w:p>
            <w:pPr>
              <w:pStyle w:val="TableParagraph"/>
              <w:spacing w:before="68"/>
              <w:ind w:right="27"/>
              <w:rPr>
                <w:sz w:val="22"/>
              </w:rPr>
            </w:pPr>
            <w:r>
              <w:rPr>
                <w:spacing w:val="-2"/>
                <w:sz w:val="22"/>
              </w:rPr>
              <w:t>0.791</w:t>
            </w:r>
          </w:p>
        </w:tc>
        <w:tc>
          <w:tcPr>
            <w:tcW w:w="1717" w:type="dxa"/>
          </w:tcPr>
          <w:p>
            <w:pPr>
              <w:pStyle w:val="TableParagraph"/>
              <w:spacing w:before="68"/>
              <w:ind w:left="13"/>
              <w:rPr>
                <w:sz w:val="22"/>
              </w:rPr>
            </w:pPr>
            <w:r>
              <w:rPr>
                <w:spacing w:val="-2"/>
                <w:sz w:val="22"/>
              </w:rPr>
              <w:t>0.852</w:t>
            </w:r>
          </w:p>
        </w:tc>
        <w:tc>
          <w:tcPr>
            <w:tcW w:w="1710" w:type="dxa"/>
          </w:tcPr>
          <w:p>
            <w:pPr>
              <w:pStyle w:val="TableParagraph"/>
              <w:spacing w:before="68"/>
              <w:ind w:left="6" w:right="2"/>
              <w:rPr>
                <w:sz w:val="22"/>
              </w:rPr>
            </w:pPr>
            <w:r>
              <w:rPr>
                <w:spacing w:val="-2"/>
                <w:sz w:val="22"/>
              </w:rPr>
              <w:t>0.831</w:t>
            </w:r>
          </w:p>
        </w:tc>
        <w:tc>
          <w:tcPr>
            <w:tcW w:w="1710" w:type="dxa"/>
          </w:tcPr>
          <w:p>
            <w:pPr>
              <w:pStyle w:val="TableParagraph"/>
              <w:spacing w:before="68"/>
              <w:ind w:left="6"/>
              <w:rPr>
                <w:sz w:val="22"/>
              </w:rPr>
            </w:pPr>
            <w:r>
              <w:rPr>
                <w:spacing w:val="-2"/>
                <w:sz w:val="22"/>
              </w:rPr>
              <w:t>0.971</w:t>
            </w:r>
          </w:p>
        </w:tc>
        <w:tc>
          <w:tcPr>
            <w:tcW w:w="1711" w:type="dxa"/>
          </w:tcPr>
          <w:p>
            <w:pPr>
              <w:pStyle w:val="TableParagraph"/>
              <w:spacing w:before="68"/>
              <w:ind w:left="4"/>
              <w:rPr>
                <w:sz w:val="22"/>
              </w:rPr>
            </w:pPr>
            <w:r>
              <w:rPr>
                <w:spacing w:val="-2"/>
                <w:sz w:val="22"/>
              </w:rPr>
              <w:t>0.508</w:t>
            </w:r>
          </w:p>
        </w:tc>
      </w:tr>
      <w:tr>
        <w:trPr>
          <w:trHeight w:val="396" w:hRule="atLeast"/>
        </w:trPr>
        <w:tc>
          <w:tcPr>
            <w:tcW w:w="1398" w:type="dxa"/>
          </w:tcPr>
          <w:p>
            <w:pPr>
              <w:pStyle w:val="TableParagraph"/>
              <w:spacing w:before="49"/>
              <w:ind w:right="34"/>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G5</w:t>
            </w:r>
          </w:p>
        </w:tc>
        <w:tc>
          <w:tcPr>
            <w:tcW w:w="1752" w:type="dxa"/>
          </w:tcPr>
          <w:p>
            <w:pPr>
              <w:pStyle w:val="TableParagraph"/>
              <w:spacing w:before="46"/>
              <w:ind w:right="27"/>
              <w:rPr>
                <w:sz w:val="22"/>
              </w:rPr>
            </w:pPr>
            <w:r>
              <w:rPr>
                <w:spacing w:val="-2"/>
                <w:sz w:val="22"/>
              </w:rPr>
              <w:t>1.000</w:t>
            </w:r>
          </w:p>
        </w:tc>
        <w:tc>
          <w:tcPr>
            <w:tcW w:w="1717" w:type="dxa"/>
          </w:tcPr>
          <w:p>
            <w:pPr>
              <w:pStyle w:val="TableParagraph"/>
              <w:spacing w:before="46"/>
              <w:ind w:left="13"/>
              <w:rPr>
                <w:sz w:val="22"/>
              </w:rPr>
            </w:pPr>
            <w:r>
              <w:rPr>
                <w:spacing w:val="-2"/>
                <w:sz w:val="22"/>
              </w:rPr>
              <w:t>0.530</w:t>
            </w:r>
          </w:p>
        </w:tc>
        <w:tc>
          <w:tcPr>
            <w:tcW w:w="1710" w:type="dxa"/>
          </w:tcPr>
          <w:p>
            <w:pPr>
              <w:pStyle w:val="TableParagraph"/>
              <w:spacing w:before="46"/>
              <w:ind w:left="6" w:right="2"/>
              <w:rPr>
                <w:sz w:val="22"/>
              </w:rPr>
            </w:pPr>
            <w:r>
              <w:rPr>
                <w:spacing w:val="-2"/>
                <w:sz w:val="22"/>
              </w:rPr>
              <w:t>0.796</w:t>
            </w:r>
          </w:p>
        </w:tc>
        <w:tc>
          <w:tcPr>
            <w:tcW w:w="1710" w:type="dxa"/>
          </w:tcPr>
          <w:p>
            <w:pPr>
              <w:pStyle w:val="TableParagraph"/>
              <w:spacing w:before="46"/>
              <w:ind w:left="6"/>
              <w:rPr>
                <w:sz w:val="22"/>
              </w:rPr>
            </w:pPr>
            <w:r>
              <w:rPr>
                <w:spacing w:val="-2"/>
                <w:sz w:val="22"/>
              </w:rPr>
              <w:t>0.923</w:t>
            </w:r>
          </w:p>
        </w:tc>
        <w:tc>
          <w:tcPr>
            <w:tcW w:w="1711" w:type="dxa"/>
          </w:tcPr>
          <w:p>
            <w:pPr>
              <w:pStyle w:val="TableParagraph"/>
              <w:spacing w:before="46"/>
              <w:ind w:left="4"/>
              <w:rPr>
                <w:sz w:val="22"/>
              </w:rPr>
            </w:pPr>
            <w:r>
              <w:rPr>
                <w:spacing w:val="-2"/>
                <w:sz w:val="22"/>
              </w:rPr>
              <w:t>0.421</w:t>
            </w:r>
          </w:p>
        </w:tc>
      </w:tr>
      <w:tr>
        <w:trPr>
          <w:trHeight w:val="399" w:hRule="atLeast"/>
        </w:trPr>
        <w:tc>
          <w:tcPr>
            <w:tcW w:w="1398" w:type="dxa"/>
          </w:tcPr>
          <w:p>
            <w:pPr>
              <w:pStyle w:val="TableParagraph"/>
              <w:spacing w:before="76"/>
              <w:ind w:right="34"/>
              <w:rPr>
                <w:rFonts w:ascii="Calibri"/>
                <w:b/>
                <w:sz w:val="22"/>
              </w:rPr>
            </w:pPr>
            <w:r>
              <w:rPr>
                <w:rFonts w:ascii="Calibri"/>
                <w:b/>
                <w:sz w:val="22"/>
              </w:rPr>
              <w:t>G2</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752" w:type="dxa"/>
          </w:tcPr>
          <w:p>
            <w:pPr>
              <w:pStyle w:val="TableParagraph"/>
              <w:spacing w:before="73"/>
              <w:ind w:right="27"/>
              <w:rPr>
                <w:sz w:val="22"/>
              </w:rPr>
            </w:pPr>
            <w:r>
              <w:rPr>
                <w:spacing w:val="-2"/>
                <w:sz w:val="22"/>
              </w:rPr>
              <w:t>1.000</w:t>
            </w:r>
          </w:p>
        </w:tc>
        <w:tc>
          <w:tcPr>
            <w:tcW w:w="1717" w:type="dxa"/>
          </w:tcPr>
          <w:p>
            <w:pPr>
              <w:pStyle w:val="TableParagraph"/>
              <w:spacing w:before="73"/>
              <w:ind w:left="13"/>
              <w:rPr>
                <w:sz w:val="22"/>
              </w:rPr>
            </w:pPr>
            <w:r>
              <w:rPr>
                <w:spacing w:val="-2"/>
                <w:sz w:val="22"/>
              </w:rPr>
              <w:t>0.887</w:t>
            </w:r>
          </w:p>
        </w:tc>
        <w:tc>
          <w:tcPr>
            <w:tcW w:w="1710" w:type="dxa"/>
          </w:tcPr>
          <w:p>
            <w:pPr>
              <w:pStyle w:val="TableParagraph"/>
              <w:spacing w:before="73"/>
              <w:ind w:left="6" w:right="2"/>
              <w:rPr>
                <w:sz w:val="22"/>
              </w:rPr>
            </w:pPr>
            <w:r>
              <w:rPr>
                <w:spacing w:val="-2"/>
                <w:sz w:val="22"/>
              </w:rPr>
              <w:t>0.218</w:t>
            </w:r>
          </w:p>
        </w:tc>
        <w:tc>
          <w:tcPr>
            <w:tcW w:w="1710" w:type="dxa"/>
          </w:tcPr>
          <w:p>
            <w:pPr>
              <w:pStyle w:val="TableParagraph"/>
              <w:spacing w:before="73"/>
              <w:ind w:left="6"/>
              <w:rPr>
                <w:sz w:val="22"/>
              </w:rPr>
            </w:pPr>
            <w:r>
              <w:rPr>
                <w:spacing w:val="-2"/>
                <w:sz w:val="22"/>
              </w:rPr>
              <w:t>0.949</w:t>
            </w:r>
          </w:p>
        </w:tc>
        <w:tc>
          <w:tcPr>
            <w:tcW w:w="1711" w:type="dxa"/>
          </w:tcPr>
          <w:p>
            <w:pPr>
              <w:pStyle w:val="TableParagraph"/>
              <w:spacing w:before="73"/>
              <w:ind w:left="4"/>
              <w:rPr>
                <w:sz w:val="22"/>
              </w:rPr>
            </w:pPr>
            <w:r>
              <w:rPr>
                <w:spacing w:val="-2"/>
                <w:sz w:val="22"/>
              </w:rPr>
              <w:t>0.782</w:t>
            </w:r>
          </w:p>
        </w:tc>
      </w:tr>
      <w:tr>
        <w:trPr>
          <w:trHeight w:val="354" w:hRule="atLeast"/>
        </w:trPr>
        <w:tc>
          <w:tcPr>
            <w:tcW w:w="1398" w:type="dxa"/>
          </w:tcPr>
          <w:p>
            <w:pPr>
              <w:pStyle w:val="TableParagraph"/>
              <w:spacing w:before="53"/>
              <w:ind w:right="34"/>
              <w:rPr>
                <w:rFonts w:ascii="Calibri"/>
                <w:b/>
                <w:sz w:val="22"/>
              </w:rPr>
            </w:pPr>
            <w:r>
              <w:rPr>
                <w:rFonts w:ascii="Calibri"/>
                <w:b/>
                <w:sz w:val="22"/>
              </w:rPr>
              <w:t>G2</w:t>
            </w:r>
            <w:r>
              <w:rPr>
                <w:rFonts w:ascii="Calibri"/>
                <w:b/>
                <w:spacing w:val="-2"/>
                <w:sz w:val="22"/>
              </w:rPr>
              <w:t> </w:t>
            </w:r>
            <w:r>
              <w:rPr>
                <w:rFonts w:ascii="Calibri"/>
                <w:b/>
                <w:sz w:val="22"/>
              </w:rPr>
              <w:t>vs</w:t>
            </w:r>
            <w:r>
              <w:rPr>
                <w:rFonts w:ascii="Calibri"/>
                <w:b/>
                <w:spacing w:val="-2"/>
                <w:sz w:val="22"/>
              </w:rPr>
              <w:t> </w:t>
            </w:r>
            <w:r>
              <w:rPr>
                <w:rFonts w:ascii="Calibri"/>
                <w:b/>
                <w:spacing w:val="-5"/>
                <w:sz w:val="22"/>
              </w:rPr>
              <w:t>G4</w:t>
            </w:r>
          </w:p>
        </w:tc>
        <w:tc>
          <w:tcPr>
            <w:tcW w:w="1752" w:type="dxa"/>
          </w:tcPr>
          <w:p>
            <w:pPr>
              <w:pStyle w:val="TableParagraph"/>
              <w:spacing w:before="50"/>
              <w:ind w:right="27"/>
              <w:rPr>
                <w:sz w:val="22"/>
              </w:rPr>
            </w:pPr>
            <w:r>
              <w:rPr>
                <w:spacing w:val="-2"/>
                <w:sz w:val="22"/>
              </w:rPr>
              <w:t>0.923</w:t>
            </w:r>
          </w:p>
        </w:tc>
        <w:tc>
          <w:tcPr>
            <w:tcW w:w="1717" w:type="dxa"/>
          </w:tcPr>
          <w:p>
            <w:pPr>
              <w:pStyle w:val="TableParagraph"/>
              <w:spacing w:before="50"/>
              <w:ind w:left="13"/>
              <w:rPr>
                <w:sz w:val="22"/>
              </w:rPr>
            </w:pPr>
            <w:r>
              <w:rPr>
                <w:spacing w:val="-2"/>
                <w:sz w:val="22"/>
              </w:rPr>
              <w:t>0.829</w:t>
            </w:r>
          </w:p>
        </w:tc>
        <w:tc>
          <w:tcPr>
            <w:tcW w:w="1710" w:type="dxa"/>
          </w:tcPr>
          <w:p>
            <w:pPr>
              <w:pStyle w:val="TableParagraph"/>
              <w:spacing w:before="50"/>
              <w:ind w:left="6" w:right="2"/>
              <w:rPr>
                <w:sz w:val="22"/>
              </w:rPr>
            </w:pPr>
            <w:r>
              <w:rPr>
                <w:spacing w:val="-2"/>
                <w:sz w:val="22"/>
              </w:rPr>
              <w:t>0.964</w:t>
            </w:r>
          </w:p>
        </w:tc>
        <w:tc>
          <w:tcPr>
            <w:tcW w:w="1710" w:type="dxa"/>
          </w:tcPr>
          <w:p>
            <w:pPr>
              <w:pStyle w:val="TableParagraph"/>
              <w:spacing w:before="50"/>
              <w:ind w:left="6"/>
              <w:rPr>
                <w:sz w:val="22"/>
              </w:rPr>
            </w:pPr>
            <w:r>
              <w:rPr>
                <w:spacing w:val="-2"/>
                <w:sz w:val="22"/>
              </w:rPr>
              <w:t>0.991</w:t>
            </w:r>
          </w:p>
        </w:tc>
        <w:tc>
          <w:tcPr>
            <w:tcW w:w="1711" w:type="dxa"/>
          </w:tcPr>
          <w:p>
            <w:pPr>
              <w:pStyle w:val="TableParagraph"/>
              <w:spacing w:before="50"/>
              <w:ind w:left="4"/>
              <w:rPr>
                <w:sz w:val="22"/>
              </w:rPr>
            </w:pPr>
            <w:r>
              <w:rPr>
                <w:spacing w:val="-2"/>
                <w:sz w:val="22"/>
              </w:rPr>
              <w:t>0.995</w:t>
            </w:r>
          </w:p>
        </w:tc>
      </w:tr>
      <w:tr>
        <w:trPr>
          <w:trHeight w:val="358" w:hRule="atLeast"/>
        </w:trPr>
        <w:tc>
          <w:tcPr>
            <w:tcW w:w="1398" w:type="dxa"/>
          </w:tcPr>
          <w:p>
            <w:pPr>
              <w:pStyle w:val="TableParagraph"/>
              <w:spacing w:before="30"/>
              <w:ind w:right="34"/>
              <w:rPr>
                <w:rFonts w:ascii="Calibri"/>
                <w:b/>
                <w:sz w:val="22"/>
              </w:rPr>
            </w:pPr>
            <w:r>
              <w:rPr>
                <w:rFonts w:ascii="Calibri"/>
                <w:b/>
                <w:sz w:val="22"/>
              </w:rPr>
              <w:t>G2</w:t>
            </w:r>
            <w:r>
              <w:rPr>
                <w:rFonts w:ascii="Calibri"/>
                <w:b/>
                <w:spacing w:val="-2"/>
                <w:sz w:val="22"/>
              </w:rPr>
              <w:t> </w:t>
            </w:r>
            <w:r>
              <w:rPr>
                <w:rFonts w:ascii="Calibri"/>
                <w:b/>
                <w:sz w:val="22"/>
              </w:rPr>
              <w:t>vs</w:t>
            </w:r>
            <w:r>
              <w:rPr>
                <w:rFonts w:ascii="Calibri"/>
                <w:b/>
                <w:spacing w:val="-2"/>
                <w:sz w:val="22"/>
              </w:rPr>
              <w:t> </w:t>
            </w:r>
            <w:r>
              <w:rPr>
                <w:rFonts w:ascii="Calibri"/>
                <w:b/>
                <w:spacing w:val="-5"/>
                <w:sz w:val="22"/>
              </w:rPr>
              <w:t>G5</w:t>
            </w:r>
          </w:p>
        </w:tc>
        <w:tc>
          <w:tcPr>
            <w:tcW w:w="1752" w:type="dxa"/>
          </w:tcPr>
          <w:p>
            <w:pPr>
              <w:pStyle w:val="TableParagraph"/>
              <w:spacing w:before="27"/>
              <w:ind w:right="27"/>
              <w:rPr>
                <w:sz w:val="22"/>
              </w:rPr>
            </w:pPr>
            <w:r>
              <w:rPr>
                <w:spacing w:val="-2"/>
                <w:sz w:val="22"/>
              </w:rPr>
              <w:t>0.996</w:t>
            </w:r>
          </w:p>
        </w:tc>
        <w:tc>
          <w:tcPr>
            <w:tcW w:w="1717" w:type="dxa"/>
          </w:tcPr>
          <w:p>
            <w:pPr>
              <w:pStyle w:val="TableParagraph"/>
              <w:spacing w:before="27"/>
              <w:ind w:left="13"/>
              <w:rPr>
                <w:sz w:val="22"/>
              </w:rPr>
            </w:pPr>
            <w:r>
              <w:rPr>
                <w:spacing w:val="-2"/>
                <w:sz w:val="22"/>
              </w:rPr>
              <w:t>0.477</w:t>
            </w:r>
          </w:p>
        </w:tc>
        <w:tc>
          <w:tcPr>
            <w:tcW w:w="1710" w:type="dxa"/>
          </w:tcPr>
          <w:p>
            <w:pPr>
              <w:pStyle w:val="TableParagraph"/>
              <w:spacing w:before="27"/>
              <w:ind w:left="6" w:right="2"/>
              <w:rPr>
                <w:sz w:val="22"/>
              </w:rPr>
            </w:pPr>
            <w:r>
              <w:rPr>
                <w:spacing w:val="-2"/>
                <w:sz w:val="22"/>
              </w:rPr>
              <w:t>0.975</w:t>
            </w:r>
          </w:p>
        </w:tc>
        <w:tc>
          <w:tcPr>
            <w:tcW w:w="1710" w:type="dxa"/>
          </w:tcPr>
          <w:p>
            <w:pPr>
              <w:pStyle w:val="TableParagraph"/>
              <w:spacing w:before="27"/>
              <w:ind w:left="6"/>
              <w:rPr>
                <w:sz w:val="22"/>
              </w:rPr>
            </w:pPr>
            <w:r>
              <w:rPr>
                <w:spacing w:val="-2"/>
                <w:sz w:val="22"/>
              </w:rPr>
              <w:t>0.785</w:t>
            </w:r>
          </w:p>
        </w:tc>
        <w:tc>
          <w:tcPr>
            <w:tcW w:w="1711" w:type="dxa"/>
          </w:tcPr>
          <w:p>
            <w:pPr>
              <w:pStyle w:val="TableParagraph"/>
              <w:spacing w:before="27"/>
              <w:ind w:left="4"/>
              <w:rPr>
                <w:sz w:val="22"/>
              </w:rPr>
            </w:pPr>
            <w:r>
              <w:rPr>
                <w:spacing w:val="-2"/>
                <w:sz w:val="22"/>
              </w:rPr>
              <w:t>0.999</w:t>
            </w:r>
          </w:p>
        </w:tc>
      </w:tr>
      <w:tr>
        <w:trPr>
          <w:trHeight w:val="363" w:hRule="atLeast"/>
        </w:trPr>
        <w:tc>
          <w:tcPr>
            <w:tcW w:w="1398" w:type="dxa"/>
          </w:tcPr>
          <w:p>
            <w:pPr>
              <w:pStyle w:val="TableParagraph"/>
              <w:spacing w:before="58"/>
              <w:ind w:right="34"/>
              <w:rPr>
                <w:rFonts w:ascii="Calibri"/>
                <w:b/>
                <w:sz w:val="22"/>
              </w:rPr>
            </w:pPr>
            <w:r>
              <w:rPr>
                <w:rFonts w:ascii="Calibri"/>
                <w:b/>
                <w:sz w:val="22"/>
              </w:rPr>
              <w:t>G3</w:t>
            </w:r>
            <w:r>
              <w:rPr>
                <w:rFonts w:ascii="Calibri"/>
                <w:b/>
                <w:spacing w:val="-2"/>
                <w:sz w:val="22"/>
              </w:rPr>
              <w:t> </w:t>
            </w:r>
            <w:r>
              <w:rPr>
                <w:rFonts w:ascii="Calibri"/>
                <w:b/>
                <w:sz w:val="22"/>
              </w:rPr>
              <w:t>vs</w:t>
            </w:r>
            <w:r>
              <w:rPr>
                <w:rFonts w:ascii="Calibri"/>
                <w:b/>
                <w:spacing w:val="-2"/>
                <w:sz w:val="22"/>
              </w:rPr>
              <w:t> </w:t>
            </w:r>
            <w:r>
              <w:rPr>
                <w:rFonts w:ascii="Calibri"/>
                <w:b/>
                <w:spacing w:val="-5"/>
                <w:sz w:val="22"/>
              </w:rPr>
              <w:t>G4</w:t>
            </w:r>
          </w:p>
        </w:tc>
        <w:tc>
          <w:tcPr>
            <w:tcW w:w="1752" w:type="dxa"/>
          </w:tcPr>
          <w:p>
            <w:pPr>
              <w:pStyle w:val="TableParagraph"/>
              <w:spacing w:before="55"/>
              <w:ind w:right="27"/>
              <w:rPr>
                <w:sz w:val="22"/>
              </w:rPr>
            </w:pPr>
            <w:r>
              <w:rPr>
                <w:spacing w:val="-2"/>
                <w:sz w:val="22"/>
              </w:rPr>
              <w:t>0.920</w:t>
            </w:r>
          </w:p>
        </w:tc>
        <w:tc>
          <w:tcPr>
            <w:tcW w:w="1717" w:type="dxa"/>
          </w:tcPr>
          <w:p>
            <w:pPr>
              <w:pStyle w:val="TableParagraph"/>
              <w:spacing w:before="55"/>
              <w:ind w:left="13"/>
              <w:rPr>
                <w:sz w:val="22"/>
              </w:rPr>
            </w:pPr>
            <w:r>
              <w:rPr>
                <w:spacing w:val="-2"/>
                <w:sz w:val="22"/>
              </w:rPr>
              <w:t>0.990</w:t>
            </w:r>
          </w:p>
        </w:tc>
        <w:tc>
          <w:tcPr>
            <w:tcW w:w="1710" w:type="dxa"/>
          </w:tcPr>
          <w:p>
            <w:pPr>
              <w:pStyle w:val="TableParagraph"/>
              <w:spacing w:before="55"/>
              <w:ind w:left="6" w:right="2"/>
              <w:rPr>
                <w:sz w:val="22"/>
              </w:rPr>
            </w:pPr>
            <w:r>
              <w:rPr>
                <w:spacing w:val="-2"/>
                <w:sz w:val="22"/>
              </w:rPr>
              <w:t>1.000</w:t>
            </w:r>
          </w:p>
        </w:tc>
        <w:tc>
          <w:tcPr>
            <w:tcW w:w="1710" w:type="dxa"/>
          </w:tcPr>
          <w:p>
            <w:pPr>
              <w:pStyle w:val="TableParagraph"/>
              <w:spacing w:before="55"/>
              <w:ind w:left="6"/>
              <w:rPr>
                <w:sz w:val="22"/>
              </w:rPr>
            </w:pPr>
            <w:r>
              <w:rPr>
                <w:spacing w:val="-2"/>
                <w:sz w:val="22"/>
              </w:rPr>
              <w:t>0.880</w:t>
            </w:r>
          </w:p>
        </w:tc>
        <w:tc>
          <w:tcPr>
            <w:tcW w:w="1711" w:type="dxa"/>
          </w:tcPr>
          <w:p>
            <w:pPr>
              <w:pStyle w:val="TableParagraph"/>
              <w:spacing w:before="55"/>
              <w:ind w:left="4"/>
              <w:rPr>
                <w:sz w:val="22"/>
              </w:rPr>
            </w:pPr>
            <w:r>
              <w:rPr>
                <w:spacing w:val="-2"/>
                <w:sz w:val="22"/>
              </w:rPr>
              <w:t>0.804</w:t>
            </w:r>
          </w:p>
        </w:tc>
      </w:tr>
      <w:tr>
        <w:trPr>
          <w:trHeight w:val="368" w:hRule="atLeast"/>
        </w:trPr>
        <w:tc>
          <w:tcPr>
            <w:tcW w:w="1398" w:type="dxa"/>
          </w:tcPr>
          <w:p>
            <w:pPr>
              <w:pStyle w:val="TableParagraph"/>
              <w:spacing w:before="35"/>
              <w:ind w:right="34"/>
              <w:rPr>
                <w:rFonts w:ascii="Calibri"/>
                <w:b/>
                <w:sz w:val="22"/>
              </w:rPr>
            </w:pPr>
            <w:r>
              <w:rPr>
                <w:rFonts w:ascii="Calibri"/>
                <w:b/>
                <w:sz w:val="22"/>
              </w:rPr>
              <w:t>G3</w:t>
            </w:r>
            <w:r>
              <w:rPr>
                <w:rFonts w:ascii="Calibri"/>
                <w:b/>
                <w:spacing w:val="-2"/>
                <w:sz w:val="22"/>
              </w:rPr>
              <w:t> </w:t>
            </w:r>
            <w:r>
              <w:rPr>
                <w:rFonts w:ascii="Calibri"/>
                <w:b/>
                <w:sz w:val="22"/>
              </w:rPr>
              <w:t>vs</w:t>
            </w:r>
            <w:r>
              <w:rPr>
                <w:rFonts w:ascii="Calibri"/>
                <w:b/>
                <w:spacing w:val="-2"/>
                <w:sz w:val="22"/>
              </w:rPr>
              <w:t> </w:t>
            </w:r>
            <w:r>
              <w:rPr>
                <w:rFonts w:ascii="Calibri"/>
                <w:b/>
                <w:spacing w:val="-5"/>
                <w:sz w:val="22"/>
              </w:rPr>
              <w:t>G5</w:t>
            </w:r>
          </w:p>
        </w:tc>
        <w:tc>
          <w:tcPr>
            <w:tcW w:w="1752" w:type="dxa"/>
          </w:tcPr>
          <w:p>
            <w:pPr>
              <w:pStyle w:val="TableParagraph"/>
              <w:spacing w:before="32"/>
              <w:ind w:right="27"/>
              <w:rPr>
                <w:sz w:val="22"/>
              </w:rPr>
            </w:pPr>
            <w:r>
              <w:rPr>
                <w:spacing w:val="-2"/>
                <w:sz w:val="22"/>
              </w:rPr>
              <w:t>0.993</w:t>
            </w:r>
          </w:p>
        </w:tc>
        <w:tc>
          <w:tcPr>
            <w:tcW w:w="1717" w:type="dxa"/>
          </w:tcPr>
          <w:p>
            <w:pPr>
              <w:pStyle w:val="TableParagraph"/>
              <w:spacing w:before="32"/>
              <w:ind w:left="13"/>
              <w:rPr>
                <w:sz w:val="22"/>
              </w:rPr>
            </w:pPr>
            <w:r>
              <w:rPr>
                <w:spacing w:val="-2"/>
                <w:sz w:val="22"/>
              </w:rPr>
              <w:t>0.699</w:t>
            </w:r>
          </w:p>
        </w:tc>
        <w:tc>
          <w:tcPr>
            <w:tcW w:w="1710" w:type="dxa"/>
          </w:tcPr>
          <w:p>
            <w:pPr>
              <w:pStyle w:val="TableParagraph"/>
              <w:spacing w:before="32"/>
              <w:ind w:left="6" w:right="2"/>
              <w:rPr>
                <w:sz w:val="22"/>
              </w:rPr>
            </w:pPr>
            <w:r>
              <w:rPr>
                <w:spacing w:val="-2"/>
                <w:sz w:val="22"/>
              </w:rPr>
              <w:t>0.995</w:t>
            </w:r>
          </w:p>
        </w:tc>
        <w:tc>
          <w:tcPr>
            <w:tcW w:w="1710" w:type="dxa"/>
          </w:tcPr>
          <w:p>
            <w:pPr>
              <w:pStyle w:val="TableParagraph"/>
              <w:spacing w:before="32"/>
              <w:ind w:left="6"/>
              <w:rPr>
                <w:sz w:val="22"/>
              </w:rPr>
            </w:pPr>
            <w:r>
              <w:rPr>
                <w:spacing w:val="-2"/>
                <w:sz w:val="22"/>
              </w:rPr>
              <w:t>0.907</w:t>
            </w:r>
          </w:p>
        </w:tc>
        <w:tc>
          <w:tcPr>
            <w:tcW w:w="1711" w:type="dxa"/>
          </w:tcPr>
          <w:p>
            <w:pPr>
              <w:pStyle w:val="TableParagraph"/>
              <w:spacing w:before="32"/>
              <w:ind w:left="4"/>
              <w:rPr>
                <w:sz w:val="22"/>
              </w:rPr>
            </w:pPr>
            <w:r>
              <w:rPr>
                <w:spacing w:val="-2"/>
                <w:sz w:val="22"/>
              </w:rPr>
              <w:t>0.997</w:t>
            </w:r>
          </w:p>
        </w:tc>
      </w:tr>
      <w:tr>
        <w:trPr>
          <w:trHeight w:val="415" w:hRule="atLeast"/>
        </w:trPr>
        <w:tc>
          <w:tcPr>
            <w:tcW w:w="1398" w:type="dxa"/>
            <w:tcBorders>
              <w:bottom w:val="single" w:sz="8" w:space="0" w:color="000000"/>
            </w:tcBorders>
          </w:tcPr>
          <w:p>
            <w:pPr>
              <w:pStyle w:val="TableParagraph"/>
              <w:spacing w:before="63"/>
              <w:ind w:right="34"/>
              <w:rPr>
                <w:rFonts w:ascii="Calibri"/>
                <w:b/>
                <w:sz w:val="22"/>
              </w:rPr>
            </w:pPr>
            <w:r>
              <w:rPr>
                <w:rFonts w:ascii="Calibri"/>
                <w:b/>
                <w:sz w:val="22"/>
              </w:rPr>
              <w:t>G4</w:t>
            </w:r>
            <w:r>
              <w:rPr>
                <w:rFonts w:ascii="Calibri"/>
                <w:b/>
                <w:spacing w:val="-2"/>
                <w:sz w:val="22"/>
              </w:rPr>
              <w:t> </w:t>
            </w:r>
            <w:r>
              <w:rPr>
                <w:rFonts w:ascii="Calibri"/>
                <w:b/>
                <w:sz w:val="22"/>
              </w:rPr>
              <w:t>vs</w:t>
            </w:r>
            <w:r>
              <w:rPr>
                <w:rFonts w:ascii="Calibri"/>
                <w:b/>
                <w:spacing w:val="-2"/>
                <w:sz w:val="22"/>
              </w:rPr>
              <w:t> </w:t>
            </w:r>
            <w:r>
              <w:rPr>
                <w:rFonts w:ascii="Calibri"/>
                <w:b/>
                <w:spacing w:val="-5"/>
                <w:sz w:val="22"/>
              </w:rPr>
              <w:t>G5</w:t>
            </w:r>
          </w:p>
        </w:tc>
        <w:tc>
          <w:tcPr>
            <w:tcW w:w="1752" w:type="dxa"/>
            <w:tcBorders>
              <w:bottom w:val="single" w:sz="8" w:space="0" w:color="000000"/>
            </w:tcBorders>
          </w:tcPr>
          <w:p>
            <w:pPr>
              <w:pStyle w:val="TableParagraph"/>
              <w:spacing w:before="59"/>
              <w:ind w:right="27"/>
              <w:rPr>
                <w:sz w:val="22"/>
              </w:rPr>
            </w:pPr>
            <w:r>
              <w:rPr>
                <w:spacing w:val="-2"/>
                <w:sz w:val="22"/>
              </w:rPr>
              <w:t>0.865</w:t>
            </w:r>
          </w:p>
        </w:tc>
        <w:tc>
          <w:tcPr>
            <w:tcW w:w="1717" w:type="dxa"/>
            <w:tcBorders>
              <w:bottom w:val="single" w:sz="8" w:space="0" w:color="000000"/>
            </w:tcBorders>
          </w:tcPr>
          <w:p>
            <w:pPr>
              <w:pStyle w:val="TableParagraph"/>
              <w:spacing w:before="59"/>
              <w:ind w:left="13"/>
              <w:rPr>
                <w:sz w:val="22"/>
              </w:rPr>
            </w:pPr>
            <w:r>
              <w:rPr>
                <w:spacing w:val="-2"/>
                <w:sz w:val="22"/>
              </w:rPr>
              <w:t>0.899</w:t>
            </w:r>
          </w:p>
        </w:tc>
        <w:tc>
          <w:tcPr>
            <w:tcW w:w="1710" w:type="dxa"/>
            <w:tcBorders>
              <w:bottom w:val="single" w:sz="8" w:space="0" w:color="000000"/>
            </w:tcBorders>
          </w:tcPr>
          <w:p>
            <w:pPr>
              <w:pStyle w:val="TableParagraph"/>
              <w:spacing w:before="59"/>
              <w:ind w:left="6" w:right="2"/>
              <w:rPr>
                <w:sz w:val="22"/>
              </w:rPr>
            </w:pPr>
            <w:r>
              <w:rPr>
                <w:spacing w:val="-2"/>
                <w:sz w:val="22"/>
              </w:rPr>
              <w:t>1.000</w:t>
            </w:r>
          </w:p>
        </w:tc>
        <w:tc>
          <w:tcPr>
            <w:tcW w:w="1710" w:type="dxa"/>
            <w:tcBorders>
              <w:bottom w:val="single" w:sz="8" w:space="0" w:color="000000"/>
            </w:tcBorders>
          </w:tcPr>
          <w:p>
            <w:pPr>
              <w:pStyle w:val="TableParagraph"/>
              <w:spacing w:before="59"/>
              <w:ind w:left="6"/>
              <w:rPr>
                <w:sz w:val="22"/>
              </w:rPr>
            </w:pPr>
            <w:r>
              <w:rPr>
                <w:spacing w:val="-2"/>
                <w:sz w:val="22"/>
              </w:rPr>
              <w:t>0.710</w:t>
            </w:r>
          </w:p>
        </w:tc>
        <w:tc>
          <w:tcPr>
            <w:tcW w:w="1711" w:type="dxa"/>
            <w:tcBorders>
              <w:bottom w:val="single" w:sz="8" w:space="0" w:color="000000"/>
            </w:tcBorders>
          </w:tcPr>
          <w:p>
            <w:pPr>
              <w:pStyle w:val="TableParagraph"/>
              <w:spacing w:before="59"/>
              <w:ind w:left="4"/>
              <w:rPr>
                <w:sz w:val="22"/>
              </w:rPr>
            </w:pPr>
            <w:r>
              <w:rPr>
                <w:spacing w:val="-2"/>
                <w:sz w:val="22"/>
              </w:rPr>
              <w:t>0.989</w:t>
            </w:r>
          </w:p>
        </w:tc>
      </w:tr>
    </w:tbl>
    <w:p>
      <w:pPr>
        <w:spacing w:line="160" w:lineRule="exact" w:before="236"/>
        <w:ind w:left="560" w:right="0" w:firstLine="0"/>
        <w:jc w:val="left"/>
        <w:rPr>
          <w:b/>
          <w:sz w:val="14"/>
        </w:rPr>
      </w:pPr>
      <w:r>
        <w:rPr>
          <w:b/>
          <w:spacing w:val="-5"/>
          <w:sz w:val="14"/>
        </w:rPr>
        <w:t>Key</w:t>
      </w:r>
    </w:p>
    <w:p>
      <w:pPr>
        <w:spacing w:line="160" w:lineRule="exact" w:before="0"/>
        <w:ind w:left="560" w:right="0" w:firstLine="0"/>
        <w:jc w:val="both"/>
        <w:rPr>
          <w:sz w:val="14"/>
        </w:rPr>
      </w:pPr>
      <w:r>
        <w:rPr>
          <w:sz w:val="14"/>
        </w:rPr>
        <w:t>α-level</w:t>
      </w:r>
      <w:r>
        <w:rPr>
          <w:spacing w:val="29"/>
          <w:sz w:val="14"/>
        </w:rPr>
        <w:t> </w:t>
      </w:r>
      <w:r>
        <w:rPr>
          <w:sz w:val="14"/>
        </w:rPr>
        <w:t>set</w:t>
      </w:r>
      <w:r>
        <w:rPr>
          <w:spacing w:val="-2"/>
          <w:sz w:val="14"/>
        </w:rPr>
        <w:t> </w:t>
      </w:r>
      <w:r>
        <w:rPr>
          <w:sz w:val="14"/>
        </w:rPr>
        <w:t>at</w:t>
      </w:r>
      <w:r>
        <w:rPr>
          <w:spacing w:val="-2"/>
          <w:sz w:val="14"/>
        </w:rPr>
        <w:t> </w:t>
      </w:r>
      <w:r>
        <w:rPr>
          <w:spacing w:val="-4"/>
          <w:sz w:val="14"/>
        </w:rPr>
        <w:t>0.05</w:t>
      </w:r>
    </w:p>
    <w:p>
      <w:pPr>
        <w:spacing w:before="0"/>
        <w:ind w:left="560" w:right="8417" w:firstLine="0"/>
        <w:jc w:val="both"/>
        <w:rPr>
          <w:sz w:val="14"/>
        </w:rPr>
      </w:pPr>
      <w:r>
        <w:rPr>
          <w:sz w:val="14"/>
        </w:rPr>
        <w:t>*(P&lt; 0.05) = Significant</w:t>
      </w:r>
      <w:r>
        <w:rPr>
          <w:spacing w:val="40"/>
          <w:sz w:val="14"/>
        </w:rPr>
        <w:t> </w:t>
      </w:r>
      <w:r>
        <w:rPr>
          <w:sz w:val="14"/>
        </w:rPr>
        <w:t>P&gt;</w:t>
      </w:r>
      <w:r>
        <w:rPr>
          <w:spacing w:val="-2"/>
          <w:sz w:val="14"/>
        </w:rPr>
        <w:t> </w:t>
      </w:r>
      <w:r>
        <w:rPr>
          <w:sz w:val="14"/>
        </w:rPr>
        <w:t>0.05=</w:t>
      </w:r>
      <w:r>
        <w:rPr>
          <w:spacing w:val="-1"/>
          <w:sz w:val="14"/>
        </w:rPr>
        <w:t> </w:t>
      </w:r>
      <w:r>
        <w:rPr>
          <w:sz w:val="14"/>
        </w:rPr>
        <w:t>Not</w:t>
      </w:r>
      <w:r>
        <w:rPr>
          <w:spacing w:val="-2"/>
          <w:sz w:val="14"/>
        </w:rPr>
        <w:t> </w:t>
      </w:r>
      <w:r>
        <w:rPr>
          <w:spacing w:val="-2"/>
          <w:sz w:val="14"/>
        </w:rPr>
        <w:t>Significant</w:t>
      </w:r>
    </w:p>
    <w:p>
      <w:pPr>
        <w:spacing w:before="0"/>
        <w:ind w:left="560" w:right="8128" w:firstLine="0"/>
        <w:jc w:val="both"/>
        <w:rPr>
          <w:sz w:val="14"/>
        </w:rPr>
      </w:pPr>
      <w:r>
        <w:rPr>
          <w:sz w:val="14"/>
        </w:rPr>
        <w:t>G1</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20</w:t>
      </w:r>
      <w:r>
        <w:rPr>
          <w:spacing w:val="-6"/>
          <w:sz w:val="14"/>
        </w:rPr>
        <w:t> </w:t>
      </w:r>
      <w:r>
        <w:rPr>
          <w:sz w:val="14"/>
        </w:rPr>
        <w:t>–</w:t>
      </w:r>
      <w:r>
        <w:rPr>
          <w:spacing w:val="-6"/>
          <w:sz w:val="14"/>
        </w:rPr>
        <w:t> </w:t>
      </w:r>
      <w:r>
        <w:rPr>
          <w:sz w:val="14"/>
        </w:rPr>
        <w:t>24</w:t>
      </w:r>
      <w:r>
        <w:rPr>
          <w:spacing w:val="-4"/>
          <w:sz w:val="14"/>
        </w:rPr>
        <w:t> </w:t>
      </w:r>
      <w:r>
        <w:rPr>
          <w:sz w:val="14"/>
        </w:rPr>
        <w:t>years</w:t>
      </w:r>
      <w:r>
        <w:rPr>
          <w:spacing w:val="40"/>
          <w:sz w:val="14"/>
        </w:rPr>
        <w:t> </w:t>
      </w:r>
      <w:r>
        <w:rPr>
          <w:sz w:val="14"/>
        </w:rPr>
        <w:t>G2</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25</w:t>
      </w:r>
      <w:r>
        <w:rPr>
          <w:spacing w:val="-6"/>
          <w:sz w:val="14"/>
        </w:rPr>
        <w:t> </w:t>
      </w:r>
      <w:r>
        <w:rPr>
          <w:sz w:val="14"/>
        </w:rPr>
        <w:t>–</w:t>
      </w:r>
      <w:r>
        <w:rPr>
          <w:spacing w:val="-6"/>
          <w:sz w:val="14"/>
        </w:rPr>
        <w:t> </w:t>
      </w:r>
      <w:r>
        <w:rPr>
          <w:sz w:val="14"/>
        </w:rPr>
        <w:t>29</w:t>
      </w:r>
      <w:r>
        <w:rPr>
          <w:spacing w:val="-4"/>
          <w:sz w:val="14"/>
        </w:rPr>
        <w:t> </w:t>
      </w:r>
      <w:r>
        <w:rPr>
          <w:sz w:val="14"/>
        </w:rPr>
        <w:t>years</w:t>
      </w:r>
      <w:r>
        <w:rPr>
          <w:spacing w:val="40"/>
          <w:sz w:val="14"/>
        </w:rPr>
        <w:t> </w:t>
      </w:r>
      <w:r>
        <w:rPr>
          <w:sz w:val="14"/>
        </w:rPr>
        <w:t>G3</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30</w:t>
      </w:r>
      <w:r>
        <w:rPr>
          <w:spacing w:val="-6"/>
          <w:sz w:val="14"/>
        </w:rPr>
        <w:t> </w:t>
      </w:r>
      <w:r>
        <w:rPr>
          <w:sz w:val="14"/>
        </w:rPr>
        <w:t>–</w:t>
      </w:r>
      <w:r>
        <w:rPr>
          <w:spacing w:val="-6"/>
          <w:sz w:val="14"/>
        </w:rPr>
        <w:t> </w:t>
      </w:r>
      <w:r>
        <w:rPr>
          <w:sz w:val="14"/>
        </w:rPr>
        <w:t>34</w:t>
      </w:r>
      <w:r>
        <w:rPr>
          <w:spacing w:val="-4"/>
          <w:sz w:val="14"/>
        </w:rPr>
        <w:t> </w:t>
      </w:r>
      <w:r>
        <w:rPr>
          <w:sz w:val="14"/>
        </w:rPr>
        <w:t>years</w:t>
      </w:r>
      <w:r>
        <w:rPr>
          <w:spacing w:val="40"/>
          <w:sz w:val="14"/>
        </w:rPr>
        <w:t> </w:t>
      </w:r>
      <w:r>
        <w:rPr>
          <w:sz w:val="14"/>
        </w:rPr>
        <w:t>G4</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35</w:t>
      </w:r>
      <w:r>
        <w:rPr>
          <w:spacing w:val="-6"/>
          <w:sz w:val="14"/>
        </w:rPr>
        <w:t> </w:t>
      </w:r>
      <w:r>
        <w:rPr>
          <w:sz w:val="14"/>
        </w:rPr>
        <w:t>–</w:t>
      </w:r>
      <w:r>
        <w:rPr>
          <w:spacing w:val="-6"/>
          <w:sz w:val="14"/>
        </w:rPr>
        <w:t> </w:t>
      </w:r>
      <w:r>
        <w:rPr>
          <w:sz w:val="14"/>
        </w:rPr>
        <w:t>39</w:t>
      </w:r>
      <w:r>
        <w:rPr>
          <w:spacing w:val="-4"/>
          <w:sz w:val="14"/>
        </w:rPr>
        <w:t> </w:t>
      </w:r>
      <w:r>
        <w:rPr>
          <w:sz w:val="14"/>
        </w:rPr>
        <w:t>years</w:t>
      </w:r>
      <w:r>
        <w:rPr>
          <w:spacing w:val="40"/>
          <w:sz w:val="14"/>
        </w:rPr>
        <w:t> </w:t>
      </w:r>
      <w:r>
        <w:rPr>
          <w:sz w:val="14"/>
        </w:rPr>
        <w:t>G5</w:t>
      </w:r>
      <w:r>
        <w:rPr>
          <w:spacing w:val="-2"/>
          <w:sz w:val="14"/>
        </w:rPr>
        <w:t> </w:t>
      </w:r>
      <w:r>
        <w:rPr>
          <w:sz w:val="14"/>
        </w:rPr>
        <w:t>=</w:t>
      </w:r>
      <w:r>
        <w:rPr>
          <w:spacing w:val="-1"/>
          <w:sz w:val="14"/>
        </w:rPr>
        <w:t> </w:t>
      </w:r>
      <w:r>
        <w:rPr>
          <w:sz w:val="14"/>
        </w:rPr>
        <w:t>Age</w:t>
      </w:r>
      <w:r>
        <w:rPr>
          <w:spacing w:val="-2"/>
          <w:sz w:val="14"/>
        </w:rPr>
        <w:t> </w:t>
      </w:r>
      <w:r>
        <w:rPr>
          <w:sz w:val="14"/>
        </w:rPr>
        <w:t>group</w:t>
      </w:r>
      <w:r>
        <w:rPr>
          <w:spacing w:val="-2"/>
          <w:sz w:val="14"/>
        </w:rPr>
        <w:t> </w:t>
      </w:r>
      <w:r>
        <w:rPr>
          <w:sz w:val="14"/>
        </w:rPr>
        <w:t>40</w:t>
      </w:r>
      <w:r>
        <w:rPr>
          <w:spacing w:val="-1"/>
          <w:sz w:val="14"/>
        </w:rPr>
        <w:t> </w:t>
      </w:r>
      <w:r>
        <w:rPr>
          <w:sz w:val="14"/>
        </w:rPr>
        <w:t>–</w:t>
      </w:r>
      <w:r>
        <w:rPr>
          <w:spacing w:val="-2"/>
          <w:sz w:val="14"/>
        </w:rPr>
        <w:t> </w:t>
      </w:r>
      <w:r>
        <w:rPr>
          <w:sz w:val="14"/>
        </w:rPr>
        <w:t>44</w:t>
      </w:r>
      <w:r>
        <w:rPr>
          <w:spacing w:val="1"/>
          <w:sz w:val="14"/>
        </w:rPr>
        <w:t> </w:t>
      </w:r>
      <w:r>
        <w:rPr>
          <w:spacing w:val="-4"/>
          <w:sz w:val="14"/>
        </w:rPr>
        <w:t>years</w:t>
      </w:r>
    </w:p>
    <w:p>
      <w:pPr>
        <w:spacing w:after="0"/>
        <w:jc w:val="both"/>
        <w:rPr>
          <w:sz w:val="14"/>
        </w:rPr>
        <w:sectPr>
          <w:pgSz w:w="11910" w:h="16840"/>
          <w:pgMar w:header="0" w:footer="1067" w:top="1060" w:bottom="1260" w:left="880" w:right="640"/>
        </w:sectPr>
      </w:pPr>
    </w:p>
    <w:p>
      <w:pPr>
        <w:spacing w:before="76"/>
        <w:ind w:left="4617" w:right="0" w:firstLine="0"/>
        <w:jc w:val="left"/>
        <w:rPr>
          <w:b/>
          <w:sz w:val="20"/>
        </w:rPr>
      </w:pPr>
      <w:r>
        <w:rPr>
          <w:b/>
          <w:sz w:val="20"/>
        </w:rPr>
        <w:t>APPENDIX</w:t>
      </w:r>
      <w:r>
        <w:rPr>
          <w:b/>
          <w:spacing w:val="-11"/>
          <w:sz w:val="20"/>
        </w:rPr>
        <w:t> </w:t>
      </w:r>
      <w:r>
        <w:rPr>
          <w:b/>
          <w:spacing w:val="-4"/>
          <w:sz w:val="20"/>
        </w:rPr>
        <w:t>IIIb</w:t>
      </w:r>
    </w:p>
    <w:p>
      <w:pPr>
        <w:spacing w:before="2"/>
        <w:ind w:left="1911" w:right="0" w:hanging="1352"/>
        <w:jc w:val="left"/>
        <w:rPr>
          <w:b/>
          <w:sz w:val="22"/>
        </w:rPr>
      </w:pPr>
      <w:r>
        <w:rPr>
          <w:b/>
          <w:sz w:val="22"/>
        </w:rPr>
        <w:t>TABLE</w:t>
      </w:r>
      <w:r>
        <w:rPr>
          <w:b/>
          <w:spacing w:val="-4"/>
          <w:sz w:val="22"/>
        </w:rPr>
        <w:t> </w:t>
      </w:r>
      <w:r>
        <w:rPr>
          <w:b/>
          <w:sz w:val="22"/>
        </w:rPr>
        <w:t>4.5:</w:t>
      </w:r>
      <w:r>
        <w:rPr>
          <w:b/>
          <w:spacing w:val="40"/>
          <w:sz w:val="22"/>
        </w:rPr>
        <w:t> </w:t>
      </w:r>
      <w:r>
        <w:rPr>
          <w:b/>
          <w:sz w:val="22"/>
        </w:rPr>
        <w:t>COMPARISON</w:t>
      </w:r>
      <w:r>
        <w:rPr>
          <w:b/>
          <w:spacing w:val="-3"/>
          <w:sz w:val="22"/>
        </w:rPr>
        <w:t> </w:t>
      </w:r>
      <w:r>
        <w:rPr>
          <w:b/>
          <w:sz w:val="22"/>
        </w:rPr>
        <w:t>OF</w:t>
      </w:r>
      <w:r>
        <w:rPr>
          <w:b/>
          <w:spacing w:val="-3"/>
          <w:sz w:val="22"/>
        </w:rPr>
        <w:t> </w:t>
      </w:r>
      <w:r>
        <w:rPr>
          <w:b/>
          <w:sz w:val="22"/>
        </w:rPr>
        <w:t>THE</w:t>
      </w:r>
      <w:r>
        <w:rPr>
          <w:b/>
          <w:spacing w:val="-4"/>
          <w:sz w:val="22"/>
        </w:rPr>
        <w:t> </w:t>
      </w:r>
      <w:r>
        <w:rPr>
          <w:b/>
          <w:sz w:val="22"/>
        </w:rPr>
        <w:t>EFFECT</w:t>
      </w:r>
      <w:r>
        <w:rPr>
          <w:b/>
          <w:spacing w:val="-4"/>
          <w:sz w:val="22"/>
        </w:rPr>
        <w:t> </w:t>
      </w:r>
      <w:r>
        <w:rPr>
          <w:b/>
          <w:sz w:val="22"/>
        </w:rPr>
        <w:t>OF</w:t>
      </w:r>
      <w:r>
        <w:rPr>
          <w:b/>
          <w:spacing w:val="-3"/>
          <w:sz w:val="22"/>
        </w:rPr>
        <w:t> </w:t>
      </w:r>
      <w:r>
        <w:rPr>
          <w:b/>
          <w:sz w:val="22"/>
        </w:rPr>
        <w:t>AGE</w:t>
      </w:r>
      <w:r>
        <w:rPr>
          <w:b/>
          <w:spacing w:val="-6"/>
          <w:sz w:val="22"/>
        </w:rPr>
        <w:t> </w:t>
      </w:r>
      <w:r>
        <w:rPr>
          <w:b/>
          <w:sz w:val="22"/>
        </w:rPr>
        <w:t>ON</w:t>
      </w:r>
      <w:r>
        <w:rPr>
          <w:b/>
          <w:spacing w:val="-4"/>
          <w:sz w:val="22"/>
        </w:rPr>
        <w:t> </w:t>
      </w:r>
      <w:r>
        <w:rPr>
          <w:b/>
          <w:sz w:val="22"/>
        </w:rPr>
        <w:t>CYTOKINE</w:t>
      </w:r>
      <w:r>
        <w:rPr>
          <w:b/>
          <w:spacing w:val="-4"/>
          <w:sz w:val="22"/>
        </w:rPr>
        <w:t> </w:t>
      </w:r>
      <w:r>
        <w:rPr>
          <w:b/>
          <w:sz w:val="22"/>
        </w:rPr>
        <w:t>LEVELS</w:t>
      </w:r>
      <w:r>
        <w:rPr>
          <w:b/>
          <w:spacing w:val="-3"/>
          <w:sz w:val="22"/>
        </w:rPr>
        <w:t> </w:t>
      </w:r>
      <w:r>
        <w:rPr>
          <w:b/>
          <w:sz w:val="22"/>
        </w:rPr>
        <w:t>OF</w:t>
      </w:r>
      <w:r>
        <w:rPr>
          <w:b/>
          <w:spacing w:val="-3"/>
          <w:sz w:val="22"/>
        </w:rPr>
        <w:t> </w:t>
      </w:r>
      <w:r>
        <w:rPr>
          <w:b/>
          <w:sz w:val="22"/>
        </w:rPr>
        <w:t>MALARIA UNINFECTED PREGNANT WOMEN</w:t>
      </w:r>
    </w:p>
    <w:p>
      <w:pPr>
        <w:pStyle w:val="BodyText"/>
        <w:spacing w:before="47"/>
        <w:rPr>
          <w:b/>
          <w:sz w:val="20"/>
        </w:rPr>
      </w:pPr>
    </w:p>
    <w:tbl>
      <w:tblPr>
        <w:tblW w:w="0" w:type="auto"/>
        <w:jc w:val="left"/>
        <w:tblInd w:w="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4"/>
        <w:gridCol w:w="1539"/>
        <w:gridCol w:w="1560"/>
        <w:gridCol w:w="1435"/>
        <w:gridCol w:w="1635"/>
        <w:gridCol w:w="1694"/>
      </w:tblGrid>
      <w:tr>
        <w:trPr>
          <w:trHeight w:val="584" w:hRule="atLeast"/>
        </w:trPr>
        <w:tc>
          <w:tcPr>
            <w:tcW w:w="1504" w:type="dxa"/>
            <w:tcBorders>
              <w:top w:val="single" w:sz="8" w:space="0" w:color="000000"/>
              <w:bottom w:val="single" w:sz="8" w:space="0" w:color="000000"/>
            </w:tcBorders>
          </w:tcPr>
          <w:p>
            <w:pPr>
              <w:pStyle w:val="TableParagraph"/>
              <w:spacing w:line="292" w:lineRule="exact"/>
              <w:ind w:left="55" w:right="30"/>
              <w:rPr>
                <w:rFonts w:ascii="Calibri"/>
                <w:b/>
                <w:sz w:val="24"/>
              </w:rPr>
            </w:pPr>
            <w:r>
              <w:rPr>
                <w:rFonts w:ascii="Calibri"/>
                <w:b/>
                <w:spacing w:val="-5"/>
                <w:sz w:val="24"/>
              </w:rPr>
              <w:t>AGE</w:t>
            </w:r>
          </w:p>
          <w:p>
            <w:pPr>
              <w:pStyle w:val="TableParagraph"/>
              <w:spacing w:line="273" w:lineRule="exact"/>
              <w:ind w:left="25" w:right="55"/>
              <w:rPr>
                <w:rFonts w:ascii="Calibri"/>
                <w:b/>
                <w:sz w:val="24"/>
              </w:rPr>
            </w:pPr>
            <w:r>
              <w:rPr>
                <w:rFonts w:ascii="Calibri"/>
                <w:b/>
                <w:spacing w:val="-2"/>
                <w:sz w:val="24"/>
              </w:rPr>
              <w:t>GROUPS</w:t>
            </w:r>
          </w:p>
        </w:tc>
        <w:tc>
          <w:tcPr>
            <w:tcW w:w="1539" w:type="dxa"/>
            <w:tcBorders>
              <w:top w:val="single" w:sz="8" w:space="0" w:color="000000"/>
              <w:bottom w:val="single" w:sz="8" w:space="0" w:color="000000"/>
            </w:tcBorders>
          </w:tcPr>
          <w:p>
            <w:pPr>
              <w:pStyle w:val="TableParagraph"/>
              <w:spacing w:line="292" w:lineRule="exact"/>
              <w:ind w:left="509"/>
              <w:jc w:val="left"/>
              <w:rPr>
                <w:rFonts w:ascii="Calibri" w:hAnsi="Calibri"/>
                <w:b/>
                <w:sz w:val="24"/>
              </w:rPr>
            </w:pPr>
            <w:r>
              <w:rPr>
                <w:rFonts w:ascii="Calibri" w:hAnsi="Calibri"/>
                <w:b/>
                <w:sz w:val="24"/>
              </w:rPr>
              <w:t>IFN-</w:t>
            </w:r>
            <w:r>
              <w:rPr>
                <w:rFonts w:ascii="Calibri" w:hAnsi="Calibri"/>
                <w:b/>
                <w:spacing w:val="-10"/>
                <w:sz w:val="24"/>
              </w:rPr>
              <w:t>γ</w:t>
            </w:r>
          </w:p>
          <w:p>
            <w:pPr>
              <w:pStyle w:val="TableParagraph"/>
              <w:spacing w:line="273" w:lineRule="exact"/>
              <w:ind w:left="394"/>
              <w:jc w:val="left"/>
              <w:rPr>
                <w:rFonts w:ascii="Calibri"/>
                <w:b/>
                <w:sz w:val="24"/>
              </w:rPr>
            </w:pPr>
            <w:r>
              <w:rPr>
                <w:rFonts w:ascii="Calibri"/>
                <w:b/>
                <w:spacing w:val="-2"/>
                <w:sz w:val="24"/>
              </w:rPr>
              <w:t>(pg/ml)</w:t>
            </w:r>
          </w:p>
        </w:tc>
        <w:tc>
          <w:tcPr>
            <w:tcW w:w="1560" w:type="dxa"/>
            <w:tcBorders>
              <w:top w:val="single" w:sz="8" w:space="0" w:color="000000"/>
              <w:bottom w:val="single" w:sz="8" w:space="0" w:color="000000"/>
            </w:tcBorders>
          </w:tcPr>
          <w:p>
            <w:pPr>
              <w:pStyle w:val="TableParagraph"/>
              <w:spacing w:line="292" w:lineRule="exact"/>
              <w:ind w:left="502"/>
              <w:jc w:val="left"/>
              <w:rPr>
                <w:rFonts w:ascii="Calibri" w:hAnsi="Calibri"/>
                <w:b/>
                <w:sz w:val="24"/>
              </w:rPr>
            </w:pPr>
            <w:r>
              <w:rPr>
                <w:rFonts w:ascii="Calibri" w:hAnsi="Calibri"/>
                <w:b/>
                <w:sz w:val="24"/>
              </w:rPr>
              <w:t>TNF-</w:t>
            </w:r>
            <w:r>
              <w:rPr>
                <w:rFonts w:ascii="Calibri" w:hAnsi="Calibri"/>
                <w:b/>
                <w:spacing w:val="-10"/>
                <w:sz w:val="24"/>
              </w:rPr>
              <w:t>α</w:t>
            </w:r>
          </w:p>
          <w:p>
            <w:pPr>
              <w:pStyle w:val="TableParagraph"/>
              <w:spacing w:line="273" w:lineRule="exact"/>
              <w:ind w:left="430"/>
              <w:jc w:val="left"/>
              <w:rPr>
                <w:rFonts w:ascii="Calibri"/>
                <w:b/>
                <w:sz w:val="24"/>
              </w:rPr>
            </w:pPr>
            <w:r>
              <w:rPr>
                <w:rFonts w:ascii="Calibri"/>
                <w:b/>
                <w:spacing w:val="-2"/>
                <w:sz w:val="24"/>
              </w:rPr>
              <w:t>(pg/ml)</w:t>
            </w:r>
          </w:p>
        </w:tc>
        <w:tc>
          <w:tcPr>
            <w:tcW w:w="1435" w:type="dxa"/>
            <w:tcBorders>
              <w:top w:val="single" w:sz="8" w:space="0" w:color="000000"/>
              <w:bottom w:val="single" w:sz="8" w:space="0" w:color="000000"/>
            </w:tcBorders>
          </w:tcPr>
          <w:p>
            <w:pPr>
              <w:pStyle w:val="TableParagraph"/>
              <w:spacing w:line="292" w:lineRule="exact"/>
              <w:ind w:left="17" w:right="4"/>
              <w:rPr>
                <w:rFonts w:ascii="Calibri"/>
                <w:b/>
                <w:sz w:val="24"/>
              </w:rPr>
            </w:pPr>
            <w:r>
              <w:rPr>
                <w:rFonts w:ascii="Calibri"/>
                <w:b/>
                <w:spacing w:val="-2"/>
                <w:sz w:val="24"/>
              </w:rPr>
              <w:t>IL-</w:t>
            </w:r>
            <w:r>
              <w:rPr>
                <w:rFonts w:ascii="Calibri"/>
                <w:b/>
                <w:spacing w:val="-12"/>
                <w:sz w:val="24"/>
              </w:rPr>
              <w:t>4</w:t>
            </w:r>
          </w:p>
          <w:p>
            <w:pPr>
              <w:pStyle w:val="TableParagraph"/>
              <w:spacing w:line="273" w:lineRule="exact"/>
              <w:ind w:left="17" w:right="5"/>
              <w:rPr>
                <w:rFonts w:ascii="Calibri"/>
                <w:b/>
                <w:sz w:val="24"/>
              </w:rPr>
            </w:pPr>
            <w:r>
              <w:rPr>
                <w:rFonts w:ascii="Calibri"/>
                <w:b/>
                <w:spacing w:val="-2"/>
                <w:sz w:val="24"/>
              </w:rPr>
              <w:t>(pg/ml)</w:t>
            </w:r>
          </w:p>
        </w:tc>
        <w:tc>
          <w:tcPr>
            <w:tcW w:w="1635" w:type="dxa"/>
            <w:tcBorders>
              <w:top w:val="single" w:sz="8" w:space="0" w:color="000000"/>
              <w:bottom w:val="single" w:sz="8" w:space="0" w:color="000000"/>
            </w:tcBorders>
          </w:tcPr>
          <w:p>
            <w:pPr>
              <w:pStyle w:val="TableParagraph"/>
              <w:spacing w:line="292" w:lineRule="exact"/>
              <w:ind w:left="4" w:right="16"/>
              <w:rPr>
                <w:rFonts w:ascii="Calibri"/>
                <w:b/>
                <w:sz w:val="24"/>
              </w:rPr>
            </w:pPr>
            <w:r>
              <w:rPr>
                <w:rFonts w:ascii="Calibri"/>
                <w:b/>
                <w:sz w:val="24"/>
              </w:rPr>
              <w:t>IL-6 </w:t>
            </w:r>
            <w:r>
              <w:rPr>
                <w:rFonts w:ascii="Calibri"/>
                <w:b/>
                <w:spacing w:val="-2"/>
                <w:sz w:val="24"/>
              </w:rPr>
              <w:t>(pg/ml)</w:t>
            </w:r>
          </w:p>
        </w:tc>
        <w:tc>
          <w:tcPr>
            <w:tcW w:w="1694" w:type="dxa"/>
            <w:tcBorders>
              <w:top w:val="single" w:sz="8" w:space="0" w:color="000000"/>
              <w:bottom w:val="single" w:sz="8" w:space="0" w:color="000000"/>
            </w:tcBorders>
          </w:tcPr>
          <w:p>
            <w:pPr>
              <w:pStyle w:val="TableParagraph"/>
              <w:spacing w:line="292" w:lineRule="exact"/>
              <w:ind w:right="14"/>
              <w:rPr>
                <w:rFonts w:ascii="Calibri"/>
                <w:b/>
                <w:sz w:val="24"/>
              </w:rPr>
            </w:pPr>
            <w:r>
              <w:rPr>
                <w:rFonts w:ascii="Calibri"/>
                <w:b/>
                <w:sz w:val="24"/>
              </w:rPr>
              <w:t>IL-10</w:t>
            </w:r>
            <w:r>
              <w:rPr>
                <w:rFonts w:ascii="Calibri"/>
                <w:b/>
                <w:spacing w:val="-2"/>
                <w:sz w:val="24"/>
              </w:rPr>
              <w:t> (pg/ml)</w:t>
            </w:r>
          </w:p>
        </w:tc>
      </w:tr>
      <w:tr>
        <w:trPr>
          <w:trHeight w:val="479" w:hRule="atLeast"/>
        </w:trPr>
        <w:tc>
          <w:tcPr>
            <w:tcW w:w="1504" w:type="dxa"/>
            <w:tcBorders>
              <w:top w:val="single" w:sz="8" w:space="0" w:color="000000"/>
            </w:tcBorders>
          </w:tcPr>
          <w:p>
            <w:pPr>
              <w:pStyle w:val="TableParagraph"/>
              <w:spacing w:line="292" w:lineRule="exact"/>
              <w:ind w:left="25" w:right="54"/>
              <w:rPr>
                <w:rFonts w:ascii="Calibri"/>
                <w:b/>
                <w:sz w:val="24"/>
              </w:rPr>
            </w:pPr>
            <w:r>
              <w:rPr>
                <w:rFonts w:ascii="Calibri"/>
                <w:b/>
                <w:sz w:val="24"/>
              </w:rPr>
              <w:t>G1</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7)</w:t>
            </w:r>
          </w:p>
        </w:tc>
        <w:tc>
          <w:tcPr>
            <w:tcW w:w="1539" w:type="dxa"/>
            <w:tcBorders>
              <w:top w:val="single" w:sz="8" w:space="0" w:color="000000"/>
            </w:tcBorders>
          </w:tcPr>
          <w:p>
            <w:pPr>
              <w:pStyle w:val="TableParagraph"/>
              <w:spacing w:before="25"/>
              <w:ind w:left="228"/>
              <w:jc w:val="left"/>
              <w:rPr>
                <w:rFonts w:ascii="Calibri" w:hAnsi="Calibri"/>
                <w:sz w:val="24"/>
              </w:rPr>
            </w:pPr>
            <w:r>
              <w:rPr>
                <w:rFonts w:ascii="Calibri" w:hAnsi="Calibri"/>
                <w:sz w:val="24"/>
              </w:rPr>
              <w:t>4.67</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3.41</w:t>
            </w:r>
          </w:p>
        </w:tc>
        <w:tc>
          <w:tcPr>
            <w:tcW w:w="1560" w:type="dxa"/>
            <w:tcBorders>
              <w:top w:val="single" w:sz="8" w:space="0" w:color="000000"/>
            </w:tcBorders>
          </w:tcPr>
          <w:p>
            <w:pPr>
              <w:pStyle w:val="TableParagraph"/>
              <w:spacing w:before="25"/>
              <w:ind w:left="264"/>
              <w:jc w:val="left"/>
              <w:rPr>
                <w:rFonts w:ascii="Calibri" w:hAnsi="Calibri"/>
                <w:sz w:val="24"/>
              </w:rPr>
            </w:pPr>
            <w:r>
              <w:rPr>
                <w:rFonts w:ascii="Calibri" w:hAnsi="Calibri"/>
                <w:sz w:val="24"/>
              </w:rPr>
              <w:t>7.39</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2.12</w:t>
            </w:r>
          </w:p>
        </w:tc>
        <w:tc>
          <w:tcPr>
            <w:tcW w:w="1435" w:type="dxa"/>
            <w:tcBorders>
              <w:top w:val="single" w:sz="8" w:space="0" w:color="000000"/>
            </w:tcBorders>
          </w:tcPr>
          <w:p>
            <w:pPr>
              <w:pStyle w:val="TableParagraph"/>
              <w:spacing w:before="25"/>
              <w:ind w:left="183"/>
              <w:jc w:val="left"/>
              <w:rPr>
                <w:rFonts w:ascii="Calibri" w:hAnsi="Calibri"/>
                <w:sz w:val="24"/>
              </w:rPr>
            </w:pPr>
            <w:r>
              <w:rPr>
                <w:rFonts w:ascii="Calibri" w:hAnsi="Calibri"/>
                <w:sz w:val="24"/>
              </w:rPr>
              <w:t>9.30</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1.87</w:t>
            </w:r>
          </w:p>
        </w:tc>
        <w:tc>
          <w:tcPr>
            <w:tcW w:w="1635" w:type="dxa"/>
            <w:tcBorders>
              <w:top w:val="single" w:sz="8" w:space="0" w:color="000000"/>
            </w:tcBorders>
          </w:tcPr>
          <w:p>
            <w:pPr>
              <w:pStyle w:val="TableParagraph"/>
              <w:spacing w:before="25"/>
              <w:ind w:left="207"/>
              <w:jc w:val="left"/>
              <w:rPr>
                <w:rFonts w:ascii="Calibri" w:hAnsi="Calibri"/>
                <w:sz w:val="24"/>
              </w:rPr>
            </w:pPr>
            <w:r>
              <w:rPr>
                <w:rFonts w:ascii="Calibri" w:hAnsi="Calibri"/>
                <w:sz w:val="24"/>
              </w:rPr>
              <w:t>11.49</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pacing w:val="-4"/>
                <w:sz w:val="24"/>
              </w:rPr>
              <w:t>2.94</w:t>
            </w:r>
          </w:p>
        </w:tc>
        <w:tc>
          <w:tcPr>
            <w:tcW w:w="1694" w:type="dxa"/>
            <w:tcBorders>
              <w:top w:val="single" w:sz="8" w:space="0" w:color="000000"/>
            </w:tcBorders>
          </w:tcPr>
          <w:p>
            <w:pPr>
              <w:pStyle w:val="TableParagraph"/>
              <w:spacing w:before="25"/>
              <w:ind w:left="238"/>
              <w:jc w:val="left"/>
              <w:rPr>
                <w:rFonts w:ascii="Calibri" w:hAnsi="Calibri"/>
                <w:sz w:val="24"/>
              </w:rPr>
            </w:pPr>
            <w:r>
              <w:rPr>
                <w:rFonts w:ascii="Calibri" w:hAnsi="Calibri"/>
                <w:sz w:val="24"/>
              </w:rPr>
              <w:t>13.79</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pacing w:val="-4"/>
                <w:sz w:val="24"/>
              </w:rPr>
              <w:t>6.19</w:t>
            </w:r>
          </w:p>
        </w:tc>
      </w:tr>
      <w:tr>
        <w:trPr>
          <w:trHeight w:val="597" w:hRule="atLeast"/>
        </w:trPr>
        <w:tc>
          <w:tcPr>
            <w:tcW w:w="1504" w:type="dxa"/>
          </w:tcPr>
          <w:p>
            <w:pPr>
              <w:pStyle w:val="TableParagraph"/>
              <w:spacing w:before="117"/>
              <w:ind w:left="25" w:right="54"/>
              <w:rPr>
                <w:rFonts w:ascii="Calibri"/>
                <w:b/>
                <w:sz w:val="24"/>
              </w:rPr>
            </w:pPr>
            <w:r>
              <w:rPr>
                <w:rFonts w:ascii="Calibri"/>
                <w:b/>
                <w:sz w:val="24"/>
              </w:rPr>
              <w:t>G2</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15)</w:t>
            </w:r>
          </w:p>
        </w:tc>
        <w:tc>
          <w:tcPr>
            <w:tcW w:w="1539" w:type="dxa"/>
          </w:tcPr>
          <w:p>
            <w:pPr>
              <w:pStyle w:val="TableParagraph"/>
              <w:spacing w:before="143"/>
              <w:ind w:left="228"/>
              <w:jc w:val="left"/>
              <w:rPr>
                <w:rFonts w:ascii="Calibri" w:hAnsi="Calibri"/>
                <w:sz w:val="24"/>
              </w:rPr>
            </w:pPr>
            <w:r>
              <w:rPr>
                <w:rFonts w:ascii="Calibri" w:hAnsi="Calibri"/>
                <w:sz w:val="24"/>
              </w:rPr>
              <w:t>5.92</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2.76</w:t>
            </w:r>
          </w:p>
        </w:tc>
        <w:tc>
          <w:tcPr>
            <w:tcW w:w="1560" w:type="dxa"/>
          </w:tcPr>
          <w:p>
            <w:pPr>
              <w:pStyle w:val="TableParagraph"/>
              <w:spacing w:before="143"/>
              <w:ind w:left="264"/>
              <w:jc w:val="left"/>
              <w:rPr>
                <w:rFonts w:ascii="Calibri" w:hAnsi="Calibri"/>
                <w:sz w:val="24"/>
              </w:rPr>
            </w:pPr>
            <w:r>
              <w:rPr>
                <w:rFonts w:ascii="Calibri" w:hAnsi="Calibri"/>
                <w:sz w:val="24"/>
              </w:rPr>
              <w:t>9.75</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2.36</w:t>
            </w:r>
          </w:p>
        </w:tc>
        <w:tc>
          <w:tcPr>
            <w:tcW w:w="1435" w:type="dxa"/>
          </w:tcPr>
          <w:p>
            <w:pPr>
              <w:pStyle w:val="TableParagraph"/>
              <w:spacing w:before="143"/>
              <w:ind w:left="183"/>
              <w:jc w:val="left"/>
              <w:rPr>
                <w:rFonts w:ascii="Calibri" w:hAnsi="Calibri"/>
                <w:sz w:val="24"/>
              </w:rPr>
            </w:pPr>
            <w:r>
              <w:rPr>
                <w:rFonts w:ascii="Calibri" w:hAnsi="Calibri"/>
                <w:sz w:val="24"/>
              </w:rPr>
              <w:t>5.90</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3.00</w:t>
            </w:r>
          </w:p>
        </w:tc>
        <w:tc>
          <w:tcPr>
            <w:tcW w:w="1635" w:type="dxa"/>
          </w:tcPr>
          <w:p>
            <w:pPr>
              <w:pStyle w:val="TableParagraph"/>
              <w:spacing w:before="143"/>
              <w:ind w:left="267"/>
              <w:jc w:val="left"/>
              <w:rPr>
                <w:rFonts w:ascii="Calibri" w:hAnsi="Calibri"/>
                <w:sz w:val="24"/>
              </w:rPr>
            </w:pPr>
            <w:r>
              <w:rPr>
                <w:rFonts w:ascii="Calibri" w:hAnsi="Calibri"/>
                <w:sz w:val="24"/>
              </w:rPr>
              <w:t>7.18</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5.27</w:t>
            </w:r>
          </w:p>
        </w:tc>
        <w:tc>
          <w:tcPr>
            <w:tcW w:w="1694" w:type="dxa"/>
          </w:tcPr>
          <w:p>
            <w:pPr>
              <w:pStyle w:val="TableParagraph"/>
              <w:spacing w:before="143"/>
              <w:ind w:left="238"/>
              <w:jc w:val="left"/>
              <w:rPr>
                <w:rFonts w:ascii="Calibri" w:hAnsi="Calibri"/>
                <w:sz w:val="24"/>
              </w:rPr>
            </w:pPr>
            <w:r>
              <w:rPr>
                <w:rFonts w:ascii="Calibri" w:hAnsi="Calibri"/>
                <w:sz w:val="24"/>
              </w:rPr>
              <w:t>15.88</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pacing w:val="-4"/>
                <w:sz w:val="24"/>
              </w:rPr>
              <w:t>8.14</w:t>
            </w:r>
          </w:p>
        </w:tc>
      </w:tr>
      <w:tr>
        <w:trPr>
          <w:trHeight w:val="597" w:hRule="atLeast"/>
        </w:trPr>
        <w:tc>
          <w:tcPr>
            <w:tcW w:w="1504" w:type="dxa"/>
          </w:tcPr>
          <w:p>
            <w:pPr>
              <w:pStyle w:val="TableParagraph"/>
              <w:spacing w:before="117"/>
              <w:ind w:left="25" w:right="54"/>
              <w:rPr>
                <w:rFonts w:ascii="Calibri"/>
                <w:b/>
                <w:sz w:val="24"/>
              </w:rPr>
            </w:pPr>
            <w:r>
              <w:rPr>
                <w:rFonts w:ascii="Calibri"/>
                <w:b/>
                <w:sz w:val="24"/>
              </w:rPr>
              <w:t>G3</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29)</w:t>
            </w:r>
          </w:p>
        </w:tc>
        <w:tc>
          <w:tcPr>
            <w:tcW w:w="1539" w:type="dxa"/>
          </w:tcPr>
          <w:p>
            <w:pPr>
              <w:pStyle w:val="TableParagraph"/>
              <w:spacing w:before="143"/>
              <w:ind w:left="228"/>
              <w:jc w:val="left"/>
              <w:rPr>
                <w:rFonts w:ascii="Calibri" w:hAnsi="Calibri"/>
                <w:sz w:val="24"/>
              </w:rPr>
            </w:pPr>
            <w:r>
              <w:rPr>
                <w:rFonts w:ascii="Calibri" w:hAnsi="Calibri"/>
                <w:sz w:val="24"/>
              </w:rPr>
              <w:t>5.70</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3.11</w:t>
            </w:r>
          </w:p>
        </w:tc>
        <w:tc>
          <w:tcPr>
            <w:tcW w:w="1560" w:type="dxa"/>
          </w:tcPr>
          <w:p>
            <w:pPr>
              <w:pStyle w:val="TableParagraph"/>
              <w:spacing w:before="143"/>
              <w:ind w:left="231"/>
              <w:jc w:val="left"/>
              <w:rPr>
                <w:rFonts w:ascii="Calibri" w:hAnsi="Calibri"/>
                <w:sz w:val="24"/>
              </w:rPr>
            </w:pPr>
            <w:r>
              <w:rPr>
                <w:rFonts w:ascii="Calibri" w:hAnsi="Calibri"/>
                <w:sz w:val="24"/>
              </w:rPr>
              <w:t>10.75 </w:t>
            </w:r>
            <w:r>
              <w:rPr>
                <w:rFonts w:ascii="Calibri" w:hAnsi="Calibri"/>
                <w:spacing w:val="-2"/>
                <w:sz w:val="24"/>
              </w:rPr>
              <w:t>±3.39</w:t>
            </w:r>
          </w:p>
        </w:tc>
        <w:tc>
          <w:tcPr>
            <w:tcW w:w="1435" w:type="dxa"/>
          </w:tcPr>
          <w:p>
            <w:pPr>
              <w:pStyle w:val="TableParagraph"/>
              <w:spacing w:before="143"/>
              <w:ind w:left="17" w:right="3"/>
              <w:rPr>
                <w:rFonts w:ascii="Calibri" w:hAnsi="Calibri"/>
                <w:sz w:val="24"/>
              </w:rPr>
            </w:pPr>
            <w:r>
              <w:rPr>
                <w:rFonts w:ascii="Calibri" w:hAnsi="Calibri"/>
                <w:sz w:val="24"/>
              </w:rPr>
              <w:t>7.79±</w:t>
            </w:r>
            <w:r>
              <w:rPr>
                <w:rFonts w:ascii="Calibri" w:hAnsi="Calibri"/>
                <w:spacing w:val="-2"/>
                <w:sz w:val="24"/>
              </w:rPr>
              <w:t> </w:t>
            </w:r>
            <w:r>
              <w:rPr>
                <w:rFonts w:ascii="Calibri" w:hAnsi="Calibri"/>
                <w:spacing w:val="-4"/>
                <w:sz w:val="24"/>
              </w:rPr>
              <w:t>4.37</w:t>
            </w:r>
          </w:p>
        </w:tc>
        <w:tc>
          <w:tcPr>
            <w:tcW w:w="1635" w:type="dxa"/>
          </w:tcPr>
          <w:p>
            <w:pPr>
              <w:pStyle w:val="TableParagraph"/>
              <w:spacing w:before="143"/>
              <w:ind w:left="174"/>
              <w:jc w:val="left"/>
              <w:rPr>
                <w:rFonts w:ascii="Calibri" w:hAnsi="Calibri"/>
                <w:sz w:val="24"/>
              </w:rPr>
            </w:pPr>
            <w:r>
              <w:rPr>
                <w:rFonts w:ascii="Calibri" w:hAnsi="Calibri"/>
                <w:sz w:val="24"/>
              </w:rPr>
              <w:t>10.10</w:t>
            </w:r>
            <w:r>
              <w:rPr>
                <w:rFonts w:ascii="Calibri" w:hAnsi="Calibri"/>
                <w:spacing w:val="-2"/>
                <w:sz w:val="24"/>
              </w:rPr>
              <w:t> ±11.07</w:t>
            </w:r>
          </w:p>
        </w:tc>
        <w:tc>
          <w:tcPr>
            <w:tcW w:w="1694" w:type="dxa"/>
          </w:tcPr>
          <w:p>
            <w:pPr>
              <w:pStyle w:val="TableParagraph"/>
              <w:spacing w:before="143"/>
              <w:ind w:left="238"/>
              <w:jc w:val="left"/>
              <w:rPr>
                <w:rFonts w:ascii="Calibri" w:hAnsi="Calibri"/>
                <w:sz w:val="24"/>
              </w:rPr>
            </w:pPr>
            <w:r>
              <w:rPr>
                <w:rFonts w:ascii="Calibri" w:hAnsi="Calibri"/>
                <w:sz w:val="24"/>
              </w:rPr>
              <w:t>15.61</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pacing w:val="-4"/>
                <w:sz w:val="24"/>
              </w:rPr>
              <w:t>5.84</w:t>
            </w:r>
          </w:p>
        </w:tc>
      </w:tr>
      <w:tr>
        <w:trPr>
          <w:trHeight w:val="596" w:hRule="atLeast"/>
        </w:trPr>
        <w:tc>
          <w:tcPr>
            <w:tcW w:w="1504" w:type="dxa"/>
          </w:tcPr>
          <w:p>
            <w:pPr>
              <w:pStyle w:val="TableParagraph"/>
              <w:spacing w:before="117"/>
              <w:ind w:left="25" w:right="54"/>
              <w:rPr>
                <w:rFonts w:ascii="Calibri"/>
                <w:b/>
                <w:sz w:val="24"/>
              </w:rPr>
            </w:pPr>
            <w:r>
              <w:rPr>
                <w:rFonts w:ascii="Calibri"/>
                <w:b/>
                <w:sz w:val="24"/>
              </w:rPr>
              <w:t>G4</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8)</w:t>
            </w:r>
          </w:p>
        </w:tc>
        <w:tc>
          <w:tcPr>
            <w:tcW w:w="1539" w:type="dxa"/>
          </w:tcPr>
          <w:p>
            <w:pPr>
              <w:pStyle w:val="TableParagraph"/>
              <w:spacing w:before="143"/>
              <w:ind w:left="228"/>
              <w:jc w:val="left"/>
              <w:rPr>
                <w:rFonts w:ascii="Calibri" w:hAnsi="Calibri"/>
                <w:sz w:val="24"/>
              </w:rPr>
            </w:pPr>
            <w:r>
              <w:rPr>
                <w:rFonts w:ascii="Calibri" w:hAnsi="Calibri"/>
                <w:sz w:val="24"/>
              </w:rPr>
              <w:t>7.40</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3.54</w:t>
            </w:r>
          </w:p>
        </w:tc>
        <w:tc>
          <w:tcPr>
            <w:tcW w:w="1560" w:type="dxa"/>
          </w:tcPr>
          <w:p>
            <w:pPr>
              <w:pStyle w:val="TableParagraph"/>
              <w:spacing w:before="143"/>
              <w:ind w:left="231"/>
              <w:jc w:val="left"/>
              <w:rPr>
                <w:rFonts w:ascii="Calibri" w:hAnsi="Calibri"/>
                <w:sz w:val="24"/>
              </w:rPr>
            </w:pPr>
            <w:r>
              <w:rPr>
                <w:rFonts w:ascii="Calibri" w:hAnsi="Calibri"/>
                <w:sz w:val="24"/>
              </w:rPr>
              <w:t>10.33 </w:t>
            </w:r>
            <w:r>
              <w:rPr>
                <w:rFonts w:ascii="Calibri" w:hAnsi="Calibri"/>
                <w:spacing w:val="-2"/>
                <w:sz w:val="24"/>
              </w:rPr>
              <w:t>±2.53</w:t>
            </w:r>
          </w:p>
        </w:tc>
        <w:tc>
          <w:tcPr>
            <w:tcW w:w="1435" w:type="dxa"/>
          </w:tcPr>
          <w:p>
            <w:pPr>
              <w:pStyle w:val="TableParagraph"/>
              <w:spacing w:before="143"/>
              <w:ind w:left="183"/>
              <w:jc w:val="left"/>
              <w:rPr>
                <w:rFonts w:ascii="Calibri" w:hAnsi="Calibri"/>
                <w:sz w:val="24"/>
              </w:rPr>
            </w:pPr>
            <w:r>
              <w:rPr>
                <w:rFonts w:ascii="Calibri" w:hAnsi="Calibri"/>
                <w:sz w:val="24"/>
              </w:rPr>
              <w:t>5.65</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3.95</w:t>
            </w:r>
          </w:p>
        </w:tc>
        <w:tc>
          <w:tcPr>
            <w:tcW w:w="1635" w:type="dxa"/>
          </w:tcPr>
          <w:p>
            <w:pPr>
              <w:pStyle w:val="TableParagraph"/>
              <w:spacing w:before="143"/>
              <w:ind w:left="267"/>
              <w:jc w:val="left"/>
              <w:rPr>
                <w:rFonts w:ascii="Calibri" w:hAnsi="Calibri"/>
                <w:sz w:val="24"/>
              </w:rPr>
            </w:pPr>
            <w:r>
              <w:rPr>
                <w:rFonts w:ascii="Calibri" w:hAnsi="Calibri"/>
                <w:sz w:val="24"/>
              </w:rPr>
              <w:t>4.44</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3.87</w:t>
            </w:r>
          </w:p>
        </w:tc>
        <w:tc>
          <w:tcPr>
            <w:tcW w:w="1694" w:type="dxa"/>
          </w:tcPr>
          <w:p>
            <w:pPr>
              <w:pStyle w:val="TableParagraph"/>
              <w:spacing w:before="143"/>
              <w:ind w:left="238"/>
              <w:jc w:val="left"/>
              <w:rPr>
                <w:rFonts w:ascii="Calibri" w:hAnsi="Calibri"/>
                <w:sz w:val="24"/>
              </w:rPr>
            </w:pPr>
            <w:r>
              <w:rPr>
                <w:rFonts w:ascii="Calibri" w:hAnsi="Calibri"/>
                <w:sz w:val="24"/>
              </w:rPr>
              <w:t>11.19</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pacing w:val="-4"/>
                <w:sz w:val="24"/>
              </w:rPr>
              <w:t>1.95</w:t>
            </w:r>
          </w:p>
        </w:tc>
      </w:tr>
      <w:tr>
        <w:trPr>
          <w:trHeight w:val="596" w:hRule="atLeast"/>
        </w:trPr>
        <w:tc>
          <w:tcPr>
            <w:tcW w:w="1504" w:type="dxa"/>
          </w:tcPr>
          <w:p>
            <w:pPr>
              <w:pStyle w:val="TableParagraph"/>
              <w:spacing w:before="116"/>
              <w:ind w:left="25" w:right="54"/>
              <w:rPr>
                <w:rFonts w:ascii="Calibri"/>
                <w:b/>
                <w:sz w:val="24"/>
              </w:rPr>
            </w:pPr>
            <w:r>
              <w:rPr>
                <w:rFonts w:ascii="Calibri"/>
                <w:b/>
                <w:sz w:val="24"/>
              </w:rPr>
              <w:t>G5</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3)</w:t>
            </w:r>
          </w:p>
        </w:tc>
        <w:tc>
          <w:tcPr>
            <w:tcW w:w="1539" w:type="dxa"/>
          </w:tcPr>
          <w:p>
            <w:pPr>
              <w:pStyle w:val="TableParagraph"/>
              <w:spacing w:before="142"/>
              <w:ind w:left="228"/>
              <w:jc w:val="left"/>
              <w:rPr>
                <w:rFonts w:ascii="Calibri" w:hAnsi="Calibri"/>
                <w:sz w:val="24"/>
              </w:rPr>
            </w:pPr>
            <w:r>
              <w:rPr>
                <w:rFonts w:ascii="Calibri" w:hAnsi="Calibri"/>
                <w:sz w:val="24"/>
              </w:rPr>
              <w:t>8.33</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2.12</w:t>
            </w:r>
          </w:p>
        </w:tc>
        <w:tc>
          <w:tcPr>
            <w:tcW w:w="1560" w:type="dxa"/>
          </w:tcPr>
          <w:p>
            <w:pPr>
              <w:pStyle w:val="TableParagraph"/>
              <w:spacing w:before="142"/>
              <w:ind w:left="264"/>
              <w:jc w:val="left"/>
              <w:rPr>
                <w:rFonts w:ascii="Calibri" w:hAnsi="Calibri"/>
                <w:sz w:val="24"/>
              </w:rPr>
            </w:pPr>
            <w:r>
              <w:rPr>
                <w:rFonts w:ascii="Calibri" w:hAnsi="Calibri"/>
                <w:sz w:val="24"/>
              </w:rPr>
              <w:t>9.90</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pacing w:val="-4"/>
                <w:sz w:val="24"/>
              </w:rPr>
              <w:t>3.61</w:t>
            </w:r>
          </w:p>
        </w:tc>
        <w:tc>
          <w:tcPr>
            <w:tcW w:w="1435" w:type="dxa"/>
          </w:tcPr>
          <w:p>
            <w:pPr>
              <w:pStyle w:val="TableParagraph"/>
              <w:spacing w:before="142"/>
              <w:ind w:left="183"/>
              <w:jc w:val="left"/>
              <w:rPr>
                <w:rFonts w:ascii="Calibri" w:hAnsi="Calibri"/>
                <w:sz w:val="24"/>
              </w:rPr>
            </w:pPr>
            <w:r>
              <w:rPr>
                <w:rFonts w:ascii="Calibri" w:hAnsi="Calibri"/>
                <w:sz w:val="24"/>
              </w:rPr>
              <w:t>6.63</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5.35</w:t>
            </w:r>
          </w:p>
        </w:tc>
        <w:tc>
          <w:tcPr>
            <w:tcW w:w="1635" w:type="dxa"/>
          </w:tcPr>
          <w:p>
            <w:pPr>
              <w:pStyle w:val="TableParagraph"/>
              <w:spacing w:before="142"/>
              <w:ind w:left="267"/>
              <w:jc w:val="left"/>
              <w:rPr>
                <w:rFonts w:ascii="Calibri" w:hAnsi="Calibri"/>
                <w:sz w:val="24"/>
              </w:rPr>
            </w:pPr>
            <w:r>
              <w:rPr>
                <w:rFonts w:ascii="Calibri" w:hAnsi="Calibri"/>
                <w:sz w:val="24"/>
              </w:rPr>
              <w:t>7.40</w:t>
            </w:r>
            <w:r>
              <w:rPr>
                <w:rFonts w:ascii="Calibri" w:hAnsi="Calibri"/>
                <w:spacing w:val="1"/>
                <w:sz w:val="24"/>
              </w:rPr>
              <w:t> </w:t>
            </w:r>
            <w:r>
              <w:rPr>
                <w:rFonts w:ascii="Calibri" w:hAnsi="Calibri"/>
                <w:sz w:val="24"/>
              </w:rPr>
              <w:t>±</w:t>
            </w:r>
            <w:r>
              <w:rPr>
                <w:rFonts w:ascii="Calibri" w:hAnsi="Calibri"/>
                <w:spacing w:val="-2"/>
                <w:sz w:val="24"/>
              </w:rPr>
              <w:t> </w:t>
            </w:r>
            <w:r>
              <w:rPr>
                <w:rFonts w:ascii="Calibri" w:hAnsi="Calibri"/>
                <w:spacing w:val="-4"/>
                <w:sz w:val="24"/>
              </w:rPr>
              <w:t>4.59</w:t>
            </w:r>
          </w:p>
        </w:tc>
        <w:tc>
          <w:tcPr>
            <w:tcW w:w="1694" w:type="dxa"/>
          </w:tcPr>
          <w:p>
            <w:pPr>
              <w:pStyle w:val="TableParagraph"/>
              <w:spacing w:before="142"/>
              <w:ind w:left="238"/>
              <w:jc w:val="left"/>
              <w:rPr>
                <w:rFonts w:ascii="Calibri" w:hAnsi="Calibri"/>
                <w:sz w:val="24"/>
              </w:rPr>
            </w:pPr>
            <w:r>
              <w:rPr>
                <w:rFonts w:ascii="Calibri" w:hAnsi="Calibri"/>
                <w:sz w:val="24"/>
              </w:rPr>
              <w:t>12.77</w:t>
            </w:r>
            <w:r>
              <w:rPr>
                <w:rFonts w:ascii="Calibri" w:hAnsi="Calibri"/>
                <w:spacing w:val="-3"/>
                <w:sz w:val="24"/>
              </w:rPr>
              <w:t> </w:t>
            </w:r>
            <w:r>
              <w:rPr>
                <w:rFonts w:ascii="Calibri" w:hAnsi="Calibri"/>
                <w:sz w:val="24"/>
              </w:rPr>
              <w:t>±</w:t>
            </w:r>
            <w:r>
              <w:rPr>
                <w:rFonts w:ascii="Calibri" w:hAnsi="Calibri"/>
                <w:spacing w:val="2"/>
                <w:sz w:val="24"/>
              </w:rPr>
              <w:t> </w:t>
            </w:r>
            <w:r>
              <w:rPr>
                <w:rFonts w:ascii="Calibri" w:hAnsi="Calibri"/>
                <w:spacing w:val="-4"/>
                <w:sz w:val="24"/>
              </w:rPr>
              <w:t>3.35</w:t>
            </w:r>
          </w:p>
        </w:tc>
      </w:tr>
      <w:tr>
        <w:trPr>
          <w:trHeight w:val="730" w:hRule="atLeast"/>
        </w:trPr>
        <w:tc>
          <w:tcPr>
            <w:tcW w:w="1504" w:type="dxa"/>
          </w:tcPr>
          <w:p>
            <w:pPr>
              <w:pStyle w:val="TableParagraph"/>
              <w:spacing w:before="117"/>
              <w:ind w:left="25" w:right="53"/>
              <w:rPr>
                <w:rFonts w:ascii="Calibri"/>
                <w:b/>
                <w:sz w:val="24"/>
              </w:rPr>
            </w:pPr>
            <w:r>
              <w:rPr>
                <w:rFonts w:ascii="Calibri"/>
                <w:b/>
                <w:sz w:val="24"/>
              </w:rPr>
              <w:t>F(p) </w:t>
            </w:r>
            <w:r>
              <w:rPr>
                <w:rFonts w:ascii="Calibri"/>
                <w:b/>
                <w:spacing w:val="-2"/>
                <w:sz w:val="24"/>
              </w:rPr>
              <w:t>Value</w:t>
            </w:r>
          </w:p>
        </w:tc>
        <w:tc>
          <w:tcPr>
            <w:tcW w:w="1539" w:type="dxa"/>
          </w:tcPr>
          <w:p>
            <w:pPr>
              <w:pStyle w:val="TableParagraph"/>
              <w:spacing w:before="117"/>
              <w:ind w:left="495"/>
              <w:jc w:val="left"/>
              <w:rPr>
                <w:rFonts w:ascii="Calibri"/>
                <w:sz w:val="24"/>
              </w:rPr>
            </w:pPr>
            <w:r>
              <w:rPr>
                <w:rFonts w:ascii="Calibri"/>
                <w:spacing w:val="-2"/>
                <w:sz w:val="24"/>
              </w:rPr>
              <w:t>1.234</w:t>
            </w:r>
          </w:p>
          <w:p>
            <w:pPr>
              <w:pStyle w:val="TableParagraph"/>
              <w:ind w:left="483"/>
              <w:jc w:val="left"/>
              <w:rPr>
                <w:rFonts w:ascii="Calibri"/>
                <w:sz w:val="24"/>
              </w:rPr>
            </w:pPr>
            <w:r>
              <w:rPr>
                <w:rFonts w:ascii="Calibri"/>
                <w:spacing w:val="-2"/>
                <w:sz w:val="24"/>
              </w:rPr>
              <w:t>(.307)</w:t>
            </w:r>
          </w:p>
        </w:tc>
        <w:tc>
          <w:tcPr>
            <w:tcW w:w="1560" w:type="dxa"/>
          </w:tcPr>
          <w:p>
            <w:pPr>
              <w:pStyle w:val="TableParagraph"/>
              <w:spacing w:before="117"/>
              <w:ind w:left="531"/>
              <w:jc w:val="left"/>
              <w:rPr>
                <w:rFonts w:ascii="Calibri"/>
                <w:sz w:val="24"/>
              </w:rPr>
            </w:pPr>
            <w:r>
              <w:rPr>
                <w:rFonts w:ascii="Calibri"/>
                <w:spacing w:val="-2"/>
                <w:sz w:val="24"/>
              </w:rPr>
              <w:t>1.884</w:t>
            </w:r>
          </w:p>
          <w:p>
            <w:pPr>
              <w:pStyle w:val="TableParagraph"/>
              <w:ind w:left="519"/>
              <w:jc w:val="left"/>
              <w:rPr>
                <w:rFonts w:ascii="Calibri"/>
                <w:sz w:val="24"/>
              </w:rPr>
            </w:pPr>
            <w:r>
              <w:rPr>
                <w:rFonts w:ascii="Calibri"/>
                <w:spacing w:val="-2"/>
                <w:sz w:val="24"/>
              </w:rPr>
              <w:t>(.126)</w:t>
            </w:r>
          </w:p>
        </w:tc>
        <w:tc>
          <w:tcPr>
            <w:tcW w:w="1435" w:type="dxa"/>
          </w:tcPr>
          <w:p>
            <w:pPr>
              <w:pStyle w:val="TableParagraph"/>
              <w:spacing w:before="117"/>
              <w:ind w:left="449"/>
              <w:jc w:val="left"/>
              <w:rPr>
                <w:rFonts w:ascii="Calibri"/>
                <w:sz w:val="24"/>
              </w:rPr>
            </w:pPr>
            <w:r>
              <w:rPr>
                <w:rFonts w:ascii="Calibri"/>
                <w:spacing w:val="-2"/>
                <w:sz w:val="24"/>
              </w:rPr>
              <w:t>1.452</w:t>
            </w:r>
          </w:p>
          <w:p>
            <w:pPr>
              <w:pStyle w:val="TableParagraph"/>
              <w:ind w:left="437"/>
              <w:jc w:val="left"/>
              <w:rPr>
                <w:rFonts w:ascii="Calibri"/>
                <w:sz w:val="24"/>
              </w:rPr>
            </w:pPr>
            <w:r>
              <w:rPr>
                <w:rFonts w:ascii="Calibri"/>
                <w:spacing w:val="-2"/>
                <w:sz w:val="24"/>
              </w:rPr>
              <w:t>(.229)</w:t>
            </w:r>
          </w:p>
        </w:tc>
        <w:tc>
          <w:tcPr>
            <w:tcW w:w="1635" w:type="dxa"/>
          </w:tcPr>
          <w:p>
            <w:pPr>
              <w:pStyle w:val="TableParagraph"/>
              <w:spacing w:before="117"/>
              <w:ind w:left="534"/>
              <w:jc w:val="left"/>
              <w:rPr>
                <w:rFonts w:ascii="Calibri"/>
                <w:sz w:val="24"/>
              </w:rPr>
            </w:pPr>
            <w:r>
              <w:rPr>
                <w:rFonts w:ascii="Calibri"/>
                <w:spacing w:val="-2"/>
                <w:sz w:val="24"/>
              </w:rPr>
              <w:t>1.049</w:t>
            </w:r>
          </w:p>
          <w:p>
            <w:pPr>
              <w:pStyle w:val="TableParagraph"/>
              <w:ind w:left="522"/>
              <w:jc w:val="left"/>
              <w:rPr>
                <w:rFonts w:ascii="Calibri"/>
                <w:sz w:val="24"/>
              </w:rPr>
            </w:pPr>
            <w:r>
              <w:rPr>
                <w:rFonts w:ascii="Calibri"/>
                <w:spacing w:val="-2"/>
                <w:sz w:val="24"/>
              </w:rPr>
              <w:t>(.390)</w:t>
            </w:r>
          </w:p>
        </w:tc>
        <w:tc>
          <w:tcPr>
            <w:tcW w:w="1694" w:type="dxa"/>
          </w:tcPr>
          <w:p>
            <w:pPr>
              <w:pStyle w:val="TableParagraph"/>
              <w:spacing w:before="117"/>
              <w:ind w:left="1" w:right="14"/>
              <w:rPr>
                <w:rFonts w:ascii="Calibri"/>
                <w:sz w:val="24"/>
              </w:rPr>
            </w:pPr>
            <w:r>
              <w:rPr>
                <w:rFonts w:ascii="Calibri"/>
                <w:spacing w:val="-2"/>
                <w:sz w:val="24"/>
              </w:rPr>
              <w:t>1.058</w:t>
            </w:r>
          </w:p>
          <w:p>
            <w:pPr>
              <w:pStyle w:val="TableParagraph"/>
              <w:ind w:right="14"/>
              <w:rPr>
                <w:rFonts w:ascii="Calibri"/>
                <w:sz w:val="24"/>
              </w:rPr>
            </w:pPr>
            <w:r>
              <w:rPr>
                <w:rFonts w:ascii="Calibri"/>
                <w:spacing w:val="-2"/>
                <w:sz w:val="24"/>
              </w:rPr>
              <w:t>(.386)</w:t>
            </w:r>
          </w:p>
        </w:tc>
      </w:tr>
      <w:tr>
        <w:trPr>
          <w:trHeight w:val="429" w:hRule="atLeast"/>
        </w:trPr>
        <w:tc>
          <w:tcPr>
            <w:tcW w:w="1504" w:type="dxa"/>
          </w:tcPr>
          <w:p>
            <w:pPr>
              <w:pStyle w:val="TableParagraph"/>
              <w:spacing w:line="277" w:lineRule="exact"/>
              <w:ind w:left="25" w:right="54"/>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G2</w:t>
            </w:r>
          </w:p>
        </w:tc>
        <w:tc>
          <w:tcPr>
            <w:tcW w:w="1539" w:type="dxa"/>
          </w:tcPr>
          <w:p>
            <w:pPr>
              <w:pStyle w:val="TableParagraph"/>
              <w:spacing w:before="80"/>
              <w:rPr>
                <w:rFonts w:ascii="Calibri"/>
                <w:sz w:val="24"/>
              </w:rPr>
            </w:pPr>
            <w:r>
              <w:rPr>
                <w:rFonts w:ascii="Calibri"/>
                <w:spacing w:val="-2"/>
                <w:sz w:val="24"/>
              </w:rPr>
              <w:t>0.909</w:t>
            </w:r>
          </w:p>
        </w:tc>
        <w:tc>
          <w:tcPr>
            <w:tcW w:w="1560" w:type="dxa"/>
          </w:tcPr>
          <w:p>
            <w:pPr>
              <w:pStyle w:val="TableParagraph"/>
              <w:spacing w:before="80"/>
              <w:ind w:left="55" w:right="5"/>
              <w:rPr>
                <w:rFonts w:ascii="Calibri"/>
                <w:sz w:val="24"/>
              </w:rPr>
            </w:pPr>
            <w:r>
              <w:rPr>
                <w:rFonts w:ascii="Calibri"/>
                <w:spacing w:val="-2"/>
                <w:sz w:val="24"/>
              </w:rPr>
              <w:t>0.190</w:t>
            </w:r>
          </w:p>
        </w:tc>
        <w:tc>
          <w:tcPr>
            <w:tcW w:w="1435" w:type="dxa"/>
          </w:tcPr>
          <w:p>
            <w:pPr>
              <w:pStyle w:val="TableParagraph"/>
              <w:spacing w:before="80"/>
              <w:ind w:left="17"/>
              <w:rPr>
                <w:rFonts w:ascii="Calibri"/>
                <w:sz w:val="24"/>
              </w:rPr>
            </w:pPr>
            <w:r>
              <w:rPr>
                <w:rFonts w:ascii="Calibri"/>
                <w:spacing w:val="-2"/>
                <w:sz w:val="24"/>
              </w:rPr>
              <w:t>0.032</w:t>
            </w:r>
            <w:r>
              <w:rPr>
                <w:rFonts w:ascii="Calibri"/>
                <w:spacing w:val="-2"/>
                <w:sz w:val="24"/>
                <w:vertAlign w:val="superscript"/>
              </w:rPr>
              <w:t>*</w:t>
            </w:r>
          </w:p>
        </w:tc>
        <w:tc>
          <w:tcPr>
            <w:tcW w:w="1635" w:type="dxa"/>
          </w:tcPr>
          <w:p>
            <w:pPr>
              <w:pStyle w:val="TableParagraph"/>
              <w:spacing w:before="80"/>
              <w:ind w:right="16"/>
              <w:rPr>
                <w:rFonts w:ascii="Calibri"/>
                <w:sz w:val="24"/>
              </w:rPr>
            </w:pPr>
            <w:r>
              <w:rPr>
                <w:rFonts w:ascii="Calibri"/>
                <w:spacing w:val="-2"/>
                <w:sz w:val="24"/>
              </w:rPr>
              <w:t>0.144</w:t>
            </w:r>
          </w:p>
        </w:tc>
        <w:tc>
          <w:tcPr>
            <w:tcW w:w="1694" w:type="dxa"/>
          </w:tcPr>
          <w:p>
            <w:pPr>
              <w:pStyle w:val="TableParagraph"/>
              <w:spacing w:before="80"/>
              <w:ind w:left="1" w:right="14"/>
              <w:rPr>
                <w:rFonts w:ascii="Calibri"/>
                <w:sz w:val="24"/>
              </w:rPr>
            </w:pPr>
            <w:r>
              <w:rPr>
                <w:rFonts w:ascii="Calibri"/>
                <w:spacing w:val="-2"/>
                <w:sz w:val="24"/>
              </w:rPr>
              <w:t>0.961</w:t>
            </w:r>
          </w:p>
        </w:tc>
      </w:tr>
      <w:tr>
        <w:trPr>
          <w:trHeight w:val="443" w:hRule="atLeast"/>
        </w:trPr>
        <w:tc>
          <w:tcPr>
            <w:tcW w:w="1504" w:type="dxa"/>
          </w:tcPr>
          <w:p>
            <w:pPr>
              <w:pStyle w:val="TableParagraph"/>
              <w:spacing w:before="12"/>
              <w:ind w:left="25" w:right="54"/>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G3</w:t>
            </w:r>
          </w:p>
        </w:tc>
        <w:tc>
          <w:tcPr>
            <w:tcW w:w="1539" w:type="dxa"/>
          </w:tcPr>
          <w:p>
            <w:pPr>
              <w:pStyle w:val="TableParagraph"/>
              <w:spacing w:before="99"/>
              <w:rPr>
                <w:rFonts w:ascii="Calibri"/>
                <w:sz w:val="24"/>
              </w:rPr>
            </w:pPr>
            <w:r>
              <w:rPr>
                <w:rFonts w:ascii="Calibri"/>
                <w:spacing w:val="-2"/>
                <w:sz w:val="24"/>
              </w:rPr>
              <w:t>0.945</w:t>
            </w:r>
          </w:p>
        </w:tc>
        <w:tc>
          <w:tcPr>
            <w:tcW w:w="1560" w:type="dxa"/>
          </w:tcPr>
          <w:p>
            <w:pPr>
              <w:pStyle w:val="TableParagraph"/>
              <w:spacing w:before="99"/>
              <w:ind w:left="55"/>
              <w:rPr>
                <w:rFonts w:ascii="Calibri"/>
                <w:sz w:val="24"/>
              </w:rPr>
            </w:pPr>
            <w:r>
              <w:rPr>
                <w:rFonts w:ascii="Calibri"/>
                <w:spacing w:val="-2"/>
                <w:sz w:val="24"/>
              </w:rPr>
              <w:t>0.035</w:t>
            </w:r>
            <w:r>
              <w:rPr>
                <w:rFonts w:ascii="Calibri"/>
                <w:spacing w:val="-2"/>
                <w:sz w:val="24"/>
                <w:vertAlign w:val="superscript"/>
              </w:rPr>
              <w:t>*</w:t>
            </w:r>
          </w:p>
        </w:tc>
        <w:tc>
          <w:tcPr>
            <w:tcW w:w="1435" w:type="dxa"/>
          </w:tcPr>
          <w:p>
            <w:pPr>
              <w:pStyle w:val="TableParagraph"/>
              <w:spacing w:before="99"/>
              <w:ind w:left="17" w:right="5"/>
              <w:rPr>
                <w:rFonts w:ascii="Calibri"/>
                <w:sz w:val="24"/>
              </w:rPr>
            </w:pPr>
            <w:r>
              <w:rPr>
                <w:rFonts w:ascii="Calibri"/>
                <w:spacing w:val="-2"/>
                <w:sz w:val="24"/>
              </w:rPr>
              <w:t>0.631</w:t>
            </w:r>
          </w:p>
        </w:tc>
        <w:tc>
          <w:tcPr>
            <w:tcW w:w="1635" w:type="dxa"/>
          </w:tcPr>
          <w:p>
            <w:pPr>
              <w:pStyle w:val="TableParagraph"/>
              <w:spacing w:before="99"/>
              <w:ind w:right="16"/>
              <w:rPr>
                <w:rFonts w:ascii="Calibri"/>
                <w:sz w:val="24"/>
              </w:rPr>
            </w:pPr>
            <w:r>
              <w:rPr>
                <w:rFonts w:ascii="Calibri"/>
                <w:spacing w:val="-2"/>
                <w:sz w:val="24"/>
              </w:rPr>
              <w:t>0.975</w:t>
            </w:r>
          </w:p>
        </w:tc>
        <w:tc>
          <w:tcPr>
            <w:tcW w:w="1694" w:type="dxa"/>
          </w:tcPr>
          <w:p>
            <w:pPr>
              <w:pStyle w:val="TableParagraph"/>
              <w:spacing w:before="99"/>
              <w:ind w:left="1" w:right="14"/>
              <w:rPr>
                <w:rFonts w:ascii="Calibri"/>
                <w:sz w:val="24"/>
              </w:rPr>
            </w:pPr>
            <w:r>
              <w:rPr>
                <w:rFonts w:ascii="Calibri"/>
                <w:spacing w:val="-2"/>
                <w:sz w:val="24"/>
              </w:rPr>
              <w:t>0.950</w:t>
            </w:r>
          </w:p>
        </w:tc>
      </w:tr>
      <w:tr>
        <w:trPr>
          <w:trHeight w:val="501" w:hRule="atLeast"/>
        </w:trPr>
        <w:tc>
          <w:tcPr>
            <w:tcW w:w="1504" w:type="dxa"/>
          </w:tcPr>
          <w:p>
            <w:pPr>
              <w:pStyle w:val="TableParagraph"/>
              <w:spacing w:before="8"/>
              <w:ind w:left="25" w:right="54"/>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G4</w:t>
            </w:r>
          </w:p>
        </w:tc>
        <w:tc>
          <w:tcPr>
            <w:tcW w:w="1539" w:type="dxa"/>
          </w:tcPr>
          <w:p>
            <w:pPr>
              <w:pStyle w:val="TableParagraph"/>
              <w:spacing w:before="135"/>
              <w:rPr>
                <w:rFonts w:ascii="Calibri"/>
                <w:sz w:val="24"/>
              </w:rPr>
            </w:pPr>
            <w:r>
              <w:rPr>
                <w:rFonts w:ascii="Calibri"/>
                <w:spacing w:val="-2"/>
                <w:sz w:val="24"/>
              </w:rPr>
              <w:t>0.570</w:t>
            </w:r>
          </w:p>
        </w:tc>
        <w:tc>
          <w:tcPr>
            <w:tcW w:w="1560" w:type="dxa"/>
          </w:tcPr>
          <w:p>
            <w:pPr>
              <w:pStyle w:val="TableParagraph"/>
              <w:spacing w:before="135"/>
              <w:ind w:left="55" w:right="5"/>
              <w:rPr>
                <w:rFonts w:ascii="Calibri"/>
                <w:sz w:val="24"/>
              </w:rPr>
            </w:pPr>
            <w:r>
              <w:rPr>
                <w:rFonts w:ascii="Calibri"/>
                <w:spacing w:val="-2"/>
                <w:sz w:val="24"/>
              </w:rPr>
              <w:t>0.164</w:t>
            </w:r>
          </w:p>
        </w:tc>
        <w:tc>
          <w:tcPr>
            <w:tcW w:w="1435" w:type="dxa"/>
          </w:tcPr>
          <w:p>
            <w:pPr>
              <w:pStyle w:val="TableParagraph"/>
              <w:spacing w:before="135"/>
              <w:ind w:left="17" w:right="5"/>
              <w:rPr>
                <w:rFonts w:ascii="Calibri"/>
                <w:sz w:val="24"/>
              </w:rPr>
            </w:pPr>
            <w:r>
              <w:rPr>
                <w:rFonts w:ascii="Calibri"/>
                <w:spacing w:val="-2"/>
                <w:sz w:val="24"/>
              </w:rPr>
              <w:t>0.210</w:t>
            </w:r>
          </w:p>
        </w:tc>
        <w:tc>
          <w:tcPr>
            <w:tcW w:w="1635" w:type="dxa"/>
          </w:tcPr>
          <w:p>
            <w:pPr>
              <w:pStyle w:val="TableParagraph"/>
              <w:spacing w:before="135"/>
              <w:ind w:left="5" w:right="16"/>
              <w:rPr>
                <w:rFonts w:ascii="Calibri"/>
                <w:sz w:val="24"/>
              </w:rPr>
            </w:pPr>
            <w:r>
              <w:rPr>
                <w:rFonts w:ascii="Calibri"/>
                <w:spacing w:val="-2"/>
                <w:sz w:val="24"/>
              </w:rPr>
              <w:t>0.011</w:t>
            </w:r>
            <w:r>
              <w:rPr>
                <w:rFonts w:ascii="Calibri"/>
                <w:spacing w:val="-2"/>
                <w:sz w:val="24"/>
                <w:vertAlign w:val="superscript"/>
              </w:rPr>
              <w:t>*</w:t>
            </w:r>
          </w:p>
        </w:tc>
        <w:tc>
          <w:tcPr>
            <w:tcW w:w="1694" w:type="dxa"/>
          </w:tcPr>
          <w:p>
            <w:pPr>
              <w:pStyle w:val="TableParagraph"/>
              <w:spacing w:before="135"/>
              <w:ind w:left="1" w:right="14"/>
              <w:rPr>
                <w:rFonts w:ascii="Calibri"/>
                <w:sz w:val="24"/>
              </w:rPr>
            </w:pPr>
            <w:r>
              <w:rPr>
                <w:rFonts w:ascii="Calibri"/>
                <w:spacing w:val="-2"/>
                <w:sz w:val="24"/>
              </w:rPr>
              <w:t>0.818</w:t>
            </w:r>
          </w:p>
        </w:tc>
      </w:tr>
      <w:tr>
        <w:trPr>
          <w:trHeight w:val="468" w:hRule="atLeast"/>
        </w:trPr>
        <w:tc>
          <w:tcPr>
            <w:tcW w:w="1504" w:type="dxa"/>
          </w:tcPr>
          <w:p>
            <w:pPr>
              <w:pStyle w:val="TableParagraph"/>
              <w:spacing w:before="29"/>
              <w:ind w:left="25" w:right="54"/>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G5</w:t>
            </w:r>
          </w:p>
        </w:tc>
        <w:tc>
          <w:tcPr>
            <w:tcW w:w="1539" w:type="dxa"/>
          </w:tcPr>
          <w:p>
            <w:pPr>
              <w:pStyle w:val="TableParagraph"/>
              <w:spacing w:before="121"/>
              <w:rPr>
                <w:rFonts w:ascii="Calibri"/>
                <w:sz w:val="24"/>
              </w:rPr>
            </w:pPr>
            <w:r>
              <w:rPr>
                <w:rFonts w:ascii="Calibri"/>
                <w:spacing w:val="-2"/>
                <w:sz w:val="24"/>
              </w:rPr>
              <w:t>0.339</w:t>
            </w:r>
          </w:p>
        </w:tc>
        <w:tc>
          <w:tcPr>
            <w:tcW w:w="1560" w:type="dxa"/>
          </w:tcPr>
          <w:p>
            <w:pPr>
              <w:pStyle w:val="TableParagraph"/>
              <w:spacing w:before="121"/>
              <w:ind w:left="55" w:right="5"/>
              <w:rPr>
                <w:rFonts w:ascii="Calibri"/>
                <w:sz w:val="24"/>
              </w:rPr>
            </w:pPr>
            <w:r>
              <w:rPr>
                <w:rFonts w:ascii="Calibri"/>
                <w:spacing w:val="-2"/>
                <w:sz w:val="24"/>
              </w:rPr>
              <w:t>0.790</w:t>
            </w:r>
          </w:p>
        </w:tc>
        <w:tc>
          <w:tcPr>
            <w:tcW w:w="1435" w:type="dxa"/>
          </w:tcPr>
          <w:p>
            <w:pPr>
              <w:pStyle w:val="TableParagraph"/>
              <w:spacing w:before="121"/>
              <w:ind w:left="17" w:right="5"/>
              <w:rPr>
                <w:rFonts w:ascii="Calibri"/>
                <w:sz w:val="24"/>
              </w:rPr>
            </w:pPr>
            <w:r>
              <w:rPr>
                <w:rFonts w:ascii="Calibri"/>
                <w:spacing w:val="-2"/>
                <w:sz w:val="24"/>
              </w:rPr>
              <w:t>0.899</w:t>
            </w:r>
          </w:p>
        </w:tc>
        <w:tc>
          <w:tcPr>
            <w:tcW w:w="1635" w:type="dxa"/>
          </w:tcPr>
          <w:p>
            <w:pPr>
              <w:pStyle w:val="TableParagraph"/>
              <w:spacing w:before="121"/>
              <w:ind w:right="16"/>
              <w:rPr>
                <w:rFonts w:ascii="Calibri"/>
                <w:sz w:val="24"/>
              </w:rPr>
            </w:pPr>
            <w:r>
              <w:rPr>
                <w:rFonts w:ascii="Calibri"/>
                <w:spacing w:val="-2"/>
                <w:sz w:val="24"/>
              </w:rPr>
              <w:t>0.660</w:t>
            </w:r>
          </w:p>
        </w:tc>
        <w:tc>
          <w:tcPr>
            <w:tcW w:w="1694" w:type="dxa"/>
          </w:tcPr>
          <w:p>
            <w:pPr>
              <w:pStyle w:val="TableParagraph"/>
              <w:spacing w:before="121"/>
              <w:ind w:left="1" w:right="14"/>
              <w:rPr>
                <w:rFonts w:ascii="Calibri"/>
                <w:sz w:val="24"/>
              </w:rPr>
            </w:pPr>
            <w:r>
              <w:rPr>
                <w:rFonts w:ascii="Calibri"/>
                <w:spacing w:val="-2"/>
                <w:sz w:val="24"/>
              </w:rPr>
              <w:t>0.997</w:t>
            </w:r>
          </w:p>
        </w:tc>
      </w:tr>
      <w:tr>
        <w:trPr>
          <w:trHeight w:val="457" w:hRule="atLeast"/>
        </w:trPr>
        <w:tc>
          <w:tcPr>
            <w:tcW w:w="1504" w:type="dxa"/>
          </w:tcPr>
          <w:p>
            <w:pPr>
              <w:pStyle w:val="TableParagraph"/>
              <w:spacing w:before="10"/>
              <w:ind w:left="25" w:right="54"/>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G3</w:t>
            </w:r>
          </w:p>
        </w:tc>
        <w:tc>
          <w:tcPr>
            <w:tcW w:w="1539" w:type="dxa"/>
          </w:tcPr>
          <w:p>
            <w:pPr>
              <w:pStyle w:val="TableParagraph"/>
              <w:spacing w:before="106"/>
              <w:rPr>
                <w:rFonts w:ascii="Calibri"/>
                <w:sz w:val="24"/>
              </w:rPr>
            </w:pPr>
            <w:r>
              <w:rPr>
                <w:rFonts w:ascii="Calibri"/>
                <w:spacing w:val="-2"/>
                <w:sz w:val="24"/>
              </w:rPr>
              <w:t>0.999</w:t>
            </w:r>
          </w:p>
        </w:tc>
        <w:tc>
          <w:tcPr>
            <w:tcW w:w="1560" w:type="dxa"/>
          </w:tcPr>
          <w:p>
            <w:pPr>
              <w:pStyle w:val="TableParagraph"/>
              <w:spacing w:before="106"/>
              <w:ind w:left="55" w:right="5"/>
              <w:rPr>
                <w:rFonts w:ascii="Calibri"/>
                <w:sz w:val="24"/>
              </w:rPr>
            </w:pPr>
            <w:r>
              <w:rPr>
                <w:rFonts w:ascii="Calibri"/>
                <w:spacing w:val="-2"/>
                <w:sz w:val="24"/>
              </w:rPr>
              <w:t>0.787</w:t>
            </w:r>
          </w:p>
        </w:tc>
        <w:tc>
          <w:tcPr>
            <w:tcW w:w="1435" w:type="dxa"/>
          </w:tcPr>
          <w:p>
            <w:pPr>
              <w:pStyle w:val="TableParagraph"/>
              <w:spacing w:before="106"/>
              <w:ind w:left="17" w:right="5"/>
              <w:rPr>
                <w:rFonts w:ascii="Calibri"/>
                <w:sz w:val="24"/>
              </w:rPr>
            </w:pPr>
            <w:r>
              <w:rPr>
                <w:rFonts w:ascii="Calibri"/>
                <w:spacing w:val="-2"/>
                <w:sz w:val="24"/>
              </w:rPr>
              <w:t>0.454</w:t>
            </w:r>
          </w:p>
        </w:tc>
        <w:tc>
          <w:tcPr>
            <w:tcW w:w="1635" w:type="dxa"/>
          </w:tcPr>
          <w:p>
            <w:pPr>
              <w:pStyle w:val="TableParagraph"/>
              <w:spacing w:before="106"/>
              <w:ind w:right="16"/>
              <w:rPr>
                <w:rFonts w:ascii="Calibri"/>
                <w:sz w:val="24"/>
              </w:rPr>
            </w:pPr>
            <w:r>
              <w:rPr>
                <w:rFonts w:ascii="Calibri"/>
                <w:spacing w:val="-2"/>
                <w:sz w:val="24"/>
              </w:rPr>
              <w:t>0.761</w:t>
            </w:r>
          </w:p>
        </w:tc>
        <w:tc>
          <w:tcPr>
            <w:tcW w:w="1694" w:type="dxa"/>
          </w:tcPr>
          <w:p>
            <w:pPr>
              <w:pStyle w:val="TableParagraph"/>
              <w:spacing w:before="106"/>
              <w:ind w:left="1" w:right="14"/>
              <w:rPr>
                <w:rFonts w:ascii="Calibri"/>
                <w:sz w:val="24"/>
              </w:rPr>
            </w:pPr>
            <w:r>
              <w:rPr>
                <w:rFonts w:ascii="Calibri"/>
                <w:spacing w:val="-2"/>
                <w:sz w:val="24"/>
              </w:rPr>
              <w:t>1.000</w:t>
            </w:r>
          </w:p>
        </w:tc>
      </w:tr>
      <w:tr>
        <w:trPr>
          <w:trHeight w:val="452" w:hRule="atLeast"/>
        </w:trPr>
        <w:tc>
          <w:tcPr>
            <w:tcW w:w="1504" w:type="dxa"/>
          </w:tcPr>
          <w:p>
            <w:pPr>
              <w:pStyle w:val="TableParagraph"/>
              <w:spacing w:before="14"/>
              <w:ind w:left="25" w:right="54"/>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G4</w:t>
            </w:r>
          </w:p>
        </w:tc>
        <w:tc>
          <w:tcPr>
            <w:tcW w:w="1539" w:type="dxa"/>
          </w:tcPr>
          <w:p>
            <w:pPr>
              <w:pStyle w:val="TableParagraph"/>
              <w:spacing w:before="105"/>
              <w:rPr>
                <w:rFonts w:ascii="Calibri"/>
                <w:sz w:val="24"/>
              </w:rPr>
            </w:pPr>
            <w:r>
              <w:rPr>
                <w:rFonts w:ascii="Calibri"/>
                <w:spacing w:val="-2"/>
                <w:sz w:val="24"/>
              </w:rPr>
              <w:t>0.838</w:t>
            </w:r>
          </w:p>
        </w:tc>
        <w:tc>
          <w:tcPr>
            <w:tcW w:w="1560" w:type="dxa"/>
          </w:tcPr>
          <w:p>
            <w:pPr>
              <w:pStyle w:val="TableParagraph"/>
              <w:spacing w:before="105"/>
              <w:ind w:left="55" w:right="5"/>
              <w:rPr>
                <w:rFonts w:ascii="Calibri"/>
                <w:sz w:val="24"/>
              </w:rPr>
            </w:pPr>
            <w:r>
              <w:rPr>
                <w:rFonts w:ascii="Calibri"/>
                <w:spacing w:val="-2"/>
                <w:sz w:val="24"/>
              </w:rPr>
              <w:t>0.983</w:t>
            </w:r>
          </w:p>
        </w:tc>
        <w:tc>
          <w:tcPr>
            <w:tcW w:w="1435" w:type="dxa"/>
          </w:tcPr>
          <w:p>
            <w:pPr>
              <w:pStyle w:val="TableParagraph"/>
              <w:spacing w:before="105"/>
              <w:ind w:left="17" w:right="5"/>
              <w:rPr>
                <w:rFonts w:ascii="Calibri"/>
                <w:sz w:val="24"/>
              </w:rPr>
            </w:pPr>
            <w:r>
              <w:rPr>
                <w:rFonts w:ascii="Calibri"/>
                <w:spacing w:val="-2"/>
                <w:sz w:val="24"/>
              </w:rPr>
              <w:t>1.000</w:t>
            </w:r>
          </w:p>
        </w:tc>
        <w:tc>
          <w:tcPr>
            <w:tcW w:w="1635" w:type="dxa"/>
          </w:tcPr>
          <w:p>
            <w:pPr>
              <w:pStyle w:val="TableParagraph"/>
              <w:spacing w:before="105"/>
              <w:ind w:right="16"/>
              <w:rPr>
                <w:rFonts w:ascii="Calibri"/>
                <w:sz w:val="24"/>
              </w:rPr>
            </w:pPr>
            <w:r>
              <w:rPr>
                <w:rFonts w:ascii="Calibri"/>
                <w:spacing w:val="-2"/>
                <w:sz w:val="24"/>
              </w:rPr>
              <w:t>0.622</w:t>
            </w:r>
          </w:p>
        </w:tc>
        <w:tc>
          <w:tcPr>
            <w:tcW w:w="1694" w:type="dxa"/>
          </w:tcPr>
          <w:p>
            <w:pPr>
              <w:pStyle w:val="TableParagraph"/>
              <w:spacing w:before="105"/>
              <w:ind w:left="1" w:right="14"/>
              <w:rPr>
                <w:rFonts w:ascii="Calibri"/>
                <w:sz w:val="24"/>
              </w:rPr>
            </w:pPr>
            <w:r>
              <w:rPr>
                <w:rFonts w:ascii="Calibri"/>
                <w:spacing w:val="-2"/>
                <w:sz w:val="24"/>
              </w:rPr>
              <w:t>0.256</w:t>
            </w:r>
          </w:p>
        </w:tc>
      </w:tr>
      <w:tr>
        <w:trPr>
          <w:trHeight w:val="442" w:hRule="atLeast"/>
        </w:trPr>
        <w:tc>
          <w:tcPr>
            <w:tcW w:w="1504" w:type="dxa"/>
          </w:tcPr>
          <w:p>
            <w:pPr>
              <w:pStyle w:val="TableParagraph"/>
              <w:spacing w:before="10"/>
              <w:ind w:left="25" w:right="54"/>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G5</w:t>
            </w:r>
          </w:p>
        </w:tc>
        <w:tc>
          <w:tcPr>
            <w:tcW w:w="1539" w:type="dxa"/>
          </w:tcPr>
          <w:p>
            <w:pPr>
              <w:pStyle w:val="TableParagraph"/>
              <w:spacing w:before="96"/>
              <w:rPr>
                <w:rFonts w:ascii="Calibri"/>
                <w:sz w:val="24"/>
              </w:rPr>
            </w:pPr>
            <w:r>
              <w:rPr>
                <w:rFonts w:ascii="Calibri"/>
                <w:spacing w:val="-2"/>
                <w:sz w:val="24"/>
              </w:rPr>
              <w:t>0.526</w:t>
            </w:r>
          </w:p>
        </w:tc>
        <w:tc>
          <w:tcPr>
            <w:tcW w:w="1560" w:type="dxa"/>
          </w:tcPr>
          <w:p>
            <w:pPr>
              <w:pStyle w:val="TableParagraph"/>
              <w:spacing w:before="96"/>
              <w:ind w:left="55" w:right="5"/>
              <w:rPr>
                <w:rFonts w:ascii="Calibri"/>
                <w:sz w:val="24"/>
              </w:rPr>
            </w:pPr>
            <w:r>
              <w:rPr>
                <w:rFonts w:ascii="Calibri"/>
                <w:spacing w:val="-2"/>
                <w:sz w:val="24"/>
              </w:rPr>
              <w:t>1.000</w:t>
            </w:r>
          </w:p>
        </w:tc>
        <w:tc>
          <w:tcPr>
            <w:tcW w:w="1435" w:type="dxa"/>
          </w:tcPr>
          <w:p>
            <w:pPr>
              <w:pStyle w:val="TableParagraph"/>
              <w:spacing w:before="96"/>
              <w:ind w:left="17" w:right="5"/>
              <w:rPr>
                <w:rFonts w:ascii="Calibri"/>
                <w:sz w:val="24"/>
              </w:rPr>
            </w:pPr>
            <w:r>
              <w:rPr>
                <w:rFonts w:ascii="Calibri"/>
                <w:spacing w:val="-2"/>
                <w:sz w:val="24"/>
              </w:rPr>
              <w:t>0.999</w:t>
            </w:r>
          </w:p>
        </w:tc>
        <w:tc>
          <w:tcPr>
            <w:tcW w:w="1635" w:type="dxa"/>
          </w:tcPr>
          <w:p>
            <w:pPr>
              <w:pStyle w:val="TableParagraph"/>
              <w:spacing w:before="96"/>
              <w:ind w:right="16"/>
              <w:rPr>
                <w:rFonts w:ascii="Calibri"/>
                <w:sz w:val="24"/>
              </w:rPr>
            </w:pPr>
            <w:r>
              <w:rPr>
                <w:rFonts w:ascii="Calibri"/>
                <w:spacing w:val="-2"/>
                <w:sz w:val="24"/>
              </w:rPr>
              <w:t>1.000</w:t>
            </w:r>
          </w:p>
        </w:tc>
        <w:tc>
          <w:tcPr>
            <w:tcW w:w="1694" w:type="dxa"/>
          </w:tcPr>
          <w:p>
            <w:pPr>
              <w:pStyle w:val="TableParagraph"/>
              <w:spacing w:before="96"/>
              <w:ind w:left="1" w:right="14"/>
              <w:rPr>
                <w:rFonts w:ascii="Calibri"/>
                <w:sz w:val="24"/>
              </w:rPr>
            </w:pPr>
            <w:r>
              <w:rPr>
                <w:rFonts w:ascii="Calibri"/>
                <w:spacing w:val="-2"/>
                <w:sz w:val="24"/>
              </w:rPr>
              <w:t>0.807</w:t>
            </w:r>
          </w:p>
        </w:tc>
      </w:tr>
      <w:tr>
        <w:trPr>
          <w:trHeight w:val="447" w:hRule="atLeast"/>
        </w:trPr>
        <w:tc>
          <w:tcPr>
            <w:tcW w:w="1504" w:type="dxa"/>
          </w:tcPr>
          <w:p>
            <w:pPr>
              <w:pStyle w:val="TableParagraph"/>
              <w:spacing w:before="9"/>
              <w:ind w:left="25" w:right="54"/>
              <w:rPr>
                <w:rFonts w:ascii="Calibri"/>
                <w:b/>
                <w:sz w:val="24"/>
              </w:rPr>
            </w:pPr>
            <w:r>
              <w:rPr>
                <w:rFonts w:ascii="Calibri"/>
                <w:b/>
                <w:sz w:val="24"/>
              </w:rPr>
              <w:t>G3</w:t>
            </w:r>
            <w:r>
              <w:rPr>
                <w:rFonts w:ascii="Calibri"/>
                <w:b/>
                <w:spacing w:val="1"/>
                <w:sz w:val="24"/>
              </w:rPr>
              <w:t> </w:t>
            </w:r>
            <w:r>
              <w:rPr>
                <w:rFonts w:ascii="Calibri"/>
                <w:b/>
                <w:sz w:val="24"/>
              </w:rPr>
              <w:t>vs </w:t>
            </w:r>
            <w:r>
              <w:rPr>
                <w:rFonts w:ascii="Calibri"/>
                <w:b/>
                <w:spacing w:val="-5"/>
                <w:sz w:val="24"/>
              </w:rPr>
              <w:t>G4</w:t>
            </w:r>
          </w:p>
        </w:tc>
        <w:tc>
          <w:tcPr>
            <w:tcW w:w="1539" w:type="dxa"/>
          </w:tcPr>
          <w:p>
            <w:pPr>
              <w:pStyle w:val="TableParagraph"/>
              <w:spacing w:before="100"/>
              <w:rPr>
                <w:rFonts w:ascii="Calibri"/>
                <w:sz w:val="24"/>
              </w:rPr>
            </w:pPr>
            <w:r>
              <w:rPr>
                <w:rFonts w:ascii="Calibri"/>
                <w:spacing w:val="-2"/>
                <w:sz w:val="24"/>
              </w:rPr>
              <w:t>0.733</w:t>
            </w:r>
          </w:p>
        </w:tc>
        <w:tc>
          <w:tcPr>
            <w:tcW w:w="1560" w:type="dxa"/>
          </w:tcPr>
          <w:p>
            <w:pPr>
              <w:pStyle w:val="TableParagraph"/>
              <w:spacing w:before="100"/>
              <w:ind w:left="55" w:right="5"/>
              <w:rPr>
                <w:rFonts w:ascii="Calibri"/>
                <w:sz w:val="24"/>
              </w:rPr>
            </w:pPr>
            <w:r>
              <w:rPr>
                <w:rFonts w:ascii="Calibri"/>
                <w:spacing w:val="-2"/>
                <w:sz w:val="24"/>
              </w:rPr>
              <w:t>0.995</w:t>
            </w:r>
          </w:p>
        </w:tc>
        <w:tc>
          <w:tcPr>
            <w:tcW w:w="1435" w:type="dxa"/>
          </w:tcPr>
          <w:p>
            <w:pPr>
              <w:pStyle w:val="TableParagraph"/>
              <w:spacing w:before="100"/>
              <w:ind w:left="17" w:right="5"/>
              <w:rPr>
                <w:rFonts w:ascii="Calibri"/>
                <w:sz w:val="24"/>
              </w:rPr>
            </w:pPr>
            <w:r>
              <w:rPr>
                <w:rFonts w:ascii="Calibri"/>
                <w:spacing w:val="-2"/>
                <w:sz w:val="24"/>
              </w:rPr>
              <w:t>0.683</w:t>
            </w:r>
          </w:p>
        </w:tc>
        <w:tc>
          <w:tcPr>
            <w:tcW w:w="1635" w:type="dxa"/>
          </w:tcPr>
          <w:p>
            <w:pPr>
              <w:pStyle w:val="TableParagraph"/>
              <w:spacing w:before="100"/>
              <w:ind w:right="16"/>
              <w:rPr>
                <w:rFonts w:ascii="Calibri"/>
                <w:sz w:val="24"/>
              </w:rPr>
            </w:pPr>
            <w:r>
              <w:rPr>
                <w:rFonts w:ascii="Calibri"/>
                <w:spacing w:val="-2"/>
                <w:sz w:val="24"/>
              </w:rPr>
              <w:t>0.173</w:t>
            </w:r>
          </w:p>
        </w:tc>
        <w:tc>
          <w:tcPr>
            <w:tcW w:w="1694" w:type="dxa"/>
          </w:tcPr>
          <w:p>
            <w:pPr>
              <w:pStyle w:val="TableParagraph"/>
              <w:spacing w:before="100"/>
              <w:ind w:left="1" w:right="14"/>
              <w:rPr>
                <w:rFonts w:ascii="Calibri"/>
                <w:sz w:val="24"/>
              </w:rPr>
            </w:pPr>
            <w:r>
              <w:rPr>
                <w:rFonts w:ascii="Calibri"/>
                <w:spacing w:val="-2"/>
                <w:sz w:val="24"/>
              </w:rPr>
              <w:t>0.013</w:t>
            </w:r>
            <w:r>
              <w:rPr>
                <w:rFonts w:ascii="Calibri"/>
                <w:spacing w:val="-2"/>
                <w:sz w:val="24"/>
                <w:vertAlign w:val="superscript"/>
              </w:rPr>
              <w:t>*</w:t>
            </w:r>
          </w:p>
        </w:tc>
      </w:tr>
      <w:tr>
        <w:trPr>
          <w:trHeight w:val="457" w:hRule="atLeast"/>
        </w:trPr>
        <w:tc>
          <w:tcPr>
            <w:tcW w:w="1504" w:type="dxa"/>
          </w:tcPr>
          <w:p>
            <w:pPr>
              <w:pStyle w:val="TableParagraph"/>
              <w:spacing w:before="10"/>
              <w:ind w:left="25" w:right="54"/>
              <w:rPr>
                <w:rFonts w:ascii="Calibri"/>
                <w:b/>
                <w:sz w:val="24"/>
              </w:rPr>
            </w:pPr>
            <w:r>
              <w:rPr>
                <w:rFonts w:ascii="Calibri"/>
                <w:b/>
                <w:sz w:val="24"/>
              </w:rPr>
              <w:t>G3</w:t>
            </w:r>
            <w:r>
              <w:rPr>
                <w:rFonts w:ascii="Calibri"/>
                <w:b/>
                <w:spacing w:val="1"/>
                <w:sz w:val="24"/>
              </w:rPr>
              <w:t> </w:t>
            </w:r>
            <w:r>
              <w:rPr>
                <w:rFonts w:ascii="Calibri"/>
                <w:b/>
                <w:sz w:val="24"/>
              </w:rPr>
              <w:t>vs </w:t>
            </w:r>
            <w:r>
              <w:rPr>
                <w:rFonts w:ascii="Calibri"/>
                <w:b/>
                <w:spacing w:val="-5"/>
                <w:sz w:val="24"/>
              </w:rPr>
              <w:t>G5</w:t>
            </w:r>
          </w:p>
        </w:tc>
        <w:tc>
          <w:tcPr>
            <w:tcW w:w="1539" w:type="dxa"/>
          </w:tcPr>
          <w:p>
            <w:pPr>
              <w:pStyle w:val="TableParagraph"/>
              <w:spacing w:before="106"/>
              <w:rPr>
                <w:rFonts w:ascii="Calibri"/>
                <w:sz w:val="24"/>
              </w:rPr>
            </w:pPr>
            <w:r>
              <w:rPr>
                <w:rFonts w:ascii="Calibri"/>
                <w:spacing w:val="-2"/>
                <w:sz w:val="24"/>
              </w:rPr>
              <w:t>0.448</w:t>
            </w:r>
          </w:p>
        </w:tc>
        <w:tc>
          <w:tcPr>
            <w:tcW w:w="1560" w:type="dxa"/>
          </w:tcPr>
          <w:p>
            <w:pPr>
              <w:pStyle w:val="TableParagraph"/>
              <w:spacing w:before="106"/>
              <w:ind w:left="55" w:right="5"/>
              <w:rPr>
                <w:rFonts w:ascii="Calibri"/>
                <w:sz w:val="24"/>
              </w:rPr>
            </w:pPr>
            <w:r>
              <w:rPr>
                <w:rFonts w:ascii="Calibri"/>
                <w:spacing w:val="-2"/>
                <w:sz w:val="24"/>
              </w:rPr>
              <w:t>0.992</w:t>
            </w:r>
          </w:p>
        </w:tc>
        <w:tc>
          <w:tcPr>
            <w:tcW w:w="1435" w:type="dxa"/>
          </w:tcPr>
          <w:p>
            <w:pPr>
              <w:pStyle w:val="TableParagraph"/>
              <w:spacing w:before="106"/>
              <w:ind w:left="17" w:right="5"/>
              <w:rPr>
                <w:rFonts w:ascii="Calibri"/>
                <w:sz w:val="24"/>
              </w:rPr>
            </w:pPr>
            <w:r>
              <w:rPr>
                <w:rFonts w:ascii="Calibri"/>
                <w:spacing w:val="-2"/>
                <w:sz w:val="24"/>
              </w:rPr>
              <w:t>0.994</w:t>
            </w:r>
          </w:p>
        </w:tc>
        <w:tc>
          <w:tcPr>
            <w:tcW w:w="1635" w:type="dxa"/>
          </w:tcPr>
          <w:p>
            <w:pPr>
              <w:pStyle w:val="TableParagraph"/>
              <w:spacing w:before="106"/>
              <w:ind w:right="16"/>
              <w:rPr>
                <w:rFonts w:ascii="Calibri"/>
                <w:sz w:val="24"/>
              </w:rPr>
            </w:pPr>
            <w:r>
              <w:rPr>
                <w:rFonts w:ascii="Calibri"/>
                <w:spacing w:val="-2"/>
                <w:sz w:val="24"/>
              </w:rPr>
              <w:t>0.919</w:t>
            </w:r>
          </w:p>
        </w:tc>
        <w:tc>
          <w:tcPr>
            <w:tcW w:w="1694" w:type="dxa"/>
          </w:tcPr>
          <w:p>
            <w:pPr>
              <w:pStyle w:val="TableParagraph"/>
              <w:spacing w:before="106"/>
              <w:ind w:left="1" w:right="14"/>
              <w:rPr>
                <w:rFonts w:ascii="Calibri"/>
                <w:sz w:val="24"/>
              </w:rPr>
            </w:pPr>
            <w:r>
              <w:rPr>
                <w:rFonts w:ascii="Calibri"/>
                <w:spacing w:val="-2"/>
                <w:sz w:val="24"/>
              </w:rPr>
              <w:t>0.718</w:t>
            </w:r>
          </w:p>
        </w:tc>
      </w:tr>
      <w:tr>
        <w:trPr>
          <w:trHeight w:val="453" w:hRule="atLeast"/>
        </w:trPr>
        <w:tc>
          <w:tcPr>
            <w:tcW w:w="1504" w:type="dxa"/>
            <w:tcBorders>
              <w:bottom w:val="single" w:sz="8" w:space="0" w:color="000000"/>
            </w:tcBorders>
          </w:tcPr>
          <w:p>
            <w:pPr>
              <w:pStyle w:val="TableParagraph"/>
              <w:spacing w:before="14"/>
              <w:ind w:left="25" w:right="54"/>
              <w:rPr>
                <w:rFonts w:ascii="Calibri"/>
                <w:b/>
                <w:sz w:val="24"/>
              </w:rPr>
            </w:pPr>
            <w:r>
              <w:rPr>
                <w:rFonts w:ascii="Calibri"/>
                <w:b/>
                <w:sz w:val="24"/>
              </w:rPr>
              <w:t>G4</w:t>
            </w:r>
            <w:r>
              <w:rPr>
                <w:rFonts w:ascii="Calibri"/>
                <w:b/>
                <w:spacing w:val="1"/>
                <w:sz w:val="24"/>
              </w:rPr>
              <w:t> </w:t>
            </w:r>
            <w:r>
              <w:rPr>
                <w:rFonts w:ascii="Calibri"/>
                <w:b/>
                <w:sz w:val="24"/>
              </w:rPr>
              <w:t>vs </w:t>
            </w:r>
            <w:r>
              <w:rPr>
                <w:rFonts w:ascii="Calibri"/>
                <w:b/>
                <w:spacing w:val="-5"/>
                <w:sz w:val="24"/>
              </w:rPr>
              <w:t>G5</w:t>
            </w:r>
          </w:p>
        </w:tc>
        <w:tc>
          <w:tcPr>
            <w:tcW w:w="1539" w:type="dxa"/>
            <w:tcBorders>
              <w:bottom w:val="single" w:sz="8" w:space="0" w:color="000000"/>
            </w:tcBorders>
          </w:tcPr>
          <w:p>
            <w:pPr>
              <w:pStyle w:val="TableParagraph"/>
              <w:spacing w:before="14"/>
              <w:rPr>
                <w:rFonts w:ascii="Calibri"/>
                <w:sz w:val="24"/>
              </w:rPr>
            </w:pPr>
            <w:r>
              <w:rPr>
                <w:rFonts w:ascii="Calibri"/>
                <w:spacing w:val="-2"/>
                <w:sz w:val="24"/>
              </w:rPr>
              <w:t>0.981</w:t>
            </w:r>
          </w:p>
        </w:tc>
        <w:tc>
          <w:tcPr>
            <w:tcW w:w="1560" w:type="dxa"/>
            <w:tcBorders>
              <w:bottom w:val="single" w:sz="8" w:space="0" w:color="000000"/>
            </w:tcBorders>
          </w:tcPr>
          <w:p>
            <w:pPr>
              <w:pStyle w:val="TableParagraph"/>
              <w:spacing w:before="14"/>
              <w:ind w:left="55" w:right="5"/>
              <w:rPr>
                <w:rFonts w:ascii="Calibri"/>
                <w:sz w:val="24"/>
              </w:rPr>
            </w:pPr>
            <w:r>
              <w:rPr>
                <w:rFonts w:ascii="Calibri"/>
                <w:spacing w:val="-2"/>
                <w:sz w:val="24"/>
              </w:rPr>
              <w:t>1.000</w:t>
            </w:r>
          </w:p>
        </w:tc>
        <w:tc>
          <w:tcPr>
            <w:tcW w:w="1435" w:type="dxa"/>
            <w:tcBorders>
              <w:bottom w:val="single" w:sz="8" w:space="0" w:color="000000"/>
            </w:tcBorders>
          </w:tcPr>
          <w:p>
            <w:pPr>
              <w:pStyle w:val="TableParagraph"/>
              <w:spacing w:before="14"/>
              <w:ind w:left="17" w:right="5"/>
              <w:rPr>
                <w:rFonts w:ascii="Calibri"/>
                <w:sz w:val="24"/>
              </w:rPr>
            </w:pPr>
            <w:r>
              <w:rPr>
                <w:rFonts w:ascii="Calibri"/>
                <w:spacing w:val="-2"/>
                <w:sz w:val="24"/>
              </w:rPr>
              <w:t>0.998</w:t>
            </w:r>
          </w:p>
        </w:tc>
        <w:tc>
          <w:tcPr>
            <w:tcW w:w="1635" w:type="dxa"/>
            <w:tcBorders>
              <w:bottom w:val="single" w:sz="8" w:space="0" w:color="000000"/>
            </w:tcBorders>
          </w:tcPr>
          <w:p>
            <w:pPr>
              <w:pStyle w:val="TableParagraph"/>
              <w:spacing w:before="14"/>
              <w:ind w:right="16"/>
              <w:rPr>
                <w:rFonts w:ascii="Calibri"/>
                <w:sz w:val="24"/>
              </w:rPr>
            </w:pPr>
            <w:r>
              <w:rPr>
                <w:rFonts w:ascii="Calibri"/>
                <w:spacing w:val="-2"/>
                <w:sz w:val="24"/>
              </w:rPr>
              <w:t>0.846</w:t>
            </w:r>
          </w:p>
        </w:tc>
        <w:tc>
          <w:tcPr>
            <w:tcW w:w="1694" w:type="dxa"/>
            <w:tcBorders>
              <w:bottom w:val="single" w:sz="8" w:space="0" w:color="000000"/>
            </w:tcBorders>
          </w:tcPr>
          <w:p>
            <w:pPr>
              <w:pStyle w:val="TableParagraph"/>
              <w:spacing w:before="14"/>
              <w:ind w:left="1" w:right="14"/>
              <w:rPr>
                <w:rFonts w:ascii="Calibri"/>
                <w:sz w:val="24"/>
              </w:rPr>
            </w:pPr>
            <w:r>
              <w:rPr>
                <w:rFonts w:ascii="Calibri"/>
                <w:spacing w:val="-2"/>
                <w:sz w:val="24"/>
              </w:rPr>
              <w:t>0.923</w:t>
            </w:r>
          </w:p>
        </w:tc>
      </w:tr>
    </w:tbl>
    <w:p>
      <w:pPr>
        <w:spacing w:line="160" w:lineRule="exact" w:before="169"/>
        <w:ind w:left="560" w:right="0" w:firstLine="0"/>
        <w:jc w:val="left"/>
        <w:rPr>
          <w:b/>
          <w:sz w:val="14"/>
        </w:rPr>
      </w:pPr>
      <w:r>
        <w:rPr>
          <w:b/>
          <w:spacing w:val="-5"/>
          <w:sz w:val="14"/>
        </w:rPr>
        <w:t>Key</w:t>
      </w:r>
    </w:p>
    <w:p>
      <w:pPr>
        <w:spacing w:line="160" w:lineRule="exact" w:before="0"/>
        <w:ind w:left="560" w:right="0" w:firstLine="0"/>
        <w:jc w:val="both"/>
        <w:rPr>
          <w:sz w:val="14"/>
        </w:rPr>
      </w:pPr>
      <w:r>
        <w:rPr>
          <w:sz w:val="14"/>
        </w:rPr>
        <w:t>α-level</w:t>
      </w:r>
      <w:r>
        <w:rPr>
          <w:spacing w:val="29"/>
          <w:sz w:val="14"/>
        </w:rPr>
        <w:t> </w:t>
      </w:r>
      <w:r>
        <w:rPr>
          <w:sz w:val="14"/>
        </w:rPr>
        <w:t>set</w:t>
      </w:r>
      <w:r>
        <w:rPr>
          <w:spacing w:val="-2"/>
          <w:sz w:val="14"/>
        </w:rPr>
        <w:t> </w:t>
      </w:r>
      <w:r>
        <w:rPr>
          <w:sz w:val="14"/>
        </w:rPr>
        <w:t>at</w:t>
      </w:r>
      <w:r>
        <w:rPr>
          <w:spacing w:val="-2"/>
          <w:sz w:val="14"/>
        </w:rPr>
        <w:t> </w:t>
      </w:r>
      <w:r>
        <w:rPr>
          <w:spacing w:val="-4"/>
          <w:sz w:val="14"/>
        </w:rPr>
        <w:t>0.05</w:t>
      </w:r>
    </w:p>
    <w:p>
      <w:pPr>
        <w:spacing w:before="0"/>
        <w:ind w:left="560" w:right="8417" w:firstLine="0"/>
        <w:jc w:val="both"/>
        <w:rPr>
          <w:sz w:val="14"/>
        </w:rPr>
      </w:pPr>
      <w:r>
        <w:rPr>
          <w:sz w:val="14"/>
        </w:rPr>
        <w:t>*(P&lt; 0.05) = Significant</w:t>
      </w:r>
      <w:r>
        <w:rPr>
          <w:spacing w:val="40"/>
          <w:sz w:val="14"/>
        </w:rPr>
        <w:t> </w:t>
      </w:r>
      <w:r>
        <w:rPr>
          <w:sz w:val="14"/>
        </w:rPr>
        <w:t>P&gt;</w:t>
      </w:r>
      <w:r>
        <w:rPr>
          <w:spacing w:val="-2"/>
          <w:sz w:val="14"/>
        </w:rPr>
        <w:t> </w:t>
      </w:r>
      <w:r>
        <w:rPr>
          <w:sz w:val="14"/>
        </w:rPr>
        <w:t>0.05=</w:t>
      </w:r>
      <w:r>
        <w:rPr>
          <w:spacing w:val="-1"/>
          <w:sz w:val="14"/>
        </w:rPr>
        <w:t> </w:t>
      </w:r>
      <w:r>
        <w:rPr>
          <w:sz w:val="14"/>
        </w:rPr>
        <w:t>Not</w:t>
      </w:r>
      <w:r>
        <w:rPr>
          <w:spacing w:val="-2"/>
          <w:sz w:val="14"/>
        </w:rPr>
        <w:t> </w:t>
      </w:r>
      <w:r>
        <w:rPr>
          <w:spacing w:val="-2"/>
          <w:sz w:val="14"/>
        </w:rPr>
        <w:t>Significant</w:t>
      </w:r>
    </w:p>
    <w:p>
      <w:pPr>
        <w:spacing w:line="240" w:lineRule="auto" w:before="0"/>
        <w:ind w:left="560" w:right="8128" w:firstLine="0"/>
        <w:jc w:val="both"/>
        <w:rPr>
          <w:sz w:val="14"/>
        </w:rPr>
      </w:pPr>
      <w:r>
        <w:rPr>
          <w:sz w:val="14"/>
        </w:rPr>
        <w:t>G1</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20</w:t>
      </w:r>
      <w:r>
        <w:rPr>
          <w:spacing w:val="-6"/>
          <w:sz w:val="14"/>
        </w:rPr>
        <w:t> </w:t>
      </w:r>
      <w:r>
        <w:rPr>
          <w:sz w:val="14"/>
        </w:rPr>
        <w:t>–</w:t>
      </w:r>
      <w:r>
        <w:rPr>
          <w:spacing w:val="-6"/>
          <w:sz w:val="14"/>
        </w:rPr>
        <w:t> </w:t>
      </w:r>
      <w:r>
        <w:rPr>
          <w:sz w:val="14"/>
        </w:rPr>
        <w:t>24</w:t>
      </w:r>
      <w:r>
        <w:rPr>
          <w:spacing w:val="-4"/>
          <w:sz w:val="14"/>
        </w:rPr>
        <w:t> </w:t>
      </w:r>
      <w:r>
        <w:rPr>
          <w:sz w:val="14"/>
        </w:rPr>
        <w:t>years</w:t>
      </w:r>
      <w:r>
        <w:rPr>
          <w:spacing w:val="40"/>
          <w:sz w:val="14"/>
        </w:rPr>
        <w:t> </w:t>
      </w:r>
      <w:r>
        <w:rPr>
          <w:sz w:val="14"/>
        </w:rPr>
        <w:t>G2</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25</w:t>
      </w:r>
      <w:r>
        <w:rPr>
          <w:spacing w:val="-6"/>
          <w:sz w:val="14"/>
        </w:rPr>
        <w:t> </w:t>
      </w:r>
      <w:r>
        <w:rPr>
          <w:sz w:val="14"/>
        </w:rPr>
        <w:t>–</w:t>
      </w:r>
      <w:r>
        <w:rPr>
          <w:spacing w:val="-6"/>
          <w:sz w:val="14"/>
        </w:rPr>
        <w:t> </w:t>
      </w:r>
      <w:r>
        <w:rPr>
          <w:sz w:val="14"/>
        </w:rPr>
        <w:t>29</w:t>
      </w:r>
      <w:r>
        <w:rPr>
          <w:spacing w:val="-4"/>
          <w:sz w:val="14"/>
        </w:rPr>
        <w:t> </w:t>
      </w:r>
      <w:r>
        <w:rPr>
          <w:sz w:val="14"/>
        </w:rPr>
        <w:t>years</w:t>
      </w:r>
      <w:r>
        <w:rPr>
          <w:spacing w:val="40"/>
          <w:sz w:val="14"/>
        </w:rPr>
        <w:t> </w:t>
      </w:r>
      <w:r>
        <w:rPr>
          <w:sz w:val="14"/>
        </w:rPr>
        <w:t>G3</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30</w:t>
      </w:r>
      <w:r>
        <w:rPr>
          <w:spacing w:val="-6"/>
          <w:sz w:val="14"/>
        </w:rPr>
        <w:t> </w:t>
      </w:r>
      <w:r>
        <w:rPr>
          <w:sz w:val="14"/>
        </w:rPr>
        <w:t>–</w:t>
      </w:r>
      <w:r>
        <w:rPr>
          <w:spacing w:val="-6"/>
          <w:sz w:val="14"/>
        </w:rPr>
        <w:t> </w:t>
      </w:r>
      <w:r>
        <w:rPr>
          <w:sz w:val="14"/>
        </w:rPr>
        <w:t>34</w:t>
      </w:r>
      <w:r>
        <w:rPr>
          <w:spacing w:val="-4"/>
          <w:sz w:val="14"/>
        </w:rPr>
        <w:t> </w:t>
      </w:r>
      <w:r>
        <w:rPr>
          <w:sz w:val="14"/>
        </w:rPr>
        <w:t>years</w:t>
      </w:r>
      <w:r>
        <w:rPr>
          <w:spacing w:val="40"/>
          <w:sz w:val="14"/>
        </w:rPr>
        <w:t> </w:t>
      </w:r>
      <w:r>
        <w:rPr>
          <w:sz w:val="14"/>
        </w:rPr>
        <w:t>G4</w:t>
      </w:r>
      <w:r>
        <w:rPr>
          <w:spacing w:val="-6"/>
          <w:sz w:val="14"/>
        </w:rPr>
        <w:t> </w:t>
      </w:r>
      <w:r>
        <w:rPr>
          <w:sz w:val="14"/>
        </w:rPr>
        <w:t>=</w:t>
      </w:r>
      <w:r>
        <w:rPr>
          <w:spacing w:val="-6"/>
          <w:sz w:val="14"/>
        </w:rPr>
        <w:t> </w:t>
      </w:r>
      <w:r>
        <w:rPr>
          <w:sz w:val="14"/>
        </w:rPr>
        <w:t>Age</w:t>
      </w:r>
      <w:r>
        <w:rPr>
          <w:spacing w:val="-6"/>
          <w:sz w:val="14"/>
        </w:rPr>
        <w:t> </w:t>
      </w:r>
      <w:r>
        <w:rPr>
          <w:sz w:val="14"/>
        </w:rPr>
        <w:t>group</w:t>
      </w:r>
      <w:r>
        <w:rPr>
          <w:spacing w:val="-7"/>
          <w:sz w:val="14"/>
        </w:rPr>
        <w:t> </w:t>
      </w:r>
      <w:r>
        <w:rPr>
          <w:sz w:val="14"/>
        </w:rPr>
        <w:t>35</w:t>
      </w:r>
      <w:r>
        <w:rPr>
          <w:spacing w:val="-6"/>
          <w:sz w:val="14"/>
        </w:rPr>
        <w:t> </w:t>
      </w:r>
      <w:r>
        <w:rPr>
          <w:sz w:val="14"/>
        </w:rPr>
        <w:t>–</w:t>
      </w:r>
      <w:r>
        <w:rPr>
          <w:spacing w:val="-6"/>
          <w:sz w:val="14"/>
        </w:rPr>
        <w:t> </w:t>
      </w:r>
      <w:r>
        <w:rPr>
          <w:sz w:val="14"/>
        </w:rPr>
        <w:t>39</w:t>
      </w:r>
      <w:r>
        <w:rPr>
          <w:spacing w:val="-4"/>
          <w:sz w:val="14"/>
        </w:rPr>
        <w:t> </w:t>
      </w:r>
      <w:r>
        <w:rPr>
          <w:sz w:val="14"/>
        </w:rPr>
        <w:t>years</w:t>
      </w:r>
      <w:r>
        <w:rPr>
          <w:spacing w:val="40"/>
          <w:sz w:val="14"/>
        </w:rPr>
        <w:t> </w:t>
      </w:r>
      <w:r>
        <w:rPr>
          <w:sz w:val="14"/>
        </w:rPr>
        <w:t>G5</w:t>
      </w:r>
      <w:r>
        <w:rPr>
          <w:spacing w:val="-2"/>
          <w:sz w:val="14"/>
        </w:rPr>
        <w:t> </w:t>
      </w:r>
      <w:r>
        <w:rPr>
          <w:sz w:val="14"/>
        </w:rPr>
        <w:t>=</w:t>
      </w:r>
      <w:r>
        <w:rPr>
          <w:spacing w:val="-1"/>
          <w:sz w:val="14"/>
        </w:rPr>
        <w:t> </w:t>
      </w:r>
      <w:r>
        <w:rPr>
          <w:sz w:val="14"/>
        </w:rPr>
        <w:t>Age</w:t>
      </w:r>
      <w:r>
        <w:rPr>
          <w:spacing w:val="-2"/>
          <w:sz w:val="14"/>
        </w:rPr>
        <w:t> </w:t>
      </w:r>
      <w:r>
        <w:rPr>
          <w:sz w:val="14"/>
        </w:rPr>
        <w:t>group</w:t>
      </w:r>
      <w:r>
        <w:rPr>
          <w:spacing w:val="-2"/>
          <w:sz w:val="14"/>
        </w:rPr>
        <w:t> </w:t>
      </w:r>
      <w:r>
        <w:rPr>
          <w:sz w:val="14"/>
        </w:rPr>
        <w:t>40</w:t>
      </w:r>
      <w:r>
        <w:rPr>
          <w:spacing w:val="-1"/>
          <w:sz w:val="14"/>
        </w:rPr>
        <w:t> </w:t>
      </w:r>
      <w:r>
        <w:rPr>
          <w:sz w:val="14"/>
        </w:rPr>
        <w:t>–</w:t>
      </w:r>
      <w:r>
        <w:rPr>
          <w:spacing w:val="-2"/>
          <w:sz w:val="14"/>
        </w:rPr>
        <w:t> </w:t>
      </w:r>
      <w:r>
        <w:rPr>
          <w:sz w:val="14"/>
        </w:rPr>
        <w:t>44</w:t>
      </w:r>
      <w:r>
        <w:rPr>
          <w:spacing w:val="1"/>
          <w:sz w:val="14"/>
        </w:rPr>
        <w:t> </w:t>
      </w:r>
      <w:r>
        <w:rPr>
          <w:spacing w:val="-4"/>
          <w:sz w:val="14"/>
        </w:rPr>
        <w:t>years</w:t>
      </w:r>
    </w:p>
    <w:p>
      <w:pPr>
        <w:spacing w:after="0" w:line="240" w:lineRule="auto"/>
        <w:jc w:val="both"/>
        <w:rPr>
          <w:sz w:val="14"/>
        </w:rPr>
        <w:sectPr>
          <w:pgSz w:w="11910" w:h="16840"/>
          <w:pgMar w:header="0" w:footer="1067" w:top="1060" w:bottom="1260" w:left="880" w:right="640"/>
        </w:sectPr>
      </w:pPr>
    </w:p>
    <w:p>
      <w:pPr>
        <w:spacing w:before="79"/>
        <w:ind w:left="4372" w:right="0" w:firstLine="0"/>
        <w:jc w:val="left"/>
        <w:rPr>
          <w:b/>
          <w:sz w:val="20"/>
        </w:rPr>
      </w:pPr>
      <w:r>
        <w:rPr>
          <w:b/>
          <w:sz w:val="20"/>
        </w:rPr>
        <w:t>APPENDIX</w:t>
      </w:r>
      <w:r>
        <w:rPr>
          <w:b/>
          <w:spacing w:val="-11"/>
          <w:sz w:val="20"/>
        </w:rPr>
        <w:t> </w:t>
      </w:r>
      <w:r>
        <w:rPr>
          <w:b/>
          <w:spacing w:val="-4"/>
          <w:sz w:val="20"/>
        </w:rPr>
        <w:t>IIIc</w:t>
      </w:r>
    </w:p>
    <w:p>
      <w:pPr>
        <w:spacing w:line="276" w:lineRule="auto" w:before="32"/>
        <w:ind w:left="560" w:right="795" w:firstLine="0"/>
        <w:jc w:val="left"/>
        <w:rPr>
          <w:b/>
          <w:sz w:val="22"/>
        </w:rPr>
      </w:pPr>
      <w:r>
        <w:rPr>
          <w:b/>
          <w:sz w:val="22"/>
        </w:rPr>
        <w:t>TABLE 4.8: COMPARISON OF THE EFFECT OF GRAVIDITY ON CYTOKINE LEVELS OF MALARIA INFECTED PREGNANT WOMEN</w:t>
      </w:r>
    </w:p>
    <w:p>
      <w:pPr>
        <w:pStyle w:val="BodyText"/>
        <w:spacing w:before="116"/>
        <w:rPr>
          <w:b/>
          <w:sz w:val="20"/>
        </w:rPr>
      </w:pPr>
    </w:p>
    <w:tbl>
      <w:tblPr>
        <w:tblW w:w="0" w:type="auto"/>
        <w:jc w:val="left"/>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7"/>
        <w:gridCol w:w="1594"/>
        <w:gridCol w:w="1542"/>
        <w:gridCol w:w="1542"/>
        <w:gridCol w:w="1643"/>
        <w:gridCol w:w="1844"/>
      </w:tblGrid>
      <w:tr>
        <w:trPr>
          <w:trHeight w:val="628" w:hRule="atLeast"/>
        </w:trPr>
        <w:tc>
          <w:tcPr>
            <w:tcW w:w="1497" w:type="dxa"/>
            <w:tcBorders>
              <w:top w:val="single" w:sz="4" w:space="0" w:color="000000"/>
              <w:bottom w:val="single" w:sz="4" w:space="0" w:color="000000"/>
            </w:tcBorders>
          </w:tcPr>
          <w:p>
            <w:pPr>
              <w:pStyle w:val="TableParagraph"/>
              <w:spacing w:line="265" w:lineRule="exact"/>
              <w:ind w:left="61"/>
              <w:rPr>
                <w:rFonts w:ascii="Calibri"/>
                <w:b/>
                <w:sz w:val="22"/>
              </w:rPr>
            </w:pPr>
            <w:r>
              <w:rPr>
                <w:rFonts w:ascii="Calibri"/>
                <w:b/>
                <w:spacing w:val="-2"/>
                <w:sz w:val="22"/>
              </w:rPr>
              <w:t>GROUPS</w:t>
            </w:r>
          </w:p>
        </w:tc>
        <w:tc>
          <w:tcPr>
            <w:tcW w:w="1594" w:type="dxa"/>
            <w:tcBorders>
              <w:top w:val="single" w:sz="4" w:space="0" w:color="000000"/>
              <w:bottom w:val="single" w:sz="4" w:space="0" w:color="000000"/>
            </w:tcBorders>
          </w:tcPr>
          <w:p>
            <w:pPr>
              <w:pStyle w:val="TableParagraph"/>
              <w:spacing w:line="265" w:lineRule="exact"/>
              <w:ind w:left="51"/>
              <w:rPr>
                <w:rFonts w:ascii="Calibri" w:hAnsi="Calibri"/>
                <w:b/>
                <w:sz w:val="22"/>
              </w:rPr>
            </w:pPr>
            <w:r>
              <w:rPr>
                <w:rFonts w:ascii="Calibri" w:hAnsi="Calibri"/>
                <w:b/>
                <w:spacing w:val="-4"/>
                <w:sz w:val="22"/>
              </w:rPr>
              <w:t>IFNγ</w:t>
            </w:r>
          </w:p>
          <w:p>
            <w:pPr>
              <w:pStyle w:val="TableParagraph"/>
              <w:spacing w:before="41"/>
              <w:ind w:left="51" w:right="2"/>
              <w:rPr>
                <w:rFonts w:ascii="Calibri"/>
                <w:b/>
                <w:sz w:val="22"/>
              </w:rPr>
            </w:pPr>
            <w:r>
              <w:rPr>
                <w:rFonts w:ascii="Calibri"/>
                <w:b/>
                <w:spacing w:val="-2"/>
                <w:sz w:val="22"/>
              </w:rPr>
              <w:t>(pg/ml)</w:t>
            </w:r>
          </w:p>
        </w:tc>
        <w:tc>
          <w:tcPr>
            <w:tcW w:w="1542" w:type="dxa"/>
            <w:tcBorders>
              <w:top w:val="single" w:sz="4" w:space="0" w:color="000000"/>
              <w:bottom w:val="single" w:sz="4" w:space="0" w:color="000000"/>
            </w:tcBorders>
          </w:tcPr>
          <w:p>
            <w:pPr>
              <w:pStyle w:val="TableParagraph"/>
              <w:spacing w:line="277" w:lineRule="exact"/>
              <w:ind w:left="4" w:right="4"/>
              <w:rPr>
                <w:rFonts w:ascii="Symbol" w:hAnsi="Symbol"/>
                <w:sz w:val="22"/>
              </w:rPr>
            </w:pPr>
            <w:r>
              <w:rPr>
                <w:rFonts w:ascii="Calibri" w:hAnsi="Calibri"/>
                <w:b/>
                <w:spacing w:val="-4"/>
                <w:sz w:val="22"/>
              </w:rPr>
              <w:t>TNF</w:t>
            </w:r>
            <w:r>
              <w:rPr>
                <w:rFonts w:ascii="Symbol" w:hAnsi="Symbol"/>
                <w:spacing w:val="-4"/>
                <w:sz w:val="22"/>
              </w:rPr>
              <w:t></w:t>
            </w:r>
          </w:p>
          <w:p>
            <w:pPr>
              <w:pStyle w:val="TableParagraph"/>
              <w:spacing w:before="41"/>
              <w:ind w:left="3" w:right="4"/>
              <w:rPr>
                <w:rFonts w:ascii="Calibri"/>
                <w:b/>
                <w:sz w:val="22"/>
              </w:rPr>
            </w:pPr>
            <w:r>
              <w:rPr>
                <w:rFonts w:ascii="Calibri"/>
                <w:b/>
                <w:spacing w:val="-2"/>
                <w:sz w:val="22"/>
              </w:rPr>
              <w:t>(pg/ml)</w:t>
            </w:r>
          </w:p>
        </w:tc>
        <w:tc>
          <w:tcPr>
            <w:tcW w:w="1542" w:type="dxa"/>
            <w:tcBorders>
              <w:top w:val="single" w:sz="4" w:space="0" w:color="000000"/>
              <w:bottom w:val="single" w:sz="4" w:space="0" w:color="000000"/>
            </w:tcBorders>
          </w:tcPr>
          <w:p>
            <w:pPr>
              <w:pStyle w:val="TableParagraph"/>
              <w:spacing w:line="265" w:lineRule="exact"/>
              <w:ind w:left="2" w:right="4"/>
              <w:rPr>
                <w:rFonts w:ascii="Calibri"/>
                <w:b/>
                <w:sz w:val="22"/>
              </w:rPr>
            </w:pPr>
            <w:r>
              <w:rPr>
                <w:rFonts w:ascii="Calibri"/>
                <w:b/>
                <w:sz w:val="22"/>
              </w:rPr>
              <w:t>IL-</w:t>
            </w:r>
            <w:r>
              <w:rPr>
                <w:rFonts w:ascii="Calibri"/>
                <w:b/>
                <w:spacing w:val="-10"/>
                <w:sz w:val="22"/>
              </w:rPr>
              <w:t>4</w:t>
            </w:r>
          </w:p>
          <w:p>
            <w:pPr>
              <w:pStyle w:val="TableParagraph"/>
              <w:spacing w:before="41"/>
              <w:ind w:left="1" w:right="4"/>
              <w:rPr>
                <w:rFonts w:ascii="Calibri"/>
                <w:b/>
                <w:sz w:val="22"/>
              </w:rPr>
            </w:pPr>
            <w:r>
              <w:rPr>
                <w:rFonts w:ascii="Calibri"/>
                <w:b/>
                <w:spacing w:val="-2"/>
                <w:sz w:val="22"/>
              </w:rPr>
              <w:t>(pg/ml)</w:t>
            </w:r>
          </w:p>
        </w:tc>
        <w:tc>
          <w:tcPr>
            <w:tcW w:w="1643" w:type="dxa"/>
            <w:tcBorders>
              <w:top w:val="single" w:sz="4" w:space="0" w:color="000000"/>
              <w:bottom w:val="single" w:sz="4" w:space="0" w:color="000000"/>
            </w:tcBorders>
          </w:tcPr>
          <w:p>
            <w:pPr>
              <w:pStyle w:val="TableParagraph"/>
              <w:spacing w:line="265" w:lineRule="exact"/>
              <w:ind w:left="1" w:right="107"/>
              <w:rPr>
                <w:rFonts w:ascii="Calibri"/>
                <w:b/>
                <w:sz w:val="22"/>
              </w:rPr>
            </w:pPr>
            <w:r>
              <w:rPr>
                <w:rFonts w:ascii="Calibri"/>
                <w:b/>
                <w:sz w:val="22"/>
              </w:rPr>
              <w:t>IL-</w:t>
            </w:r>
            <w:r>
              <w:rPr>
                <w:rFonts w:ascii="Calibri"/>
                <w:b/>
                <w:spacing w:val="-10"/>
                <w:sz w:val="22"/>
              </w:rPr>
              <w:t>6</w:t>
            </w:r>
          </w:p>
          <w:p>
            <w:pPr>
              <w:pStyle w:val="TableParagraph"/>
              <w:spacing w:before="41"/>
              <w:ind w:left="1" w:right="107"/>
              <w:rPr>
                <w:rFonts w:ascii="Calibri"/>
                <w:b/>
                <w:sz w:val="22"/>
              </w:rPr>
            </w:pPr>
            <w:r>
              <w:rPr>
                <w:rFonts w:ascii="Calibri"/>
                <w:b/>
                <w:spacing w:val="-2"/>
                <w:sz w:val="22"/>
              </w:rPr>
              <w:t>(pg/ml)</w:t>
            </w:r>
          </w:p>
        </w:tc>
        <w:tc>
          <w:tcPr>
            <w:tcW w:w="1844" w:type="dxa"/>
            <w:tcBorders>
              <w:top w:val="single" w:sz="4" w:space="0" w:color="000000"/>
              <w:bottom w:val="single" w:sz="4" w:space="0" w:color="000000"/>
            </w:tcBorders>
          </w:tcPr>
          <w:p>
            <w:pPr>
              <w:pStyle w:val="TableParagraph"/>
              <w:spacing w:line="265" w:lineRule="exact"/>
              <w:ind w:right="108"/>
              <w:rPr>
                <w:rFonts w:ascii="Calibri"/>
                <w:b/>
                <w:sz w:val="22"/>
              </w:rPr>
            </w:pPr>
            <w:r>
              <w:rPr>
                <w:rFonts w:ascii="Calibri"/>
                <w:b/>
                <w:sz w:val="22"/>
              </w:rPr>
              <w:t>IL-</w:t>
            </w:r>
            <w:r>
              <w:rPr>
                <w:rFonts w:ascii="Calibri"/>
                <w:b/>
                <w:spacing w:val="-5"/>
                <w:sz w:val="22"/>
              </w:rPr>
              <w:t>10</w:t>
            </w:r>
          </w:p>
          <w:p>
            <w:pPr>
              <w:pStyle w:val="TableParagraph"/>
              <w:spacing w:before="41"/>
              <w:ind w:left="1" w:right="108"/>
              <w:rPr>
                <w:rFonts w:ascii="Calibri"/>
                <w:b/>
                <w:sz w:val="22"/>
              </w:rPr>
            </w:pPr>
            <w:r>
              <w:rPr>
                <w:rFonts w:ascii="Calibri"/>
                <w:b/>
                <w:spacing w:val="-2"/>
                <w:sz w:val="22"/>
              </w:rPr>
              <w:t>(pg/ml)</w:t>
            </w:r>
          </w:p>
        </w:tc>
      </w:tr>
      <w:tr>
        <w:trPr>
          <w:trHeight w:val="427" w:hRule="atLeast"/>
        </w:trPr>
        <w:tc>
          <w:tcPr>
            <w:tcW w:w="1497" w:type="dxa"/>
            <w:tcBorders>
              <w:top w:val="single" w:sz="4" w:space="0" w:color="000000"/>
            </w:tcBorders>
          </w:tcPr>
          <w:p>
            <w:pPr>
              <w:pStyle w:val="TableParagraph"/>
              <w:spacing w:line="268" w:lineRule="exact"/>
              <w:ind w:left="61" w:right="5"/>
              <w:rPr>
                <w:rFonts w:ascii="Calibri"/>
                <w:b/>
                <w:sz w:val="22"/>
              </w:rPr>
            </w:pPr>
            <w:r>
              <w:rPr>
                <w:rFonts w:ascii="Calibri"/>
                <w:b/>
                <w:sz w:val="22"/>
              </w:rPr>
              <w:t>G1</w:t>
            </w:r>
            <w:r>
              <w:rPr>
                <w:rFonts w:ascii="Calibri"/>
                <w:b/>
                <w:spacing w:val="-4"/>
                <w:sz w:val="22"/>
              </w:rPr>
              <w:t> </w:t>
            </w:r>
            <w:r>
              <w:rPr>
                <w:rFonts w:ascii="Calibri"/>
                <w:b/>
                <w:spacing w:val="-2"/>
                <w:sz w:val="22"/>
              </w:rPr>
              <w:t>(n=51)</w:t>
            </w:r>
          </w:p>
        </w:tc>
        <w:tc>
          <w:tcPr>
            <w:tcW w:w="1594" w:type="dxa"/>
            <w:tcBorders>
              <w:top w:val="single" w:sz="4" w:space="0" w:color="000000"/>
            </w:tcBorders>
          </w:tcPr>
          <w:p>
            <w:pPr>
              <w:pStyle w:val="TableParagraph"/>
              <w:spacing w:line="267" w:lineRule="exact"/>
              <w:ind w:left="51" w:right="3"/>
              <w:rPr>
                <w:sz w:val="22"/>
              </w:rPr>
            </w:pPr>
            <w:r>
              <w:rPr>
                <w:spacing w:val="-2"/>
                <w:sz w:val="22"/>
              </w:rPr>
              <w:t>21.39</w:t>
            </w:r>
            <w:r>
              <w:rPr>
                <w:rFonts w:ascii="Symbol" w:hAnsi="Symbol"/>
                <w:spacing w:val="-2"/>
                <w:sz w:val="22"/>
              </w:rPr>
              <w:t></w:t>
            </w:r>
            <w:r>
              <w:rPr>
                <w:spacing w:val="-2"/>
                <w:sz w:val="22"/>
              </w:rPr>
              <w:t>12.15</w:t>
            </w:r>
          </w:p>
        </w:tc>
        <w:tc>
          <w:tcPr>
            <w:tcW w:w="1542" w:type="dxa"/>
            <w:tcBorders>
              <w:top w:val="single" w:sz="4" w:space="0" w:color="000000"/>
            </w:tcBorders>
          </w:tcPr>
          <w:p>
            <w:pPr>
              <w:pStyle w:val="TableParagraph"/>
              <w:spacing w:line="267" w:lineRule="exact"/>
              <w:ind w:left="2" w:right="4"/>
              <w:rPr>
                <w:sz w:val="22"/>
              </w:rPr>
            </w:pPr>
            <w:r>
              <w:rPr>
                <w:spacing w:val="-2"/>
                <w:sz w:val="22"/>
              </w:rPr>
              <w:t>18.81</w:t>
            </w:r>
            <w:r>
              <w:rPr>
                <w:rFonts w:ascii="Symbol" w:hAnsi="Symbol"/>
                <w:spacing w:val="-2"/>
                <w:sz w:val="22"/>
              </w:rPr>
              <w:t></w:t>
            </w:r>
            <w:r>
              <w:rPr>
                <w:spacing w:val="-2"/>
                <w:sz w:val="22"/>
              </w:rPr>
              <w:t>10.80</w:t>
            </w:r>
          </w:p>
        </w:tc>
        <w:tc>
          <w:tcPr>
            <w:tcW w:w="1542" w:type="dxa"/>
            <w:tcBorders>
              <w:top w:val="single" w:sz="4" w:space="0" w:color="000000"/>
            </w:tcBorders>
          </w:tcPr>
          <w:p>
            <w:pPr>
              <w:pStyle w:val="TableParagraph"/>
              <w:spacing w:line="267" w:lineRule="exact"/>
              <w:ind w:right="4"/>
              <w:rPr>
                <w:sz w:val="22"/>
              </w:rPr>
            </w:pPr>
            <w:r>
              <w:rPr>
                <w:spacing w:val="-2"/>
                <w:sz w:val="22"/>
              </w:rPr>
              <w:t>9.39</w:t>
            </w:r>
            <w:r>
              <w:rPr>
                <w:rFonts w:ascii="Symbol" w:hAnsi="Symbol"/>
                <w:spacing w:val="-2"/>
                <w:sz w:val="22"/>
              </w:rPr>
              <w:t></w:t>
            </w:r>
            <w:r>
              <w:rPr>
                <w:spacing w:val="-2"/>
                <w:sz w:val="22"/>
              </w:rPr>
              <w:t>8.35</w:t>
            </w:r>
          </w:p>
        </w:tc>
        <w:tc>
          <w:tcPr>
            <w:tcW w:w="1643" w:type="dxa"/>
            <w:tcBorders>
              <w:top w:val="single" w:sz="4" w:space="0" w:color="000000"/>
            </w:tcBorders>
          </w:tcPr>
          <w:p>
            <w:pPr>
              <w:pStyle w:val="TableParagraph"/>
              <w:spacing w:line="267" w:lineRule="exact"/>
              <w:ind w:right="107"/>
              <w:rPr>
                <w:sz w:val="22"/>
              </w:rPr>
            </w:pPr>
            <w:r>
              <w:rPr>
                <w:spacing w:val="-2"/>
                <w:sz w:val="22"/>
              </w:rPr>
              <w:t>31.96</w:t>
            </w:r>
            <w:r>
              <w:rPr>
                <w:rFonts w:ascii="Symbol" w:hAnsi="Symbol"/>
                <w:spacing w:val="-2"/>
                <w:sz w:val="22"/>
              </w:rPr>
              <w:t></w:t>
            </w:r>
            <w:r>
              <w:rPr>
                <w:spacing w:val="-2"/>
                <w:sz w:val="22"/>
              </w:rPr>
              <w:t>29.76</w:t>
            </w:r>
          </w:p>
        </w:tc>
        <w:tc>
          <w:tcPr>
            <w:tcW w:w="1844" w:type="dxa"/>
            <w:tcBorders>
              <w:top w:val="single" w:sz="4" w:space="0" w:color="000000"/>
            </w:tcBorders>
          </w:tcPr>
          <w:p>
            <w:pPr>
              <w:pStyle w:val="TableParagraph"/>
              <w:spacing w:line="267" w:lineRule="exact"/>
              <w:ind w:right="108"/>
              <w:rPr>
                <w:sz w:val="22"/>
              </w:rPr>
            </w:pPr>
            <w:r>
              <w:rPr>
                <w:spacing w:val="-2"/>
                <w:sz w:val="22"/>
              </w:rPr>
              <w:t>28.58</w:t>
            </w:r>
            <w:r>
              <w:rPr>
                <w:rFonts w:ascii="Symbol" w:hAnsi="Symbol"/>
                <w:spacing w:val="-2"/>
                <w:sz w:val="22"/>
              </w:rPr>
              <w:t></w:t>
            </w:r>
            <w:r>
              <w:rPr>
                <w:spacing w:val="-2"/>
                <w:sz w:val="22"/>
              </w:rPr>
              <w:t>25.14</w:t>
            </w:r>
          </w:p>
        </w:tc>
      </w:tr>
      <w:tr>
        <w:trPr>
          <w:trHeight w:val="566" w:hRule="atLeast"/>
        </w:trPr>
        <w:tc>
          <w:tcPr>
            <w:tcW w:w="1497" w:type="dxa"/>
          </w:tcPr>
          <w:p>
            <w:pPr>
              <w:pStyle w:val="TableParagraph"/>
              <w:spacing w:before="164"/>
              <w:ind w:left="61" w:right="5"/>
              <w:rPr>
                <w:rFonts w:ascii="Calibri"/>
                <w:b/>
                <w:sz w:val="22"/>
              </w:rPr>
            </w:pPr>
            <w:r>
              <w:rPr>
                <w:rFonts w:ascii="Calibri"/>
                <w:b/>
                <w:sz w:val="22"/>
              </w:rPr>
              <w:t>G2</w:t>
            </w:r>
            <w:r>
              <w:rPr>
                <w:rFonts w:ascii="Calibri"/>
                <w:b/>
                <w:spacing w:val="-4"/>
                <w:sz w:val="22"/>
              </w:rPr>
              <w:t> </w:t>
            </w:r>
            <w:r>
              <w:rPr>
                <w:rFonts w:ascii="Calibri"/>
                <w:b/>
                <w:spacing w:val="-2"/>
                <w:sz w:val="22"/>
              </w:rPr>
              <w:t>(n=34)</w:t>
            </w:r>
          </w:p>
        </w:tc>
        <w:tc>
          <w:tcPr>
            <w:tcW w:w="1594" w:type="dxa"/>
          </w:tcPr>
          <w:p>
            <w:pPr>
              <w:pStyle w:val="TableParagraph"/>
              <w:spacing w:before="162"/>
              <w:ind w:left="51" w:right="3"/>
              <w:rPr>
                <w:sz w:val="22"/>
              </w:rPr>
            </w:pPr>
            <w:r>
              <w:rPr>
                <w:spacing w:val="-2"/>
                <w:sz w:val="22"/>
              </w:rPr>
              <w:t>21.85</w:t>
            </w:r>
            <w:r>
              <w:rPr>
                <w:rFonts w:ascii="Symbol" w:hAnsi="Symbol"/>
                <w:spacing w:val="-2"/>
                <w:sz w:val="22"/>
              </w:rPr>
              <w:t></w:t>
            </w:r>
            <w:r>
              <w:rPr>
                <w:spacing w:val="-2"/>
                <w:sz w:val="22"/>
              </w:rPr>
              <w:t>12.70</w:t>
            </w:r>
          </w:p>
        </w:tc>
        <w:tc>
          <w:tcPr>
            <w:tcW w:w="1542" w:type="dxa"/>
          </w:tcPr>
          <w:p>
            <w:pPr>
              <w:pStyle w:val="TableParagraph"/>
              <w:spacing w:before="162"/>
              <w:ind w:left="2" w:right="4"/>
              <w:rPr>
                <w:sz w:val="22"/>
              </w:rPr>
            </w:pPr>
            <w:r>
              <w:rPr>
                <w:spacing w:val="-2"/>
                <w:sz w:val="22"/>
              </w:rPr>
              <w:t>20.24</w:t>
            </w:r>
            <w:r>
              <w:rPr>
                <w:rFonts w:ascii="Symbol" w:hAnsi="Symbol"/>
                <w:spacing w:val="-2"/>
                <w:sz w:val="22"/>
              </w:rPr>
              <w:t></w:t>
            </w:r>
            <w:r>
              <w:rPr>
                <w:spacing w:val="-2"/>
                <w:sz w:val="22"/>
              </w:rPr>
              <w:t>12.45</w:t>
            </w:r>
          </w:p>
        </w:tc>
        <w:tc>
          <w:tcPr>
            <w:tcW w:w="1542" w:type="dxa"/>
          </w:tcPr>
          <w:p>
            <w:pPr>
              <w:pStyle w:val="TableParagraph"/>
              <w:spacing w:before="162"/>
              <w:ind w:right="4"/>
              <w:rPr>
                <w:sz w:val="22"/>
              </w:rPr>
            </w:pPr>
            <w:r>
              <w:rPr>
                <w:spacing w:val="-2"/>
                <w:sz w:val="22"/>
              </w:rPr>
              <w:t>9.70</w:t>
            </w:r>
            <w:r>
              <w:rPr>
                <w:rFonts w:ascii="Symbol" w:hAnsi="Symbol"/>
                <w:spacing w:val="-2"/>
                <w:sz w:val="22"/>
              </w:rPr>
              <w:t></w:t>
            </w:r>
            <w:r>
              <w:rPr>
                <w:spacing w:val="-2"/>
                <w:sz w:val="22"/>
              </w:rPr>
              <w:t>6.20</w:t>
            </w:r>
          </w:p>
        </w:tc>
        <w:tc>
          <w:tcPr>
            <w:tcW w:w="1643" w:type="dxa"/>
          </w:tcPr>
          <w:p>
            <w:pPr>
              <w:pStyle w:val="TableParagraph"/>
              <w:spacing w:before="162"/>
              <w:ind w:right="107"/>
              <w:rPr>
                <w:sz w:val="22"/>
              </w:rPr>
            </w:pPr>
            <w:r>
              <w:rPr>
                <w:spacing w:val="-2"/>
                <w:sz w:val="22"/>
              </w:rPr>
              <w:t>30.79</w:t>
            </w:r>
            <w:r>
              <w:rPr>
                <w:rFonts w:ascii="Symbol" w:hAnsi="Symbol"/>
                <w:spacing w:val="-2"/>
                <w:sz w:val="22"/>
              </w:rPr>
              <w:t></w:t>
            </w:r>
            <w:r>
              <w:rPr>
                <w:spacing w:val="-2"/>
                <w:sz w:val="22"/>
              </w:rPr>
              <w:t>25.85</w:t>
            </w:r>
          </w:p>
        </w:tc>
        <w:tc>
          <w:tcPr>
            <w:tcW w:w="1844" w:type="dxa"/>
          </w:tcPr>
          <w:p>
            <w:pPr>
              <w:pStyle w:val="TableParagraph"/>
              <w:spacing w:before="162"/>
              <w:ind w:right="108"/>
              <w:rPr>
                <w:sz w:val="22"/>
              </w:rPr>
            </w:pPr>
            <w:r>
              <w:rPr>
                <w:spacing w:val="-2"/>
                <w:sz w:val="22"/>
              </w:rPr>
              <w:t>34.82</w:t>
            </w:r>
            <w:r>
              <w:rPr>
                <w:rFonts w:ascii="Symbol" w:hAnsi="Symbol"/>
                <w:spacing w:val="-2"/>
                <w:sz w:val="22"/>
              </w:rPr>
              <w:t></w:t>
            </w:r>
            <w:r>
              <w:rPr>
                <w:spacing w:val="-2"/>
                <w:sz w:val="22"/>
              </w:rPr>
              <w:t>28.49</w:t>
            </w:r>
          </w:p>
        </w:tc>
      </w:tr>
      <w:tr>
        <w:trPr>
          <w:trHeight w:val="590" w:hRule="atLeast"/>
        </w:trPr>
        <w:tc>
          <w:tcPr>
            <w:tcW w:w="1497" w:type="dxa"/>
          </w:tcPr>
          <w:p>
            <w:pPr>
              <w:pStyle w:val="TableParagraph"/>
              <w:spacing w:before="137"/>
              <w:ind w:left="61" w:right="5"/>
              <w:rPr>
                <w:rFonts w:ascii="Calibri"/>
                <w:b/>
                <w:sz w:val="22"/>
              </w:rPr>
            </w:pPr>
            <w:r>
              <w:rPr>
                <w:rFonts w:ascii="Calibri"/>
                <w:b/>
                <w:sz w:val="22"/>
              </w:rPr>
              <w:t>G3</w:t>
            </w:r>
            <w:r>
              <w:rPr>
                <w:rFonts w:ascii="Calibri"/>
                <w:b/>
                <w:spacing w:val="-4"/>
                <w:sz w:val="22"/>
              </w:rPr>
              <w:t> </w:t>
            </w:r>
            <w:r>
              <w:rPr>
                <w:rFonts w:ascii="Calibri"/>
                <w:b/>
                <w:spacing w:val="-2"/>
                <w:sz w:val="22"/>
              </w:rPr>
              <w:t>(n=21)</w:t>
            </w:r>
          </w:p>
        </w:tc>
        <w:tc>
          <w:tcPr>
            <w:tcW w:w="1594" w:type="dxa"/>
          </w:tcPr>
          <w:p>
            <w:pPr>
              <w:pStyle w:val="TableParagraph"/>
              <w:spacing w:before="135"/>
              <w:ind w:left="51" w:right="3"/>
              <w:rPr>
                <w:sz w:val="22"/>
              </w:rPr>
            </w:pPr>
            <w:r>
              <w:rPr>
                <w:spacing w:val="-2"/>
                <w:sz w:val="22"/>
              </w:rPr>
              <w:t>24.92</w:t>
            </w:r>
            <w:r>
              <w:rPr>
                <w:rFonts w:ascii="Symbol" w:hAnsi="Symbol"/>
                <w:spacing w:val="-2"/>
                <w:sz w:val="22"/>
              </w:rPr>
              <w:t></w:t>
            </w:r>
            <w:r>
              <w:rPr>
                <w:spacing w:val="-2"/>
                <w:sz w:val="22"/>
              </w:rPr>
              <w:t>13.14</w:t>
            </w:r>
          </w:p>
        </w:tc>
        <w:tc>
          <w:tcPr>
            <w:tcW w:w="1542" w:type="dxa"/>
          </w:tcPr>
          <w:p>
            <w:pPr>
              <w:pStyle w:val="TableParagraph"/>
              <w:spacing w:before="135"/>
              <w:ind w:left="2" w:right="4"/>
              <w:rPr>
                <w:sz w:val="22"/>
              </w:rPr>
            </w:pPr>
            <w:r>
              <w:rPr>
                <w:spacing w:val="-2"/>
                <w:sz w:val="22"/>
              </w:rPr>
              <w:t>23.62</w:t>
            </w:r>
            <w:r>
              <w:rPr>
                <w:rFonts w:ascii="Symbol" w:hAnsi="Symbol"/>
                <w:spacing w:val="-2"/>
                <w:sz w:val="22"/>
              </w:rPr>
              <w:t></w:t>
            </w:r>
            <w:r>
              <w:rPr>
                <w:spacing w:val="-2"/>
                <w:sz w:val="22"/>
              </w:rPr>
              <w:t>13.75</w:t>
            </w:r>
          </w:p>
        </w:tc>
        <w:tc>
          <w:tcPr>
            <w:tcW w:w="1542" w:type="dxa"/>
          </w:tcPr>
          <w:p>
            <w:pPr>
              <w:pStyle w:val="TableParagraph"/>
              <w:spacing w:before="135"/>
              <w:ind w:right="4"/>
              <w:rPr>
                <w:sz w:val="22"/>
              </w:rPr>
            </w:pPr>
            <w:r>
              <w:rPr>
                <w:spacing w:val="-2"/>
                <w:sz w:val="22"/>
              </w:rPr>
              <w:t>9.88</w:t>
            </w:r>
            <w:r>
              <w:rPr>
                <w:rFonts w:ascii="Symbol" w:hAnsi="Symbol"/>
                <w:spacing w:val="-2"/>
                <w:sz w:val="22"/>
              </w:rPr>
              <w:t></w:t>
            </w:r>
            <w:r>
              <w:rPr>
                <w:spacing w:val="-2"/>
                <w:sz w:val="22"/>
              </w:rPr>
              <w:t>6.37</w:t>
            </w:r>
          </w:p>
        </w:tc>
        <w:tc>
          <w:tcPr>
            <w:tcW w:w="1643" w:type="dxa"/>
          </w:tcPr>
          <w:p>
            <w:pPr>
              <w:pStyle w:val="TableParagraph"/>
              <w:spacing w:before="135"/>
              <w:ind w:right="107"/>
              <w:rPr>
                <w:sz w:val="22"/>
              </w:rPr>
            </w:pPr>
            <w:r>
              <w:rPr>
                <w:spacing w:val="-2"/>
                <w:sz w:val="22"/>
              </w:rPr>
              <w:t>33.01</w:t>
            </w:r>
            <w:r>
              <w:rPr>
                <w:rFonts w:ascii="Symbol" w:hAnsi="Symbol"/>
                <w:spacing w:val="-2"/>
                <w:sz w:val="22"/>
              </w:rPr>
              <w:t></w:t>
            </w:r>
            <w:r>
              <w:rPr>
                <w:spacing w:val="-2"/>
                <w:sz w:val="22"/>
              </w:rPr>
              <w:t>27.87</w:t>
            </w:r>
          </w:p>
        </w:tc>
        <w:tc>
          <w:tcPr>
            <w:tcW w:w="1844" w:type="dxa"/>
          </w:tcPr>
          <w:p>
            <w:pPr>
              <w:pStyle w:val="TableParagraph"/>
              <w:spacing w:before="135"/>
              <w:ind w:right="108"/>
              <w:rPr>
                <w:sz w:val="22"/>
              </w:rPr>
            </w:pPr>
            <w:r>
              <w:rPr>
                <w:spacing w:val="-2"/>
                <w:sz w:val="22"/>
              </w:rPr>
              <w:t>41.11</w:t>
            </w:r>
            <w:r>
              <w:rPr>
                <w:rFonts w:ascii="Symbol" w:hAnsi="Symbol"/>
                <w:spacing w:val="-2"/>
                <w:sz w:val="22"/>
              </w:rPr>
              <w:t></w:t>
            </w:r>
            <w:r>
              <w:rPr>
                <w:spacing w:val="-2"/>
                <w:sz w:val="22"/>
              </w:rPr>
              <w:t>31.09</w:t>
            </w:r>
          </w:p>
        </w:tc>
      </w:tr>
      <w:tr>
        <w:trPr>
          <w:trHeight w:val="548" w:hRule="atLeast"/>
        </w:trPr>
        <w:tc>
          <w:tcPr>
            <w:tcW w:w="1497" w:type="dxa"/>
          </w:tcPr>
          <w:p>
            <w:pPr>
              <w:pStyle w:val="TableParagraph"/>
              <w:spacing w:before="179"/>
              <w:ind w:left="61"/>
              <w:rPr>
                <w:rFonts w:ascii="Calibri"/>
                <w:b/>
                <w:sz w:val="22"/>
              </w:rPr>
            </w:pPr>
            <w:r>
              <w:rPr>
                <w:rFonts w:ascii="Calibri"/>
                <w:b/>
                <w:sz w:val="22"/>
              </w:rPr>
              <w:t>F(p)</w:t>
            </w:r>
            <w:r>
              <w:rPr>
                <w:rFonts w:ascii="Calibri"/>
                <w:b/>
                <w:spacing w:val="-3"/>
                <w:sz w:val="22"/>
              </w:rPr>
              <w:t> </w:t>
            </w:r>
            <w:r>
              <w:rPr>
                <w:rFonts w:ascii="Calibri"/>
                <w:b/>
                <w:spacing w:val="-2"/>
                <w:sz w:val="22"/>
              </w:rPr>
              <w:t>Value</w:t>
            </w:r>
          </w:p>
        </w:tc>
        <w:tc>
          <w:tcPr>
            <w:tcW w:w="1594" w:type="dxa"/>
          </w:tcPr>
          <w:p>
            <w:pPr>
              <w:pStyle w:val="TableParagraph"/>
              <w:spacing w:before="176"/>
              <w:ind w:left="51" w:right="2"/>
              <w:rPr>
                <w:sz w:val="22"/>
              </w:rPr>
            </w:pPr>
            <w:r>
              <w:rPr>
                <w:spacing w:val="-2"/>
                <w:sz w:val="22"/>
              </w:rPr>
              <w:t>1.224(0.297)</w:t>
            </w:r>
          </w:p>
        </w:tc>
        <w:tc>
          <w:tcPr>
            <w:tcW w:w="1542" w:type="dxa"/>
          </w:tcPr>
          <w:p>
            <w:pPr>
              <w:pStyle w:val="TableParagraph"/>
              <w:spacing w:before="176"/>
              <w:ind w:left="3" w:right="4"/>
              <w:rPr>
                <w:sz w:val="22"/>
              </w:rPr>
            </w:pPr>
            <w:r>
              <w:rPr>
                <w:spacing w:val="-2"/>
                <w:sz w:val="22"/>
              </w:rPr>
              <w:t>2.150(0.120)</w:t>
            </w:r>
          </w:p>
        </w:tc>
        <w:tc>
          <w:tcPr>
            <w:tcW w:w="1542" w:type="dxa"/>
          </w:tcPr>
          <w:p>
            <w:pPr>
              <w:pStyle w:val="TableParagraph"/>
              <w:spacing w:before="176"/>
              <w:ind w:left="1" w:right="4"/>
              <w:rPr>
                <w:sz w:val="22"/>
              </w:rPr>
            </w:pPr>
            <w:r>
              <w:rPr>
                <w:spacing w:val="-2"/>
                <w:sz w:val="22"/>
              </w:rPr>
              <w:t>0.066(0.937)</w:t>
            </w:r>
          </w:p>
        </w:tc>
        <w:tc>
          <w:tcPr>
            <w:tcW w:w="1643" w:type="dxa"/>
          </w:tcPr>
          <w:p>
            <w:pPr>
              <w:pStyle w:val="TableParagraph"/>
              <w:spacing w:before="176"/>
              <w:ind w:left="1" w:right="107"/>
              <w:rPr>
                <w:sz w:val="22"/>
              </w:rPr>
            </w:pPr>
            <w:r>
              <w:rPr>
                <w:spacing w:val="-2"/>
                <w:sz w:val="22"/>
              </w:rPr>
              <w:t>0.068(0.934)</w:t>
            </w:r>
          </w:p>
        </w:tc>
        <w:tc>
          <w:tcPr>
            <w:tcW w:w="1844" w:type="dxa"/>
          </w:tcPr>
          <w:p>
            <w:pPr>
              <w:pStyle w:val="TableParagraph"/>
              <w:spacing w:before="176"/>
              <w:ind w:left="1" w:right="108"/>
              <w:rPr>
                <w:sz w:val="22"/>
              </w:rPr>
            </w:pPr>
            <w:r>
              <w:rPr>
                <w:spacing w:val="-2"/>
                <w:sz w:val="22"/>
              </w:rPr>
              <w:t>2.652(0.074)</w:t>
            </w:r>
          </w:p>
        </w:tc>
      </w:tr>
      <w:tr>
        <w:trPr>
          <w:trHeight w:val="463" w:hRule="atLeast"/>
        </w:trPr>
        <w:tc>
          <w:tcPr>
            <w:tcW w:w="1497" w:type="dxa"/>
          </w:tcPr>
          <w:p>
            <w:pPr>
              <w:pStyle w:val="TableParagraph"/>
              <w:spacing w:before="99"/>
              <w:ind w:left="61" w:right="5"/>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G2</w:t>
            </w:r>
          </w:p>
        </w:tc>
        <w:tc>
          <w:tcPr>
            <w:tcW w:w="1594" w:type="dxa"/>
          </w:tcPr>
          <w:p>
            <w:pPr>
              <w:pStyle w:val="TableParagraph"/>
              <w:spacing w:before="95"/>
              <w:ind w:left="51"/>
              <w:rPr>
                <w:sz w:val="22"/>
              </w:rPr>
            </w:pPr>
            <w:r>
              <w:rPr>
                <w:spacing w:val="-2"/>
                <w:sz w:val="22"/>
              </w:rPr>
              <w:t>0.985</w:t>
            </w:r>
          </w:p>
        </w:tc>
        <w:tc>
          <w:tcPr>
            <w:tcW w:w="1542" w:type="dxa"/>
          </w:tcPr>
          <w:p>
            <w:pPr>
              <w:pStyle w:val="TableParagraph"/>
              <w:spacing w:before="95"/>
              <w:ind w:left="4" w:right="4"/>
              <w:rPr>
                <w:sz w:val="22"/>
              </w:rPr>
            </w:pPr>
            <w:r>
              <w:rPr>
                <w:spacing w:val="-2"/>
                <w:sz w:val="22"/>
              </w:rPr>
              <w:t>0.849</w:t>
            </w:r>
          </w:p>
        </w:tc>
        <w:tc>
          <w:tcPr>
            <w:tcW w:w="1542" w:type="dxa"/>
          </w:tcPr>
          <w:p>
            <w:pPr>
              <w:pStyle w:val="TableParagraph"/>
              <w:spacing w:before="95"/>
              <w:ind w:left="3" w:right="4"/>
              <w:rPr>
                <w:sz w:val="22"/>
              </w:rPr>
            </w:pPr>
            <w:r>
              <w:rPr>
                <w:spacing w:val="-2"/>
                <w:sz w:val="22"/>
              </w:rPr>
              <w:t>0.980</w:t>
            </w:r>
          </w:p>
        </w:tc>
        <w:tc>
          <w:tcPr>
            <w:tcW w:w="1643" w:type="dxa"/>
          </w:tcPr>
          <w:p>
            <w:pPr>
              <w:pStyle w:val="TableParagraph"/>
              <w:spacing w:before="95"/>
              <w:ind w:left="2" w:right="107"/>
              <w:rPr>
                <w:sz w:val="22"/>
              </w:rPr>
            </w:pPr>
            <w:r>
              <w:rPr>
                <w:spacing w:val="-2"/>
                <w:sz w:val="22"/>
              </w:rPr>
              <w:t>0.980</w:t>
            </w:r>
          </w:p>
        </w:tc>
        <w:tc>
          <w:tcPr>
            <w:tcW w:w="1844" w:type="dxa"/>
          </w:tcPr>
          <w:p>
            <w:pPr>
              <w:pStyle w:val="TableParagraph"/>
              <w:spacing w:before="95"/>
              <w:ind w:left="2" w:right="108"/>
              <w:rPr>
                <w:sz w:val="22"/>
              </w:rPr>
            </w:pPr>
            <w:r>
              <w:rPr>
                <w:spacing w:val="-2"/>
                <w:sz w:val="22"/>
              </w:rPr>
              <w:t>0.557</w:t>
            </w:r>
          </w:p>
        </w:tc>
      </w:tr>
      <w:tr>
        <w:trPr>
          <w:trHeight w:val="453" w:hRule="atLeast"/>
        </w:trPr>
        <w:tc>
          <w:tcPr>
            <w:tcW w:w="1497" w:type="dxa"/>
          </w:tcPr>
          <w:p>
            <w:pPr>
              <w:pStyle w:val="TableParagraph"/>
              <w:spacing w:before="94"/>
              <w:ind w:left="61" w:right="5"/>
              <w:rPr>
                <w:rFonts w:ascii="Calibri"/>
                <w:b/>
                <w:sz w:val="22"/>
              </w:rPr>
            </w:pPr>
            <w:r>
              <w:rPr>
                <w:rFonts w:ascii="Calibri"/>
                <w:b/>
                <w:sz w:val="22"/>
              </w:rPr>
              <w:t>G1</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594" w:type="dxa"/>
          </w:tcPr>
          <w:p>
            <w:pPr>
              <w:pStyle w:val="TableParagraph"/>
              <w:spacing w:before="91"/>
              <w:ind w:left="51"/>
              <w:rPr>
                <w:sz w:val="22"/>
              </w:rPr>
            </w:pPr>
            <w:r>
              <w:rPr>
                <w:spacing w:val="-2"/>
                <w:sz w:val="22"/>
              </w:rPr>
              <w:t>0.313</w:t>
            </w:r>
          </w:p>
        </w:tc>
        <w:tc>
          <w:tcPr>
            <w:tcW w:w="1542" w:type="dxa"/>
          </w:tcPr>
          <w:p>
            <w:pPr>
              <w:pStyle w:val="TableParagraph"/>
              <w:spacing w:before="91"/>
              <w:ind w:left="4" w:right="4"/>
              <w:rPr>
                <w:sz w:val="22"/>
              </w:rPr>
            </w:pPr>
            <w:r>
              <w:rPr>
                <w:spacing w:val="-2"/>
                <w:sz w:val="22"/>
              </w:rPr>
              <w:t>0.105</w:t>
            </w:r>
          </w:p>
        </w:tc>
        <w:tc>
          <w:tcPr>
            <w:tcW w:w="1542" w:type="dxa"/>
          </w:tcPr>
          <w:p>
            <w:pPr>
              <w:pStyle w:val="TableParagraph"/>
              <w:spacing w:before="91"/>
              <w:ind w:left="3" w:right="4"/>
              <w:rPr>
                <w:sz w:val="22"/>
              </w:rPr>
            </w:pPr>
            <w:r>
              <w:rPr>
                <w:spacing w:val="-2"/>
                <w:sz w:val="22"/>
              </w:rPr>
              <w:t>0.938</w:t>
            </w:r>
          </w:p>
        </w:tc>
        <w:tc>
          <w:tcPr>
            <w:tcW w:w="1643" w:type="dxa"/>
          </w:tcPr>
          <w:p>
            <w:pPr>
              <w:pStyle w:val="TableParagraph"/>
              <w:spacing w:before="91"/>
              <w:ind w:left="2" w:right="107"/>
              <w:rPr>
                <w:sz w:val="22"/>
              </w:rPr>
            </w:pPr>
            <w:r>
              <w:rPr>
                <w:spacing w:val="-2"/>
                <w:sz w:val="22"/>
              </w:rPr>
              <w:t>0.980</w:t>
            </w:r>
          </w:p>
        </w:tc>
        <w:tc>
          <w:tcPr>
            <w:tcW w:w="1844" w:type="dxa"/>
          </w:tcPr>
          <w:p>
            <w:pPr>
              <w:pStyle w:val="TableParagraph"/>
              <w:spacing w:before="91"/>
              <w:ind w:left="2" w:right="108"/>
              <w:rPr>
                <w:sz w:val="22"/>
              </w:rPr>
            </w:pPr>
            <w:r>
              <w:rPr>
                <w:spacing w:val="-2"/>
                <w:sz w:val="22"/>
              </w:rPr>
              <w:t>0.055</w:t>
            </w:r>
          </w:p>
        </w:tc>
      </w:tr>
      <w:tr>
        <w:trPr>
          <w:trHeight w:val="495" w:hRule="atLeast"/>
        </w:trPr>
        <w:tc>
          <w:tcPr>
            <w:tcW w:w="1497" w:type="dxa"/>
            <w:tcBorders>
              <w:bottom w:val="single" w:sz="4" w:space="0" w:color="000000"/>
            </w:tcBorders>
          </w:tcPr>
          <w:p>
            <w:pPr>
              <w:pStyle w:val="TableParagraph"/>
              <w:spacing w:before="89"/>
              <w:ind w:left="61" w:right="5"/>
              <w:rPr>
                <w:rFonts w:ascii="Calibri"/>
                <w:b/>
                <w:sz w:val="22"/>
              </w:rPr>
            </w:pPr>
            <w:r>
              <w:rPr>
                <w:rFonts w:ascii="Calibri"/>
                <w:b/>
                <w:sz w:val="22"/>
              </w:rPr>
              <w:t>G2</w:t>
            </w:r>
            <w:r>
              <w:rPr>
                <w:rFonts w:ascii="Calibri"/>
                <w:b/>
                <w:spacing w:val="-2"/>
                <w:sz w:val="22"/>
              </w:rPr>
              <w:t> </w:t>
            </w:r>
            <w:r>
              <w:rPr>
                <w:rFonts w:ascii="Calibri"/>
                <w:b/>
                <w:sz w:val="22"/>
              </w:rPr>
              <w:t>vs</w:t>
            </w:r>
            <w:r>
              <w:rPr>
                <w:rFonts w:ascii="Calibri"/>
                <w:b/>
                <w:spacing w:val="-2"/>
                <w:sz w:val="22"/>
              </w:rPr>
              <w:t> </w:t>
            </w:r>
            <w:r>
              <w:rPr>
                <w:rFonts w:ascii="Calibri"/>
                <w:b/>
                <w:spacing w:val="-5"/>
                <w:sz w:val="22"/>
              </w:rPr>
              <w:t>G3</w:t>
            </w:r>
          </w:p>
        </w:tc>
        <w:tc>
          <w:tcPr>
            <w:tcW w:w="1594" w:type="dxa"/>
            <w:tcBorders>
              <w:bottom w:val="single" w:sz="4" w:space="0" w:color="000000"/>
            </w:tcBorders>
          </w:tcPr>
          <w:p>
            <w:pPr>
              <w:pStyle w:val="TableParagraph"/>
              <w:spacing w:before="86"/>
              <w:ind w:left="51"/>
              <w:rPr>
                <w:sz w:val="22"/>
              </w:rPr>
            </w:pPr>
            <w:r>
              <w:rPr>
                <w:spacing w:val="-2"/>
                <w:sz w:val="22"/>
              </w:rPr>
              <w:t>0.512</w:t>
            </w:r>
          </w:p>
        </w:tc>
        <w:tc>
          <w:tcPr>
            <w:tcW w:w="1542" w:type="dxa"/>
            <w:tcBorders>
              <w:bottom w:val="single" w:sz="4" w:space="0" w:color="000000"/>
            </w:tcBorders>
          </w:tcPr>
          <w:p>
            <w:pPr>
              <w:pStyle w:val="TableParagraph"/>
              <w:spacing w:before="86"/>
              <w:ind w:left="4" w:right="4"/>
              <w:rPr>
                <w:sz w:val="22"/>
              </w:rPr>
            </w:pPr>
            <w:r>
              <w:rPr>
                <w:spacing w:val="-2"/>
                <w:sz w:val="22"/>
              </w:rPr>
              <w:t>0.448</w:t>
            </w:r>
          </w:p>
        </w:tc>
        <w:tc>
          <w:tcPr>
            <w:tcW w:w="1542" w:type="dxa"/>
            <w:tcBorders>
              <w:bottom w:val="single" w:sz="4" w:space="0" w:color="000000"/>
            </w:tcBorders>
          </w:tcPr>
          <w:p>
            <w:pPr>
              <w:pStyle w:val="TableParagraph"/>
              <w:spacing w:before="86"/>
              <w:ind w:left="3" w:right="4"/>
              <w:rPr>
                <w:sz w:val="22"/>
              </w:rPr>
            </w:pPr>
            <w:r>
              <w:rPr>
                <w:spacing w:val="-2"/>
                <w:sz w:val="22"/>
              </w:rPr>
              <w:t>0.990</w:t>
            </w:r>
          </w:p>
        </w:tc>
        <w:tc>
          <w:tcPr>
            <w:tcW w:w="1643" w:type="dxa"/>
            <w:tcBorders>
              <w:bottom w:val="single" w:sz="4" w:space="0" w:color="000000"/>
            </w:tcBorders>
          </w:tcPr>
          <w:p>
            <w:pPr>
              <w:pStyle w:val="TableParagraph"/>
              <w:spacing w:before="86"/>
              <w:ind w:left="2" w:right="107"/>
              <w:rPr>
                <w:sz w:val="22"/>
              </w:rPr>
            </w:pPr>
            <w:r>
              <w:rPr>
                <w:spacing w:val="-2"/>
                <w:sz w:val="22"/>
              </w:rPr>
              <w:t>0.921</w:t>
            </w:r>
          </w:p>
        </w:tc>
        <w:tc>
          <w:tcPr>
            <w:tcW w:w="1844" w:type="dxa"/>
            <w:tcBorders>
              <w:bottom w:val="single" w:sz="4" w:space="0" w:color="000000"/>
            </w:tcBorders>
          </w:tcPr>
          <w:p>
            <w:pPr>
              <w:pStyle w:val="TableParagraph"/>
              <w:spacing w:before="86"/>
              <w:ind w:left="2" w:right="108"/>
              <w:rPr>
                <w:sz w:val="22"/>
              </w:rPr>
            </w:pPr>
            <w:r>
              <w:rPr>
                <w:spacing w:val="-2"/>
                <w:sz w:val="22"/>
              </w:rPr>
              <w:t>0.584</w:t>
            </w:r>
          </w:p>
        </w:tc>
      </w:tr>
    </w:tbl>
    <w:p>
      <w:pPr>
        <w:pStyle w:val="BodyText"/>
        <w:spacing w:before="11"/>
        <w:rPr>
          <w:b/>
          <w:sz w:val="22"/>
        </w:rPr>
      </w:pPr>
    </w:p>
    <w:p>
      <w:pPr>
        <w:spacing w:before="0"/>
        <w:ind w:left="560" w:right="0" w:firstLine="0"/>
        <w:jc w:val="left"/>
        <w:rPr>
          <w:rFonts w:ascii="Arial"/>
          <w:b/>
          <w:sz w:val="20"/>
        </w:rPr>
      </w:pPr>
      <w:r>
        <w:rPr>
          <w:rFonts w:ascii="Arial"/>
          <w:b/>
          <w:spacing w:val="-5"/>
          <w:sz w:val="20"/>
        </w:rPr>
        <w:t>KEY</w:t>
      </w:r>
    </w:p>
    <w:p>
      <w:pPr>
        <w:spacing w:before="37"/>
        <w:ind w:left="560" w:right="0" w:firstLine="0"/>
        <w:jc w:val="left"/>
        <w:rPr>
          <w:rFonts w:ascii="Microsoft Sans Serif" w:hAnsi="Microsoft Sans Serif"/>
          <w:sz w:val="16"/>
        </w:rPr>
      </w:pPr>
      <w:r>
        <w:rPr>
          <w:rFonts w:ascii="Symbol" w:hAnsi="Symbol"/>
          <w:sz w:val="16"/>
        </w:rPr>
        <w:t></w:t>
      </w:r>
      <w:r>
        <w:rPr>
          <w:rFonts w:ascii="Microsoft Sans Serif" w:hAnsi="Microsoft Sans Serif"/>
          <w:sz w:val="16"/>
        </w:rPr>
        <w:t>-level set</w:t>
      </w:r>
      <w:r>
        <w:rPr>
          <w:rFonts w:ascii="Microsoft Sans Serif" w:hAnsi="Microsoft Sans Serif"/>
          <w:spacing w:val="-2"/>
          <w:sz w:val="16"/>
        </w:rPr>
        <w:t> </w:t>
      </w:r>
      <w:r>
        <w:rPr>
          <w:rFonts w:ascii="Microsoft Sans Serif" w:hAnsi="Microsoft Sans Serif"/>
          <w:sz w:val="16"/>
        </w:rPr>
        <w:t>at</w:t>
      </w:r>
      <w:r>
        <w:rPr>
          <w:rFonts w:ascii="Microsoft Sans Serif" w:hAnsi="Microsoft Sans Serif"/>
          <w:spacing w:val="-2"/>
          <w:sz w:val="16"/>
        </w:rPr>
        <w:t> </w:t>
      </w:r>
      <w:r>
        <w:rPr>
          <w:rFonts w:ascii="Microsoft Sans Serif" w:hAnsi="Microsoft Sans Serif"/>
          <w:spacing w:val="-4"/>
          <w:sz w:val="16"/>
        </w:rPr>
        <w:t>0.05</w:t>
      </w:r>
    </w:p>
    <w:p>
      <w:pPr>
        <w:spacing w:line="280" w:lineRule="auto" w:before="33"/>
        <w:ind w:left="560" w:right="7940" w:firstLine="0"/>
        <w:jc w:val="left"/>
        <w:rPr>
          <w:rFonts w:ascii="Microsoft Sans Serif"/>
          <w:sz w:val="16"/>
        </w:rPr>
      </w:pPr>
      <w:r>
        <w:rPr>
          <w:rFonts w:ascii="Microsoft Sans Serif"/>
          <w:sz w:val="16"/>
        </w:rPr>
        <w:t>*(P&lt;0.05) = Significant P&gt;0.05 = Not significant G1 =PRIMIGRAVIDAE </w:t>
      </w:r>
      <w:r>
        <w:rPr>
          <w:rFonts w:ascii="Microsoft Sans Serif"/>
          <w:spacing w:val="-2"/>
          <w:sz w:val="16"/>
        </w:rPr>
        <w:t>G2=SECONDIGRAVIDAE G3=MULTIGRAVIDAE</w:t>
      </w:r>
    </w:p>
    <w:p>
      <w:pPr>
        <w:spacing w:after="0" w:line="280" w:lineRule="auto"/>
        <w:jc w:val="left"/>
        <w:rPr>
          <w:rFonts w:ascii="Microsoft Sans Serif"/>
          <w:sz w:val="16"/>
        </w:rPr>
        <w:sectPr>
          <w:pgSz w:w="11910" w:h="16840"/>
          <w:pgMar w:header="0" w:footer="1067" w:top="1060" w:bottom="1260" w:left="880" w:right="640"/>
        </w:sectPr>
      </w:pPr>
    </w:p>
    <w:p>
      <w:pPr>
        <w:spacing w:before="76"/>
        <w:ind w:left="4360" w:right="0" w:firstLine="0"/>
        <w:jc w:val="left"/>
        <w:rPr>
          <w:b/>
          <w:sz w:val="20"/>
        </w:rPr>
      </w:pPr>
      <w:r>
        <w:rPr>
          <w:b/>
          <w:sz w:val="20"/>
        </w:rPr>
        <w:t>APPENDIX</w:t>
      </w:r>
      <w:r>
        <w:rPr>
          <w:b/>
          <w:spacing w:val="-11"/>
          <w:sz w:val="20"/>
        </w:rPr>
        <w:t> </w:t>
      </w:r>
      <w:r>
        <w:rPr>
          <w:b/>
          <w:spacing w:val="-4"/>
          <w:sz w:val="20"/>
        </w:rPr>
        <w:t>IIId</w:t>
      </w:r>
    </w:p>
    <w:p>
      <w:pPr>
        <w:spacing w:line="360" w:lineRule="auto" w:before="117"/>
        <w:ind w:left="1911" w:right="0" w:hanging="1352"/>
        <w:jc w:val="left"/>
        <w:rPr>
          <w:b/>
          <w:sz w:val="22"/>
        </w:rPr>
      </w:pPr>
      <w:r>
        <w:rPr>
          <w:b/>
          <w:sz w:val="22"/>
        </w:rPr>
        <w:t>TABLE</w:t>
      </w:r>
      <w:r>
        <w:rPr>
          <w:b/>
          <w:spacing w:val="-3"/>
          <w:sz w:val="22"/>
        </w:rPr>
        <w:t> </w:t>
      </w:r>
      <w:r>
        <w:rPr>
          <w:b/>
          <w:sz w:val="22"/>
        </w:rPr>
        <w:t>4.14:</w:t>
      </w:r>
      <w:r>
        <w:rPr>
          <w:b/>
          <w:spacing w:val="-2"/>
          <w:sz w:val="22"/>
        </w:rPr>
        <w:t> </w:t>
      </w:r>
      <w:r>
        <w:rPr>
          <w:b/>
          <w:sz w:val="22"/>
        </w:rPr>
        <w:t>COMPARISON</w:t>
      </w:r>
      <w:r>
        <w:rPr>
          <w:b/>
          <w:spacing w:val="-2"/>
          <w:sz w:val="22"/>
        </w:rPr>
        <w:t> </w:t>
      </w:r>
      <w:r>
        <w:rPr>
          <w:b/>
          <w:sz w:val="22"/>
        </w:rPr>
        <w:t>OF</w:t>
      </w:r>
      <w:r>
        <w:rPr>
          <w:b/>
          <w:spacing w:val="-2"/>
          <w:sz w:val="22"/>
        </w:rPr>
        <w:t> </w:t>
      </w:r>
      <w:r>
        <w:rPr>
          <w:b/>
          <w:sz w:val="22"/>
        </w:rPr>
        <w:t>THE</w:t>
      </w:r>
      <w:r>
        <w:rPr>
          <w:b/>
          <w:spacing w:val="-3"/>
          <w:sz w:val="22"/>
        </w:rPr>
        <w:t> </w:t>
      </w:r>
      <w:r>
        <w:rPr>
          <w:b/>
          <w:sz w:val="22"/>
        </w:rPr>
        <w:t>EFFECT</w:t>
      </w:r>
      <w:r>
        <w:rPr>
          <w:b/>
          <w:spacing w:val="-3"/>
          <w:sz w:val="22"/>
        </w:rPr>
        <w:t> </w:t>
      </w:r>
      <w:r>
        <w:rPr>
          <w:b/>
          <w:sz w:val="22"/>
        </w:rPr>
        <w:t>OF</w:t>
      </w:r>
      <w:r>
        <w:rPr>
          <w:b/>
          <w:spacing w:val="-2"/>
          <w:sz w:val="22"/>
        </w:rPr>
        <w:t> </w:t>
      </w:r>
      <w:r>
        <w:rPr>
          <w:b/>
          <w:sz w:val="22"/>
        </w:rPr>
        <w:t>AGE</w:t>
      </w:r>
      <w:r>
        <w:rPr>
          <w:b/>
          <w:spacing w:val="-6"/>
          <w:sz w:val="22"/>
        </w:rPr>
        <w:t> </w:t>
      </w:r>
      <w:r>
        <w:rPr>
          <w:b/>
          <w:sz w:val="22"/>
        </w:rPr>
        <w:t>ON</w:t>
      </w:r>
      <w:r>
        <w:rPr>
          <w:b/>
          <w:spacing w:val="-3"/>
          <w:sz w:val="22"/>
        </w:rPr>
        <w:t> </w:t>
      </w:r>
      <w:r>
        <w:rPr>
          <w:b/>
          <w:sz w:val="22"/>
        </w:rPr>
        <w:t>IRON</w:t>
      </w:r>
      <w:r>
        <w:rPr>
          <w:b/>
          <w:spacing w:val="-3"/>
          <w:sz w:val="22"/>
        </w:rPr>
        <w:t> </w:t>
      </w:r>
      <w:r>
        <w:rPr>
          <w:b/>
          <w:sz w:val="22"/>
        </w:rPr>
        <w:t>STATUS</w:t>
      </w:r>
      <w:r>
        <w:rPr>
          <w:b/>
          <w:spacing w:val="-2"/>
          <w:sz w:val="22"/>
        </w:rPr>
        <w:t> </w:t>
      </w:r>
      <w:r>
        <w:rPr>
          <w:b/>
          <w:sz w:val="22"/>
        </w:rPr>
        <w:t>OF</w:t>
      </w:r>
      <w:r>
        <w:rPr>
          <w:b/>
          <w:spacing w:val="-2"/>
          <w:sz w:val="22"/>
        </w:rPr>
        <w:t> </w:t>
      </w:r>
      <w:r>
        <w:rPr>
          <w:b/>
          <w:sz w:val="22"/>
        </w:rPr>
        <w:t>MALARIA INFECTED PREGNANT WOMEN</w:t>
      </w:r>
    </w:p>
    <w:p>
      <w:pPr>
        <w:pStyle w:val="BodyText"/>
        <w:spacing w:before="116"/>
        <w:rPr>
          <w:b/>
          <w:sz w:val="20"/>
        </w:rPr>
      </w:pPr>
    </w:p>
    <w:tbl>
      <w:tblPr>
        <w:tblW w:w="0" w:type="auto"/>
        <w:jc w:val="left"/>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68"/>
        <w:gridCol w:w="2384"/>
        <w:gridCol w:w="2201"/>
        <w:gridCol w:w="2302"/>
      </w:tblGrid>
      <w:tr>
        <w:trPr>
          <w:trHeight w:val="451" w:hRule="atLeast"/>
        </w:trPr>
        <w:tc>
          <w:tcPr>
            <w:tcW w:w="2368" w:type="dxa"/>
            <w:tcBorders>
              <w:top w:val="single" w:sz="4" w:space="0" w:color="000000"/>
              <w:bottom w:val="single" w:sz="4" w:space="0" w:color="000000"/>
            </w:tcBorders>
          </w:tcPr>
          <w:p>
            <w:pPr>
              <w:pStyle w:val="TableParagraph"/>
              <w:spacing w:line="292" w:lineRule="exact"/>
              <w:ind w:left="2" w:right="42"/>
              <w:rPr>
                <w:rFonts w:ascii="Calibri"/>
                <w:b/>
                <w:sz w:val="24"/>
              </w:rPr>
            </w:pPr>
            <w:r>
              <w:rPr>
                <w:rFonts w:ascii="Calibri"/>
                <w:b/>
                <w:sz w:val="24"/>
              </w:rPr>
              <w:t>AGE</w:t>
            </w:r>
            <w:r>
              <w:rPr>
                <w:rFonts w:ascii="Calibri"/>
                <w:b/>
                <w:spacing w:val="-1"/>
                <w:sz w:val="24"/>
              </w:rPr>
              <w:t> </w:t>
            </w:r>
            <w:r>
              <w:rPr>
                <w:rFonts w:ascii="Calibri"/>
                <w:b/>
                <w:spacing w:val="-2"/>
                <w:sz w:val="24"/>
              </w:rPr>
              <w:t>GROUPS</w:t>
            </w:r>
          </w:p>
        </w:tc>
        <w:tc>
          <w:tcPr>
            <w:tcW w:w="2384" w:type="dxa"/>
            <w:tcBorders>
              <w:top w:val="single" w:sz="4" w:space="0" w:color="000000"/>
              <w:bottom w:val="single" w:sz="4" w:space="0" w:color="000000"/>
            </w:tcBorders>
          </w:tcPr>
          <w:p>
            <w:pPr>
              <w:pStyle w:val="TableParagraph"/>
              <w:spacing w:line="292" w:lineRule="exact"/>
              <w:ind w:left="702"/>
              <w:jc w:val="left"/>
              <w:rPr>
                <w:rFonts w:ascii="Calibri"/>
                <w:b/>
                <w:sz w:val="24"/>
              </w:rPr>
            </w:pPr>
            <w:r>
              <w:rPr>
                <w:rFonts w:ascii="Calibri"/>
                <w:b/>
                <w:sz w:val="24"/>
              </w:rPr>
              <w:t>HB </w:t>
            </w:r>
            <w:r>
              <w:rPr>
                <w:rFonts w:ascii="Calibri"/>
                <w:b/>
                <w:spacing w:val="-2"/>
                <w:sz w:val="24"/>
              </w:rPr>
              <w:t>(g/L)</w:t>
            </w:r>
          </w:p>
        </w:tc>
        <w:tc>
          <w:tcPr>
            <w:tcW w:w="2201" w:type="dxa"/>
            <w:tcBorders>
              <w:top w:val="single" w:sz="4" w:space="0" w:color="000000"/>
              <w:bottom w:val="single" w:sz="4" w:space="0" w:color="000000"/>
            </w:tcBorders>
          </w:tcPr>
          <w:p>
            <w:pPr>
              <w:pStyle w:val="TableParagraph"/>
              <w:spacing w:line="292" w:lineRule="exact"/>
              <w:ind w:left="4" w:right="134"/>
              <w:rPr>
                <w:rFonts w:ascii="Calibri"/>
                <w:b/>
                <w:sz w:val="24"/>
              </w:rPr>
            </w:pPr>
            <w:r>
              <w:rPr>
                <w:rFonts w:ascii="Calibri"/>
                <w:b/>
                <w:sz w:val="24"/>
              </w:rPr>
              <w:t>sTfRA </w:t>
            </w:r>
            <w:r>
              <w:rPr>
                <w:rFonts w:ascii="Calibri"/>
                <w:b/>
                <w:spacing w:val="-2"/>
                <w:sz w:val="24"/>
              </w:rPr>
              <w:t>(nmol/L)</w:t>
            </w:r>
          </w:p>
        </w:tc>
        <w:tc>
          <w:tcPr>
            <w:tcW w:w="2302" w:type="dxa"/>
            <w:tcBorders>
              <w:top w:val="single" w:sz="4" w:space="0" w:color="000000"/>
              <w:bottom w:val="single" w:sz="4" w:space="0" w:color="000000"/>
            </w:tcBorders>
          </w:tcPr>
          <w:p>
            <w:pPr>
              <w:pStyle w:val="TableParagraph"/>
              <w:spacing w:line="304" w:lineRule="exact"/>
              <w:ind w:right="15"/>
              <w:rPr>
                <w:rFonts w:ascii="Calibri" w:hAnsi="Calibri"/>
                <w:b/>
                <w:sz w:val="24"/>
              </w:rPr>
            </w:pPr>
            <w:r>
              <w:rPr>
                <w:rFonts w:ascii="Calibri" w:hAnsi="Calibri"/>
                <w:b/>
                <w:sz w:val="24"/>
              </w:rPr>
              <w:t>SF</w:t>
            </w:r>
            <w:r>
              <w:rPr>
                <w:rFonts w:ascii="Calibri" w:hAnsi="Calibri"/>
                <w:b/>
                <w:spacing w:val="-1"/>
                <w:sz w:val="24"/>
              </w:rPr>
              <w:t> </w:t>
            </w:r>
            <w:r>
              <w:rPr>
                <w:rFonts w:ascii="Calibri" w:hAnsi="Calibri"/>
                <w:b/>
                <w:spacing w:val="-2"/>
                <w:sz w:val="24"/>
              </w:rPr>
              <w:t>(</w:t>
            </w:r>
            <w:r>
              <w:rPr>
                <w:rFonts w:ascii="Symbol" w:hAnsi="Symbol"/>
                <w:spacing w:val="-2"/>
                <w:sz w:val="24"/>
              </w:rPr>
              <w:t></w:t>
            </w:r>
            <w:r>
              <w:rPr>
                <w:rFonts w:ascii="Calibri" w:hAnsi="Calibri"/>
                <w:b/>
                <w:spacing w:val="-2"/>
                <w:sz w:val="24"/>
              </w:rPr>
              <w:t>g/L)</w:t>
            </w:r>
          </w:p>
        </w:tc>
      </w:tr>
      <w:tr>
        <w:trPr>
          <w:trHeight w:val="474" w:hRule="atLeast"/>
        </w:trPr>
        <w:tc>
          <w:tcPr>
            <w:tcW w:w="2368" w:type="dxa"/>
            <w:tcBorders>
              <w:top w:val="single" w:sz="4" w:space="0" w:color="000000"/>
            </w:tcBorders>
          </w:tcPr>
          <w:p>
            <w:pPr>
              <w:pStyle w:val="TableParagraph"/>
              <w:spacing w:line="292" w:lineRule="exact"/>
              <w:ind w:left="4" w:right="42"/>
              <w:rPr>
                <w:rFonts w:ascii="Calibri"/>
                <w:b/>
                <w:sz w:val="24"/>
              </w:rPr>
            </w:pPr>
            <w:r>
              <w:rPr>
                <w:rFonts w:ascii="Calibri"/>
                <w:b/>
                <w:sz w:val="24"/>
              </w:rPr>
              <w:t>G1(n</w:t>
            </w:r>
            <w:r>
              <w:rPr>
                <w:rFonts w:ascii="Calibri"/>
                <w:b/>
                <w:spacing w:val="1"/>
                <w:sz w:val="24"/>
              </w:rPr>
              <w:t> </w:t>
            </w:r>
            <w:r>
              <w:rPr>
                <w:rFonts w:ascii="Calibri"/>
                <w:b/>
                <w:sz w:val="24"/>
              </w:rPr>
              <w:t>=</w:t>
            </w:r>
            <w:r>
              <w:rPr>
                <w:rFonts w:ascii="Calibri"/>
                <w:b/>
                <w:spacing w:val="-1"/>
                <w:sz w:val="24"/>
              </w:rPr>
              <w:t> </w:t>
            </w:r>
            <w:r>
              <w:rPr>
                <w:rFonts w:ascii="Calibri"/>
                <w:b/>
                <w:spacing w:val="-5"/>
                <w:sz w:val="24"/>
              </w:rPr>
              <w:t>14)</w:t>
            </w:r>
          </w:p>
        </w:tc>
        <w:tc>
          <w:tcPr>
            <w:tcW w:w="2384" w:type="dxa"/>
            <w:tcBorders>
              <w:top w:val="single" w:sz="4" w:space="0" w:color="000000"/>
            </w:tcBorders>
          </w:tcPr>
          <w:p>
            <w:pPr>
              <w:pStyle w:val="TableParagraph"/>
              <w:spacing w:before="37"/>
              <w:ind w:right="288"/>
              <w:jc w:val="right"/>
              <w:rPr>
                <w:sz w:val="24"/>
              </w:rPr>
            </w:pPr>
            <w:r>
              <w:rPr>
                <w:sz w:val="24"/>
              </w:rPr>
              <w:t>102.43 ± </w:t>
            </w:r>
            <w:r>
              <w:rPr>
                <w:spacing w:val="-2"/>
                <w:sz w:val="24"/>
              </w:rPr>
              <w:t>11.55</w:t>
            </w:r>
          </w:p>
        </w:tc>
        <w:tc>
          <w:tcPr>
            <w:tcW w:w="2201" w:type="dxa"/>
            <w:tcBorders>
              <w:top w:val="single" w:sz="4" w:space="0" w:color="000000"/>
            </w:tcBorders>
          </w:tcPr>
          <w:p>
            <w:pPr>
              <w:pStyle w:val="TableParagraph"/>
              <w:spacing w:line="288" w:lineRule="exact"/>
              <w:ind w:left="3" w:right="134"/>
              <w:rPr>
                <w:sz w:val="24"/>
              </w:rPr>
            </w:pPr>
            <w:r>
              <w:rPr>
                <w:spacing w:val="-2"/>
                <w:sz w:val="24"/>
              </w:rPr>
              <w:t>61.279</w:t>
            </w:r>
            <w:r>
              <w:rPr>
                <w:rFonts w:ascii="Symbol" w:hAnsi="Symbol"/>
                <w:spacing w:val="-2"/>
                <w:sz w:val="24"/>
              </w:rPr>
              <w:t></w:t>
            </w:r>
            <w:r>
              <w:rPr>
                <w:spacing w:val="-2"/>
                <w:sz w:val="24"/>
              </w:rPr>
              <w:t>20.15</w:t>
            </w:r>
          </w:p>
        </w:tc>
        <w:tc>
          <w:tcPr>
            <w:tcW w:w="2302" w:type="dxa"/>
            <w:tcBorders>
              <w:top w:val="single" w:sz="4" w:space="0" w:color="000000"/>
            </w:tcBorders>
          </w:tcPr>
          <w:p>
            <w:pPr>
              <w:pStyle w:val="TableParagraph"/>
              <w:spacing w:line="288" w:lineRule="exact"/>
              <w:ind w:left="5" w:right="15"/>
              <w:rPr>
                <w:sz w:val="24"/>
              </w:rPr>
            </w:pPr>
            <w:r>
              <w:rPr>
                <w:spacing w:val="-2"/>
                <w:sz w:val="24"/>
              </w:rPr>
              <w:t>35.471</w:t>
            </w:r>
            <w:r>
              <w:rPr>
                <w:rFonts w:ascii="Symbol" w:hAnsi="Symbol"/>
                <w:spacing w:val="-2"/>
                <w:sz w:val="24"/>
              </w:rPr>
              <w:t></w:t>
            </w:r>
            <w:r>
              <w:rPr>
                <w:spacing w:val="-2"/>
                <w:sz w:val="24"/>
              </w:rPr>
              <w:t>46.26</w:t>
            </w:r>
          </w:p>
        </w:tc>
      </w:tr>
      <w:tr>
        <w:trPr>
          <w:trHeight w:val="679" w:hRule="atLeast"/>
        </w:trPr>
        <w:tc>
          <w:tcPr>
            <w:tcW w:w="2368" w:type="dxa"/>
          </w:tcPr>
          <w:p>
            <w:pPr>
              <w:pStyle w:val="TableParagraph"/>
              <w:spacing w:before="165"/>
              <w:ind w:left="4" w:right="42"/>
              <w:rPr>
                <w:rFonts w:ascii="Calibri"/>
                <w:b/>
                <w:sz w:val="24"/>
              </w:rPr>
            </w:pPr>
            <w:r>
              <w:rPr>
                <w:rFonts w:ascii="Calibri"/>
                <w:b/>
                <w:sz w:val="24"/>
              </w:rPr>
              <w:t>G2(n</w:t>
            </w:r>
            <w:r>
              <w:rPr>
                <w:rFonts w:ascii="Calibri"/>
                <w:b/>
                <w:spacing w:val="1"/>
                <w:sz w:val="24"/>
              </w:rPr>
              <w:t> </w:t>
            </w:r>
            <w:r>
              <w:rPr>
                <w:rFonts w:ascii="Calibri"/>
                <w:b/>
                <w:sz w:val="24"/>
              </w:rPr>
              <w:t>=</w:t>
            </w:r>
            <w:r>
              <w:rPr>
                <w:rFonts w:ascii="Calibri"/>
                <w:b/>
                <w:spacing w:val="-1"/>
                <w:sz w:val="24"/>
              </w:rPr>
              <w:t> </w:t>
            </w:r>
            <w:r>
              <w:rPr>
                <w:rFonts w:ascii="Calibri"/>
                <w:b/>
                <w:spacing w:val="-5"/>
                <w:sz w:val="24"/>
              </w:rPr>
              <w:t>47)</w:t>
            </w:r>
          </w:p>
        </w:tc>
        <w:tc>
          <w:tcPr>
            <w:tcW w:w="2384" w:type="dxa"/>
          </w:tcPr>
          <w:p>
            <w:pPr>
              <w:pStyle w:val="TableParagraph"/>
              <w:spacing w:before="203"/>
              <w:ind w:right="288"/>
              <w:jc w:val="right"/>
              <w:rPr>
                <w:sz w:val="24"/>
              </w:rPr>
            </w:pPr>
            <w:r>
              <w:rPr>
                <w:sz w:val="24"/>
              </w:rPr>
              <w:t>99.73 ± </w:t>
            </w:r>
            <w:r>
              <w:rPr>
                <w:spacing w:val="-4"/>
                <w:sz w:val="24"/>
              </w:rPr>
              <w:t>9.41</w:t>
            </w:r>
          </w:p>
        </w:tc>
        <w:tc>
          <w:tcPr>
            <w:tcW w:w="2201" w:type="dxa"/>
          </w:tcPr>
          <w:p>
            <w:pPr>
              <w:pStyle w:val="TableParagraph"/>
              <w:spacing w:before="159"/>
              <w:ind w:left="3" w:right="134"/>
              <w:rPr>
                <w:sz w:val="24"/>
              </w:rPr>
            </w:pPr>
            <w:r>
              <w:rPr>
                <w:spacing w:val="-2"/>
                <w:sz w:val="24"/>
              </w:rPr>
              <w:t>65.701</w:t>
            </w:r>
            <w:r>
              <w:rPr>
                <w:rFonts w:ascii="Symbol" w:hAnsi="Symbol"/>
                <w:spacing w:val="-2"/>
                <w:sz w:val="24"/>
              </w:rPr>
              <w:t></w:t>
            </w:r>
            <w:r>
              <w:rPr>
                <w:spacing w:val="-2"/>
                <w:sz w:val="24"/>
              </w:rPr>
              <w:t>19.81</w:t>
            </w:r>
          </w:p>
        </w:tc>
        <w:tc>
          <w:tcPr>
            <w:tcW w:w="2302" w:type="dxa"/>
          </w:tcPr>
          <w:p>
            <w:pPr>
              <w:pStyle w:val="TableParagraph"/>
              <w:spacing w:before="159"/>
              <w:ind w:left="5" w:right="15"/>
              <w:rPr>
                <w:sz w:val="24"/>
              </w:rPr>
            </w:pPr>
            <w:r>
              <w:rPr>
                <w:spacing w:val="-2"/>
                <w:sz w:val="24"/>
              </w:rPr>
              <w:t>58.792</w:t>
            </w:r>
            <w:r>
              <w:rPr>
                <w:rFonts w:ascii="Symbol" w:hAnsi="Symbol"/>
                <w:spacing w:val="-2"/>
                <w:sz w:val="24"/>
              </w:rPr>
              <w:t></w:t>
            </w:r>
            <w:r>
              <w:rPr>
                <w:spacing w:val="-2"/>
                <w:sz w:val="24"/>
              </w:rPr>
              <w:t>136.47</w:t>
            </w:r>
          </w:p>
        </w:tc>
      </w:tr>
      <w:tr>
        <w:trPr>
          <w:trHeight w:val="674" w:hRule="atLeast"/>
        </w:trPr>
        <w:tc>
          <w:tcPr>
            <w:tcW w:w="2368" w:type="dxa"/>
          </w:tcPr>
          <w:p>
            <w:pPr>
              <w:pStyle w:val="TableParagraph"/>
              <w:spacing w:before="206"/>
              <w:ind w:left="4" w:right="42"/>
              <w:rPr>
                <w:rFonts w:ascii="Calibri"/>
                <w:b/>
                <w:sz w:val="24"/>
              </w:rPr>
            </w:pPr>
            <w:r>
              <w:rPr>
                <w:rFonts w:ascii="Calibri"/>
                <w:b/>
                <w:sz w:val="24"/>
              </w:rPr>
              <w:t>G3(n</w:t>
            </w:r>
            <w:r>
              <w:rPr>
                <w:rFonts w:ascii="Calibri"/>
                <w:b/>
                <w:spacing w:val="1"/>
                <w:sz w:val="24"/>
              </w:rPr>
              <w:t> </w:t>
            </w:r>
            <w:r>
              <w:rPr>
                <w:rFonts w:ascii="Calibri"/>
                <w:b/>
                <w:sz w:val="24"/>
              </w:rPr>
              <w:t>=</w:t>
            </w:r>
            <w:r>
              <w:rPr>
                <w:rFonts w:ascii="Calibri"/>
                <w:b/>
                <w:spacing w:val="-1"/>
                <w:sz w:val="24"/>
              </w:rPr>
              <w:t> </w:t>
            </w:r>
            <w:r>
              <w:rPr>
                <w:rFonts w:ascii="Calibri"/>
                <w:b/>
                <w:spacing w:val="-5"/>
                <w:sz w:val="24"/>
              </w:rPr>
              <w:t>60)</w:t>
            </w:r>
          </w:p>
        </w:tc>
        <w:tc>
          <w:tcPr>
            <w:tcW w:w="2384" w:type="dxa"/>
          </w:tcPr>
          <w:p>
            <w:pPr>
              <w:pStyle w:val="TableParagraph"/>
              <w:spacing w:before="244"/>
              <w:ind w:right="287"/>
              <w:jc w:val="right"/>
              <w:rPr>
                <w:sz w:val="24"/>
              </w:rPr>
            </w:pPr>
            <w:r>
              <w:rPr>
                <w:sz w:val="24"/>
              </w:rPr>
              <w:t>104.81 ± </w:t>
            </w:r>
            <w:r>
              <w:rPr>
                <w:spacing w:val="-2"/>
                <w:sz w:val="24"/>
              </w:rPr>
              <w:t>12.86</w:t>
            </w:r>
          </w:p>
        </w:tc>
        <w:tc>
          <w:tcPr>
            <w:tcW w:w="2201" w:type="dxa"/>
          </w:tcPr>
          <w:p>
            <w:pPr>
              <w:pStyle w:val="TableParagraph"/>
              <w:spacing w:before="200"/>
              <w:ind w:left="3" w:right="134"/>
              <w:rPr>
                <w:sz w:val="24"/>
              </w:rPr>
            </w:pPr>
            <w:r>
              <w:rPr>
                <w:spacing w:val="-2"/>
                <w:sz w:val="24"/>
              </w:rPr>
              <w:t>60.255</w:t>
            </w:r>
            <w:r>
              <w:rPr>
                <w:rFonts w:ascii="Symbol" w:hAnsi="Symbol"/>
                <w:spacing w:val="-2"/>
                <w:sz w:val="24"/>
              </w:rPr>
              <w:t></w:t>
            </w:r>
            <w:r>
              <w:rPr>
                <w:spacing w:val="-2"/>
                <w:sz w:val="24"/>
              </w:rPr>
              <w:t>21.82</w:t>
            </w:r>
          </w:p>
        </w:tc>
        <w:tc>
          <w:tcPr>
            <w:tcW w:w="2302" w:type="dxa"/>
          </w:tcPr>
          <w:p>
            <w:pPr>
              <w:pStyle w:val="TableParagraph"/>
              <w:spacing w:before="200"/>
              <w:ind w:left="5" w:right="15"/>
              <w:rPr>
                <w:sz w:val="24"/>
              </w:rPr>
            </w:pPr>
            <w:r>
              <w:rPr>
                <w:spacing w:val="-2"/>
                <w:sz w:val="24"/>
              </w:rPr>
              <w:t>38.203</w:t>
            </w:r>
            <w:r>
              <w:rPr>
                <w:rFonts w:ascii="Symbol" w:hAnsi="Symbol"/>
                <w:spacing w:val="-2"/>
                <w:sz w:val="24"/>
              </w:rPr>
              <w:t></w:t>
            </w:r>
            <w:r>
              <w:rPr>
                <w:spacing w:val="-2"/>
                <w:sz w:val="24"/>
              </w:rPr>
              <w:t>40.90</w:t>
            </w:r>
          </w:p>
        </w:tc>
      </w:tr>
      <w:tr>
        <w:trPr>
          <w:trHeight w:val="625" w:hRule="atLeast"/>
        </w:trPr>
        <w:tc>
          <w:tcPr>
            <w:tcW w:w="2368" w:type="dxa"/>
          </w:tcPr>
          <w:p>
            <w:pPr>
              <w:pStyle w:val="TableParagraph"/>
              <w:spacing w:before="160"/>
              <w:ind w:left="4" w:right="42"/>
              <w:rPr>
                <w:rFonts w:ascii="Calibri"/>
                <w:b/>
                <w:sz w:val="24"/>
              </w:rPr>
            </w:pPr>
            <w:r>
              <w:rPr>
                <w:rFonts w:ascii="Calibri"/>
                <w:b/>
                <w:sz w:val="24"/>
              </w:rPr>
              <w:t>G4(n</w:t>
            </w:r>
            <w:r>
              <w:rPr>
                <w:rFonts w:ascii="Calibri"/>
                <w:b/>
                <w:spacing w:val="1"/>
                <w:sz w:val="24"/>
              </w:rPr>
              <w:t> </w:t>
            </w:r>
            <w:r>
              <w:rPr>
                <w:rFonts w:ascii="Calibri"/>
                <w:b/>
                <w:sz w:val="24"/>
              </w:rPr>
              <w:t>=</w:t>
            </w:r>
            <w:r>
              <w:rPr>
                <w:rFonts w:ascii="Calibri"/>
                <w:b/>
                <w:spacing w:val="-1"/>
                <w:sz w:val="24"/>
              </w:rPr>
              <w:t> </w:t>
            </w:r>
            <w:r>
              <w:rPr>
                <w:rFonts w:ascii="Calibri"/>
                <w:b/>
                <w:spacing w:val="-5"/>
                <w:sz w:val="24"/>
              </w:rPr>
              <w:t>14)</w:t>
            </w:r>
          </w:p>
        </w:tc>
        <w:tc>
          <w:tcPr>
            <w:tcW w:w="2384" w:type="dxa"/>
          </w:tcPr>
          <w:p>
            <w:pPr>
              <w:pStyle w:val="TableParagraph"/>
              <w:spacing w:before="198"/>
              <w:ind w:right="288"/>
              <w:jc w:val="right"/>
              <w:rPr>
                <w:sz w:val="24"/>
              </w:rPr>
            </w:pPr>
            <w:r>
              <w:rPr>
                <w:sz w:val="24"/>
              </w:rPr>
              <w:t>104.50 ± </w:t>
            </w:r>
            <w:r>
              <w:rPr>
                <w:spacing w:val="-4"/>
                <w:sz w:val="24"/>
              </w:rPr>
              <w:t>9.30</w:t>
            </w:r>
          </w:p>
        </w:tc>
        <w:tc>
          <w:tcPr>
            <w:tcW w:w="2201" w:type="dxa"/>
          </w:tcPr>
          <w:p>
            <w:pPr>
              <w:pStyle w:val="TableParagraph"/>
              <w:spacing w:before="154"/>
              <w:ind w:left="3" w:right="134"/>
              <w:rPr>
                <w:sz w:val="24"/>
              </w:rPr>
            </w:pPr>
            <w:r>
              <w:rPr>
                <w:spacing w:val="-2"/>
                <w:sz w:val="24"/>
              </w:rPr>
              <w:t>61.207</w:t>
            </w:r>
            <w:r>
              <w:rPr>
                <w:rFonts w:ascii="Symbol" w:hAnsi="Symbol"/>
                <w:spacing w:val="-2"/>
                <w:sz w:val="24"/>
              </w:rPr>
              <w:t></w:t>
            </w:r>
            <w:r>
              <w:rPr>
                <w:spacing w:val="-2"/>
                <w:sz w:val="24"/>
              </w:rPr>
              <w:t>29.18</w:t>
            </w:r>
          </w:p>
        </w:tc>
        <w:tc>
          <w:tcPr>
            <w:tcW w:w="2302" w:type="dxa"/>
          </w:tcPr>
          <w:p>
            <w:pPr>
              <w:pStyle w:val="TableParagraph"/>
              <w:spacing w:before="154"/>
              <w:ind w:left="5" w:right="15"/>
              <w:rPr>
                <w:sz w:val="24"/>
              </w:rPr>
            </w:pPr>
            <w:r>
              <w:rPr>
                <w:spacing w:val="-2"/>
                <w:sz w:val="24"/>
              </w:rPr>
              <w:t>25.364</w:t>
            </w:r>
            <w:r>
              <w:rPr>
                <w:rFonts w:ascii="Symbol" w:hAnsi="Symbol"/>
                <w:spacing w:val="-2"/>
                <w:sz w:val="24"/>
              </w:rPr>
              <w:t></w:t>
            </w:r>
            <w:r>
              <w:rPr>
                <w:spacing w:val="-2"/>
                <w:sz w:val="24"/>
              </w:rPr>
              <w:t>13.23</w:t>
            </w:r>
          </w:p>
        </w:tc>
      </w:tr>
      <w:tr>
        <w:trPr>
          <w:trHeight w:val="743" w:hRule="atLeast"/>
        </w:trPr>
        <w:tc>
          <w:tcPr>
            <w:tcW w:w="2368" w:type="dxa"/>
          </w:tcPr>
          <w:p>
            <w:pPr>
              <w:pStyle w:val="TableParagraph"/>
              <w:spacing w:before="156"/>
              <w:ind w:left="1" w:right="42"/>
              <w:rPr>
                <w:rFonts w:ascii="Calibri"/>
                <w:b/>
                <w:sz w:val="24"/>
              </w:rPr>
            </w:pPr>
            <w:r>
              <w:rPr>
                <w:rFonts w:ascii="Calibri"/>
                <w:b/>
                <w:sz w:val="24"/>
              </w:rPr>
              <w:t>G5(n</w:t>
            </w:r>
            <w:r>
              <w:rPr>
                <w:rFonts w:ascii="Calibri"/>
                <w:b/>
                <w:spacing w:val="1"/>
                <w:sz w:val="24"/>
              </w:rPr>
              <w:t> </w:t>
            </w:r>
            <w:r>
              <w:rPr>
                <w:rFonts w:ascii="Calibri"/>
                <w:b/>
                <w:sz w:val="24"/>
              </w:rPr>
              <w:t>=</w:t>
            </w:r>
            <w:r>
              <w:rPr>
                <w:rFonts w:ascii="Calibri"/>
                <w:b/>
                <w:spacing w:val="-1"/>
                <w:sz w:val="24"/>
              </w:rPr>
              <w:t> </w:t>
            </w:r>
            <w:r>
              <w:rPr>
                <w:rFonts w:ascii="Calibri"/>
                <w:b/>
                <w:spacing w:val="-5"/>
                <w:sz w:val="24"/>
              </w:rPr>
              <w:t>9)</w:t>
            </w:r>
          </w:p>
        </w:tc>
        <w:tc>
          <w:tcPr>
            <w:tcW w:w="2384" w:type="dxa"/>
          </w:tcPr>
          <w:p>
            <w:pPr>
              <w:pStyle w:val="TableParagraph"/>
              <w:spacing w:before="194"/>
              <w:ind w:right="288"/>
              <w:jc w:val="right"/>
              <w:rPr>
                <w:sz w:val="24"/>
              </w:rPr>
            </w:pPr>
            <w:r>
              <w:rPr>
                <w:sz w:val="24"/>
              </w:rPr>
              <w:t>101.89 ± </w:t>
            </w:r>
            <w:r>
              <w:rPr>
                <w:spacing w:val="-4"/>
                <w:sz w:val="24"/>
              </w:rPr>
              <w:t>7.20</w:t>
            </w:r>
          </w:p>
        </w:tc>
        <w:tc>
          <w:tcPr>
            <w:tcW w:w="2201" w:type="dxa"/>
          </w:tcPr>
          <w:p>
            <w:pPr>
              <w:pStyle w:val="TableParagraph"/>
              <w:spacing w:before="151"/>
              <w:ind w:left="3" w:right="134"/>
              <w:rPr>
                <w:sz w:val="24"/>
              </w:rPr>
            </w:pPr>
            <w:r>
              <w:rPr>
                <w:spacing w:val="-2"/>
                <w:sz w:val="24"/>
              </w:rPr>
              <w:t>69.144</w:t>
            </w:r>
            <w:r>
              <w:rPr>
                <w:rFonts w:ascii="Symbol" w:hAnsi="Symbol"/>
                <w:spacing w:val="-2"/>
                <w:sz w:val="24"/>
              </w:rPr>
              <w:t></w:t>
            </w:r>
            <w:r>
              <w:rPr>
                <w:spacing w:val="-2"/>
                <w:sz w:val="24"/>
              </w:rPr>
              <w:t>25.71</w:t>
            </w:r>
          </w:p>
        </w:tc>
        <w:tc>
          <w:tcPr>
            <w:tcW w:w="2302" w:type="dxa"/>
          </w:tcPr>
          <w:p>
            <w:pPr>
              <w:pStyle w:val="TableParagraph"/>
              <w:spacing w:before="151"/>
              <w:ind w:left="5" w:right="15"/>
              <w:rPr>
                <w:sz w:val="24"/>
              </w:rPr>
            </w:pPr>
            <w:r>
              <w:rPr>
                <w:spacing w:val="-2"/>
                <w:sz w:val="24"/>
              </w:rPr>
              <w:t>41.467</w:t>
            </w:r>
            <w:r>
              <w:rPr>
                <w:rFonts w:ascii="Symbol" w:hAnsi="Symbol"/>
                <w:spacing w:val="-2"/>
                <w:sz w:val="24"/>
              </w:rPr>
              <w:t></w:t>
            </w:r>
            <w:r>
              <w:rPr>
                <w:spacing w:val="-2"/>
                <w:sz w:val="24"/>
              </w:rPr>
              <w:t>60.37</w:t>
            </w:r>
          </w:p>
        </w:tc>
      </w:tr>
      <w:tr>
        <w:trPr>
          <w:trHeight w:val="660" w:hRule="atLeast"/>
        </w:trPr>
        <w:tc>
          <w:tcPr>
            <w:tcW w:w="2368" w:type="dxa"/>
          </w:tcPr>
          <w:p>
            <w:pPr>
              <w:pStyle w:val="TableParagraph"/>
              <w:spacing w:before="18"/>
              <w:jc w:val="left"/>
              <w:rPr>
                <w:b/>
                <w:sz w:val="24"/>
              </w:rPr>
            </w:pPr>
          </w:p>
          <w:p>
            <w:pPr>
              <w:pStyle w:val="TableParagraph"/>
              <w:ind w:right="42"/>
              <w:rPr>
                <w:rFonts w:ascii="Calibri"/>
                <w:b/>
                <w:sz w:val="24"/>
              </w:rPr>
            </w:pPr>
            <w:r>
              <w:rPr>
                <w:rFonts w:ascii="Calibri"/>
                <w:b/>
                <w:sz w:val="24"/>
              </w:rPr>
              <w:t>F(p) </w:t>
            </w:r>
            <w:r>
              <w:rPr>
                <w:rFonts w:ascii="Calibri"/>
                <w:b/>
                <w:spacing w:val="-2"/>
                <w:sz w:val="24"/>
              </w:rPr>
              <w:t>Value</w:t>
            </w:r>
          </w:p>
        </w:tc>
        <w:tc>
          <w:tcPr>
            <w:tcW w:w="2384" w:type="dxa"/>
          </w:tcPr>
          <w:p>
            <w:pPr>
              <w:pStyle w:val="TableParagraph"/>
              <w:spacing w:before="262"/>
              <w:ind w:left="546"/>
              <w:jc w:val="left"/>
              <w:rPr>
                <w:sz w:val="24"/>
              </w:rPr>
            </w:pPr>
            <w:r>
              <w:rPr>
                <w:spacing w:val="-2"/>
                <w:sz w:val="24"/>
              </w:rPr>
              <w:t>0.417(.796)</w:t>
            </w:r>
          </w:p>
        </w:tc>
        <w:tc>
          <w:tcPr>
            <w:tcW w:w="2201" w:type="dxa"/>
          </w:tcPr>
          <w:p>
            <w:pPr>
              <w:pStyle w:val="TableParagraph"/>
              <w:spacing w:before="262"/>
              <w:ind w:right="134"/>
              <w:rPr>
                <w:sz w:val="24"/>
              </w:rPr>
            </w:pPr>
            <w:r>
              <w:rPr>
                <w:sz w:val="24"/>
              </w:rPr>
              <w:t>0.623 </w:t>
            </w:r>
            <w:r>
              <w:rPr>
                <w:spacing w:val="-2"/>
                <w:sz w:val="24"/>
              </w:rPr>
              <w:t>(.647)</w:t>
            </w:r>
          </w:p>
        </w:tc>
        <w:tc>
          <w:tcPr>
            <w:tcW w:w="2302" w:type="dxa"/>
          </w:tcPr>
          <w:p>
            <w:pPr>
              <w:pStyle w:val="TableParagraph"/>
              <w:spacing w:before="262"/>
              <w:ind w:right="15"/>
              <w:rPr>
                <w:sz w:val="24"/>
              </w:rPr>
            </w:pPr>
            <w:r>
              <w:rPr>
                <w:sz w:val="24"/>
              </w:rPr>
              <w:t>0.624 </w:t>
            </w:r>
            <w:r>
              <w:rPr>
                <w:spacing w:val="-2"/>
                <w:sz w:val="24"/>
              </w:rPr>
              <w:t>(.646)</w:t>
            </w:r>
          </w:p>
        </w:tc>
      </w:tr>
      <w:tr>
        <w:trPr>
          <w:trHeight w:val="439" w:hRule="atLeast"/>
        </w:trPr>
        <w:tc>
          <w:tcPr>
            <w:tcW w:w="2368" w:type="dxa"/>
          </w:tcPr>
          <w:p>
            <w:pPr>
              <w:pStyle w:val="TableParagraph"/>
              <w:spacing w:before="73"/>
              <w:ind w:left="3" w:right="42"/>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G2</w:t>
            </w:r>
          </w:p>
        </w:tc>
        <w:tc>
          <w:tcPr>
            <w:tcW w:w="2384" w:type="dxa"/>
          </w:tcPr>
          <w:p>
            <w:pPr>
              <w:pStyle w:val="TableParagraph"/>
              <w:spacing w:before="67"/>
              <w:ind w:right="168"/>
              <w:rPr>
                <w:sz w:val="24"/>
              </w:rPr>
            </w:pPr>
            <w:r>
              <w:rPr>
                <w:spacing w:val="-2"/>
                <w:sz w:val="24"/>
              </w:rPr>
              <w:t>0.924</w:t>
            </w:r>
          </w:p>
        </w:tc>
        <w:tc>
          <w:tcPr>
            <w:tcW w:w="2201" w:type="dxa"/>
          </w:tcPr>
          <w:p>
            <w:pPr>
              <w:pStyle w:val="TableParagraph"/>
              <w:spacing w:before="67"/>
              <w:ind w:left="4" w:right="134"/>
              <w:rPr>
                <w:sz w:val="24"/>
              </w:rPr>
            </w:pPr>
            <w:r>
              <w:rPr>
                <w:spacing w:val="-2"/>
                <w:sz w:val="24"/>
              </w:rPr>
              <w:t>0.949</w:t>
            </w:r>
          </w:p>
        </w:tc>
        <w:tc>
          <w:tcPr>
            <w:tcW w:w="2302" w:type="dxa"/>
          </w:tcPr>
          <w:p>
            <w:pPr>
              <w:pStyle w:val="TableParagraph"/>
              <w:spacing w:before="67"/>
              <w:ind w:left="5" w:right="15"/>
              <w:rPr>
                <w:sz w:val="24"/>
              </w:rPr>
            </w:pPr>
            <w:r>
              <w:rPr>
                <w:spacing w:val="-2"/>
                <w:sz w:val="24"/>
              </w:rPr>
              <w:t>0.856</w:t>
            </w:r>
          </w:p>
        </w:tc>
      </w:tr>
      <w:tr>
        <w:trPr>
          <w:trHeight w:val="439" w:hRule="atLeast"/>
        </w:trPr>
        <w:tc>
          <w:tcPr>
            <w:tcW w:w="2368" w:type="dxa"/>
          </w:tcPr>
          <w:p>
            <w:pPr>
              <w:pStyle w:val="TableParagraph"/>
              <w:spacing w:before="73"/>
              <w:ind w:left="3" w:right="42"/>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G3</w:t>
            </w:r>
          </w:p>
        </w:tc>
        <w:tc>
          <w:tcPr>
            <w:tcW w:w="2384" w:type="dxa"/>
          </w:tcPr>
          <w:p>
            <w:pPr>
              <w:pStyle w:val="TableParagraph"/>
              <w:spacing w:before="67"/>
              <w:ind w:right="168"/>
              <w:rPr>
                <w:sz w:val="24"/>
              </w:rPr>
            </w:pPr>
            <w:r>
              <w:rPr>
                <w:spacing w:val="-2"/>
                <w:sz w:val="24"/>
              </w:rPr>
              <w:t>0.961</w:t>
            </w:r>
          </w:p>
        </w:tc>
        <w:tc>
          <w:tcPr>
            <w:tcW w:w="2201" w:type="dxa"/>
          </w:tcPr>
          <w:p>
            <w:pPr>
              <w:pStyle w:val="TableParagraph"/>
              <w:spacing w:before="67"/>
              <w:ind w:left="4" w:right="134"/>
              <w:rPr>
                <w:sz w:val="24"/>
              </w:rPr>
            </w:pPr>
            <w:r>
              <w:rPr>
                <w:spacing w:val="-2"/>
                <w:sz w:val="24"/>
              </w:rPr>
              <w:t>1.000</w:t>
            </w:r>
          </w:p>
        </w:tc>
        <w:tc>
          <w:tcPr>
            <w:tcW w:w="2302" w:type="dxa"/>
          </w:tcPr>
          <w:p>
            <w:pPr>
              <w:pStyle w:val="TableParagraph"/>
              <w:spacing w:before="67"/>
              <w:ind w:left="5" w:right="15"/>
              <w:rPr>
                <w:sz w:val="24"/>
              </w:rPr>
            </w:pPr>
            <w:r>
              <w:rPr>
                <w:spacing w:val="-2"/>
                <w:sz w:val="24"/>
              </w:rPr>
              <w:t>1.000</w:t>
            </w:r>
          </w:p>
        </w:tc>
      </w:tr>
      <w:tr>
        <w:trPr>
          <w:trHeight w:val="439" w:hRule="atLeast"/>
        </w:trPr>
        <w:tc>
          <w:tcPr>
            <w:tcW w:w="2368" w:type="dxa"/>
          </w:tcPr>
          <w:p>
            <w:pPr>
              <w:pStyle w:val="TableParagraph"/>
              <w:spacing w:before="73"/>
              <w:ind w:left="3" w:right="42"/>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G4</w:t>
            </w:r>
          </w:p>
        </w:tc>
        <w:tc>
          <w:tcPr>
            <w:tcW w:w="2384" w:type="dxa"/>
          </w:tcPr>
          <w:p>
            <w:pPr>
              <w:pStyle w:val="TableParagraph"/>
              <w:spacing w:before="68"/>
              <w:ind w:right="168"/>
              <w:rPr>
                <w:sz w:val="24"/>
              </w:rPr>
            </w:pPr>
            <w:r>
              <w:rPr>
                <w:spacing w:val="-2"/>
                <w:sz w:val="24"/>
              </w:rPr>
              <w:t>0.984</w:t>
            </w:r>
          </w:p>
        </w:tc>
        <w:tc>
          <w:tcPr>
            <w:tcW w:w="2201" w:type="dxa"/>
          </w:tcPr>
          <w:p>
            <w:pPr>
              <w:pStyle w:val="TableParagraph"/>
              <w:spacing w:before="68"/>
              <w:ind w:left="4" w:right="134"/>
              <w:rPr>
                <w:sz w:val="24"/>
              </w:rPr>
            </w:pPr>
            <w:r>
              <w:rPr>
                <w:spacing w:val="-2"/>
                <w:sz w:val="24"/>
              </w:rPr>
              <w:t>1.000</w:t>
            </w:r>
          </w:p>
        </w:tc>
        <w:tc>
          <w:tcPr>
            <w:tcW w:w="2302" w:type="dxa"/>
          </w:tcPr>
          <w:p>
            <w:pPr>
              <w:pStyle w:val="TableParagraph"/>
              <w:spacing w:before="68"/>
              <w:ind w:left="5" w:right="15"/>
              <w:rPr>
                <w:sz w:val="24"/>
              </w:rPr>
            </w:pPr>
            <w:r>
              <w:rPr>
                <w:spacing w:val="-2"/>
                <w:sz w:val="24"/>
              </w:rPr>
              <w:t>0.931</w:t>
            </w:r>
          </w:p>
        </w:tc>
      </w:tr>
      <w:tr>
        <w:trPr>
          <w:trHeight w:val="440" w:hRule="atLeast"/>
        </w:trPr>
        <w:tc>
          <w:tcPr>
            <w:tcW w:w="2368" w:type="dxa"/>
          </w:tcPr>
          <w:p>
            <w:pPr>
              <w:pStyle w:val="TableParagraph"/>
              <w:spacing w:before="73"/>
              <w:ind w:left="3" w:right="42"/>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G5</w:t>
            </w:r>
          </w:p>
        </w:tc>
        <w:tc>
          <w:tcPr>
            <w:tcW w:w="2384" w:type="dxa"/>
          </w:tcPr>
          <w:p>
            <w:pPr>
              <w:pStyle w:val="TableParagraph"/>
              <w:spacing w:before="67"/>
              <w:ind w:right="168"/>
              <w:rPr>
                <w:sz w:val="24"/>
              </w:rPr>
            </w:pPr>
            <w:r>
              <w:rPr>
                <w:spacing w:val="-2"/>
                <w:sz w:val="24"/>
              </w:rPr>
              <w:t>1.000</w:t>
            </w:r>
          </w:p>
        </w:tc>
        <w:tc>
          <w:tcPr>
            <w:tcW w:w="2201" w:type="dxa"/>
          </w:tcPr>
          <w:p>
            <w:pPr>
              <w:pStyle w:val="TableParagraph"/>
              <w:spacing w:before="67"/>
              <w:ind w:left="4" w:right="134"/>
              <w:rPr>
                <w:sz w:val="24"/>
              </w:rPr>
            </w:pPr>
            <w:r>
              <w:rPr>
                <w:spacing w:val="-2"/>
                <w:sz w:val="24"/>
              </w:rPr>
              <w:t>0.933</w:t>
            </w:r>
          </w:p>
        </w:tc>
        <w:tc>
          <w:tcPr>
            <w:tcW w:w="2302" w:type="dxa"/>
          </w:tcPr>
          <w:p>
            <w:pPr>
              <w:pStyle w:val="TableParagraph"/>
              <w:spacing w:before="67"/>
              <w:ind w:left="5" w:right="15"/>
              <w:rPr>
                <w:sz w:val="24"/>
              </w:rPr>
            </w:pPr>
            <w:r>
              <w:rPr>
                <w:spacing w:val="-2"/>
                <w:sz w:val="24"/>
              </w:rPr>
              <w:t>0.999</w:t>
            </w:r>
          </w:p>
        </w:tc>
      </w:tr>
      <w:tr>
        <w:trPr>
          <w:trHeight w:val="440" w:hRule="atLeast"/>
        </w:trPr>
        <w:tc>
          <w:tcPr>
            <w:tcW w:w="2368" w:type="dxa"/>
          </w:tcPr>
          <w:p>
            <w:pPr>
              <w:pStyle w:val="TableParagraph"/>
              <w:spacing w:before="74"/>
              <w:ind w:left="3" w:right="42"/>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G3</w:t>
            </w:r>
          </w:p>
        </w:tc>
        <w:tc>
          <w:tcPr>
            <w:tcW w:w="2384" w:type="dxa"/>
          </w:tcPr>
          <w:p>
            <w:pPr>
              <w:pStyle w:val="TableParagraph"/>
              <w:spacing w:before="69"/>
              <w:ind w:right="168"/>
              <w:rPr>
                <w:sz w:val="24"/>
              </w:rPr>
            </w:pPr>
            <w:r>
              <w:rPr>
                <w:spacing w:val="-2"/>
                <w:sz w:val="24"/>
              </w:rPr>
              <w:t>0.147</w:t>
            </w:r>
          </w:p>
        </w:tc>
        <w:tc>
          <w:tcPr>
            <w:tcW w:w="2201" w:type="dxa"/>
          </w:tcPr>
          <w:p>
            <w:pPr>
              <w:pStyle w:val="TableParagraph"/>
              <w:spacing w:before="69"/>
              <w:ind w:left="4" w:right="134"/>
              <w:rPr>
                <w:sz w:val="24"/>
              </w:rPr>
            </w:pPr>
            <w:r>
              <w:rPr>
                <w:spacing w:val="-2"/>
                <w:sz w:val="24"/>
              </w:rPr>
              <w:t>0.661</w:t>
            </w:r>
          </w:p>
        </w:tc>
        <w:tc>
          <w:tcPr>
            <w:tcW w:w="2302" w:type="dxa"/>
          </w:tcPr>
          <w:p>
            <w:pPr>
              <w:pStyle w:val="TableParagraph"/>
              <w:spacing w:before="69"/>
              <w:ind w:left="5" w:right="15"/>
              <w:rPr>
                <w:sz w:val="24"/>
              </w:rPr>
            </w:pPr>
            <w:r>
              <w:rPr>
                <w:spacing w:val="-2"/>
                <w:sz w:val="24"/>
              </w:rPr>
              <w:t>0.854</w:t>
            </w:r>
          </w:p>
        </w:tc>
      </w:tr>
      <w:tr>
        <w:trPr>
          <w:trHeight w:val="439" w:hRule="atLeast"/>
        </w:trPr>
        <w:tc>
          <w:tcPr>
            <w:tcW w:w="2368" w:type="dxa"/>
          </w:tcPr>
          <w:p>
            <w:pPr>
              <w:pStyle w:val="TableParagraph"/>
              <w:spacing w:before="73"/>
              <w:ind w:left="3" w:right="42"/>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G4</w:t>
            </w:r>
          </w:p>
        </w:tc>
        <w:tc>
          <w:tcPr>
            <w:tcW w:w="2384" w:type="dxa"/>
          </w:tcPr>
          <w:p>
            <w:pPr>
              <w:pStyle w:val="TableParagraph"/>
              <w:spacing w:before="67"/>
              <w:ind w:right="168"/>
              <w:rPr>
                <w:sz w:val="24"/>
              </w:rPr>
            </w:pPr>
            <w:r>
              <w:rPr>
                <w:spacing w:val="-2"/>
                <w:sz w:val="24"/>
              </w:rPr>
              <w:t>0.450</w:t>
            </w:r>
          </w:p>
        </w:tc>
        <w:tc>
          <w:tcPr>
            <w:tcW w:w="2201" w:type="dxa"/>
          </w:tcPr>
          <w:p>
            <w:pPr>
              <w:pStyle w:val="TableParagraph"/>
              <w:spacing w:before="67"/>
              <w:ind w:left="4" w:right="134"/>
              <w:rPr>
                <w:sz w:val="24"/>
              </w:rPr>
            </w:pPr>
            <w:r>
              <w:rPr>
                <w:spacing w:val="-2"/>
                <w:sz w:val="24"/>
              </w:rPr>
              <w:t>0.982</w:t>
            </w:r>
          </w:p>
        </w:tc>
        <w:tc>
          <w:tcPr>
            <w:tcW w:w="2302" w:type="dxa"/>
          </w:tcPr>
          <w:p>
            <w:pPr>
              <w:pStyle w:val="TableParagraph"/>
              <w:spacing w:before="67"/>
              <w:ind w:left="5" w:right="15"/>
              <w:rPr>
                <w:sz w:val="24"/>
              </w:rPr>
            </w:pPr>
            <w:r>
              <w:rPr>
                <w:spacing w:val="-2"/>
                <w:sz w:val="24"/>
              </w:rPr>
              <w:t>0.472</w:t>
            </w:r>
          </w:p>
        </w:tc>
      </w:tr>
      <w:tr>
        <w:trPr>
          <w:trHeight w:val="439" w:hRule="atLeast"/>
        </w:trPr>
        <w:tc>
          <w:tcPr>
            <w:tcW w:w="2368" w:type="dxa"/>
          </w:tcPr>
          <w:p>
            <w:pPr>
              <w:pStyle w:val="TableParagraph"/>
              <w:spacing w:before="73"/>
              <w:ind w:left="3" w:right="42"/>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G5</w:t>
            </w:r>
          </w:p>
        </w:tc>
        <w:tc>
          <w:tcPr>
            <w:tcW w:w="2384" w:type="dxa"/>
          </w:tcPr>
          <w:p>
            <w:pPr>
              <w:pStyle w:val="TableParagraph"/>
              <w:spacing w:before="67"/>
              <w:ind w:right="168"/>
              <w:rPr>
                <w:sz w:val="24"/>
              </w:rPr>
            </w:pPr>
            <w:r>
              <w:rPr>
                <w:spacing w:val="-2"/>
                <w:sz w:val="24"/>
              </w:rPr>
              <w:t>0.927</w:t>
            </w:r>
          </w:p>
        </w:tc>
        <w:tc>
          <w:tcPr>
            <w:tcW w:w="2201" w:type="dxa"/>
          </w:tcPr>
          <w:p>
            <w:pPr>
              <w:pStyle w:val="TableParagraph"/>
              <w:spacing w:before="67"/>
              <w:ind w:left="4" w:right="134"/>
              <w:rPr>
                <w:sz w:val="24"/>
              </w:rPr>
            </w:pPr>
            <w:r>
              <w:rPr>
                <w:spacing w:val="-2"/>
                <w:sz w:val="24"/>
              </w:rPr>
              <w:t>0.995</w:t>
            </w:r>
          </w:p>
        </w:tc>
        <w:tc>
          <w:tcPr>
            <w:tcW w:w="2302" w:type="dxa"/>
          </w:tcPr>
          <w:p>
            <w:pPr>
              <w:pStyle w:val="TableParagraph"/>
              <w:spacing w:before="67"/>
              <w:ind w:left="5" w:right="15"/>
              <w:rPr>
                <w:sz w:val="24"/>
              </w:rPr>
            </w:pPr>
            <w:r>
              <w:rPr>
                <w:spacing w:val="-2"/>
                <w:sz w:val="24"/>
              </w:rPr>
              <w:t>0.972</w:t>
            </w:r>
          </w:p>
        </w:tc>
      </w:tr>
      <w:tr>
        <w:trPr>
          <w:trHeight w:val="439" w:hRule="atLeast"/>
        </w:trPr>
        <w:tc>
          <w:tcPr>
            <w:tcW w:w="2368" w:type="dxa"/>
          </w:tcPr>
          <w:p>
            <w:pPr>
              <w:pStyle w:val="TableParagraph"/>
              <w:spacing w:before="73"/>
              <w:ind w:left="3" w:right="42"/>
              <w:rPr>
                <w:rFonts w:ascii="Calibri"/>
                <w:b/>
                <w:sz w:val="24"/>
              </w:rPr>
            </w:pPr>
            <w:r>
              <w:rPr>
                <w:rFonts w:ascii="Calibri"/>
                <w:b/>
                <w:sz w:val="24"/>
              </w:rPr>
              <w:t>G3</w:t>
            </w:r>
            <w:r>
              <w:rPr>
                <w:rFonts w:ascii="Calibri"/>
                <w:b/>
                <w:spacing w:val="1"/>
                <w:sz w:val="24"/>
              </w:rPr>
              <w:t> </w:t>
            </w:r>
            <w:r>
              <w:rPr>
                <w:rFonts w:ascii="Calibri"/>
                <w:b/>
                <w:sz w:val="24"/>
              </w:rPr>
              <w:t>vs </w:t>
            </w:r>
            <w:r>
              <w:rPr>
                <w:rFonts w:ascii="Calibri"/>
                <w:b/>
                <w:spacing w:val="-5"/>
                <w:sz w:val="24"/>
              </w:rPr>
              <w:t>G4</w:t>
            </w:r>
          </w:p>
        </w:tc>
        <w:tc>
          <w:tcPr>
            <w:tcW w:w="2384" w:type="dxa"/>
          </w:tcPr>
          <w:p>
            <w:pPr>
              <w:pStyle w:val="TableParagraph"/>
              <w:spacing w:before="67"/>
              <w:ind w:right="168"/>
              <w:rPr>
                <w:sz w:val="24"/>
              </w:rPr>
            </w:pPr>
            <w:r>
              <w:rPr>
                <w:spacing w:val="-2"/>
                <w:sz w:val="24"/>
              </w:rPr>
              <w:t>1.000</w:t>
            </w:r>
          </w:p>
        </w:tc>
        <w:tc>
          <w:tcPr>
            <w:tcW w:w="2201" w:type="dxa"/>
          </w:tcPr>
          <w:p>
            <w:pPr>
              <w:pStyle w:val="TableParagraph"/>
              <w:spacing w:before="67"/>
              <w:ind w:left="4" w:right="134"/>
              <w:rPr>
                <w:sz w:val="24"/>
              </w:rPr>
            </w:pPr>
            <w:r>
              <w:rPr>
                <w:spacing w:val="-2"/>
                <w:sz w:val="24"/>
              </w:rPr>
              <w:t>1.000</w:t>
            </w:r>
          </w:p>
        </w:tc>
        <w:tc>
          <w:tcPr>
            <w:tcW w:w="2302" w:type="dxa"/>
          </w:tcPr>
          <w:p>
            <w:pPr>
              <w:pStyle w:val="TableParagraph"/>
              <w:spacing w:before="67"/>
              <w:ind w:left="5" w:right="15"/>
              <w:rPr>
                <w:sz w:val="24"/>
              </w:rPr>
            </w:pPr>
            <w:r>
              <w:rPr>
                <w:spacing w:val="-2"/>
                <w:sz w:val="24"/>
              </w:rPr>
              <w:t>0.268</w:t>
            </w:r>
          </w:p>
        </w:tc>
      </w:tr>
      <w:tr>
        <w:trPr>
          <w:trHeight w:val="439" w:hRule="atLeast"/>
        </w:trPr>
        <w:tc>
          <w:tcPr>
            <w:tcW w:w="2368" w:type="dxa"/>
          </w:tcPr>
          <w:p>
            <w:pPr>
              <w:pStyle w:val="TableParagraph"/>
              <w:spacing w:before="73"/>
              <w:ind w:left="3" w:right="42"/>
              <w:rPr>
                <w:rFonts w:ascii="Calibri"/>
                <w:b/>
                <w:sz w:val="24"/>
              </w:rPr>
            </w:pPr>
            <w:r>
              <w:rPr>
                <w:rFonts w:ascii="Calibri"/>
                <w:b/>
                <w:sz w:val="24"/>
              </w:rPr>
              <w:t>G3</w:t>
            </w:r>
            <w:r>
              <w:rPr>
                <w:rFonts w:ascii="Calibri"/>
                <w:b/>
                <w:spacing w:val="1"/>
                <w:sz w:val="24"/>
              </w:rPr>
              <w:t> </w:t>
            </w:r>
            <w:r>
              <w:rPr>
                <w:rFonts w:ascii="Calibri"/>
                <w:b/>
                <w:sz w:val="24"/>
              </w:rPr>
              <w:t>vs </w:t>
            </w:r>
            <w:r>
              <w:rPr>
                <w:rFonts w:ascii="Calibri"/>
                <w:b/>
                <w:spacing w:val="-5"/>
                <w:sz w:val="24"/>
              </w:rPr>
              <w:t>G5</w:t>
            </w:r>
          </w:p>
        </w:tc>
        <w:tc>
          <w:tcPr>
            <w:tcW w:w="2384" w:type="dxa"/>
          </w:tcPr>
          <w:p>
            <w:pPr>
              <w:pStyle w:val="TableParagraph"/>
              <w:spacing w:before="67"/>
              <w:ind w:right="168"/>
              <w:rPr>
                <w:sz w:val="24"/>
              </w:rPr>
            </w:pPr>
            <w:r>
              <w:rPr>
                <w:spacing w:val="-2"/>
                <w:sz w:val="24"/>
              </w:rPr>
              <w:t>0.862</w:t>
            </w:r>
          </w:p>
        </w:tc>
        <w:tc>
          <w:tcPr>
            <w:tcW w:w="2201" w:type="dxa"/>
          </w:tcPr>
          <w:p>
            <w:pPr>
              <w:pStyle w:val="TableParagraph"/>
              <w:spacing w:before="67"/>
              <w:ind w:left="4" w:right="134"/>
              <w:rPr>
                <w:sz w:val="24"/>
              </w:rPr>
            </w:pPr>
            <w:r>
              <w:rPr>
                <w:spacing w:val="-2"/>
                <w:sz w:val="24"/>
              </w:rPr>
              <w:t>0.856</w:t>
            </w:r>
          </w:p>
        </w:tc>
        <w:tc>
          <w:tcPr>
            <w:tcW w:w="2302" w:type="dxa"/>
          </w:tcPr>
          <w:p>
            <w:pPr>
              <w:pStyle w:val="TableParagraph"/>
              <w:spacing w:before="67"/>
              <w:ind w:left="5" w:right="15"/>
              <w:rPr>
                <w:sz w:val="24"/>
              </w:rPr>
            </w:pPr>
            <w:r>
              <w:rPr>
                <w:spacing w:val="-2"/>
                <w:sz w:val="24"/>
              </w:rPr>
              <w:t>1.000</w:t>
            </w:r>
          </w:p>
        </w:tc>
      </w:tr>
      <w:tr>
        <w:trPr>
          <w:trHeight w:val="512" w:hRule="atLeast"/>
        </w:trPr>
        <w:tc>
          <w:tcPr>
            <w:tcW w:w="2368" w:type="dxa"/>
            <w:tcBorders>
              <w:bottom w:val="single" w:sz="4" w:space="0" w:color="000000"/>
            </w:tcBorders>
          </w:tcPr>
          <w:p>
            <w:pPr>
              <w:pStyle w:val="TableParagraph"/>
              <w:spacing w:before="73"/>
              <w:ind w:left="3" w:right="42"/>
              <w:rPr>
                <w:rFonts w:ascii="Calibri"/>
                <w:b/>
                <w:sz w:val="24"/>
              </w:rPr>
            </w:pPr>
            <w:r>
              <w:rPr>
                <w:rFonts w:ascii="Calibri"/>
                <w:b/>
                <w:sz w:val="24"/>
              </w:rPr>
              <w:t>G4</w:t>
            </w:r>
            <w:r>
              <w:rPr>
                <w:rFonts w:ascii="Calibri"/>
                <w:b/>
                <w:spacing w:val="1"/>
                <w:sz w:val="24"/>
              </w:rPr>
              <w:t> </w:t>
            </w:r>
            <w:r>
              <w:rPr>
                <w:rFonts w:ascii="Calibri"/>
                <w:b/>
                <w:sz w:val="24"/>
              </w:rPr>
              <w:t>vs </w:t>
            </w:r>
            <w:r>
              <w:rPr>
                <w:rFonts w:ascii="Calibri"/>
                <w:b/>
                <w:spacing w:val="-5"/>
                <w:sz w:val="24"/>
              </w:rPr>
              <w:t>G5</w:t>
            </w:r>
          </w:p>
        </w:tc>
        <w:tc>
          <w:tcPr>
            <w:tcW w:w="2384" w:type="dxa"/>
            <w:tcBorders>
              <w:bottom w:val="single" w:sz="4" w:space="0" w:color="000000"/>
            </w:tcBorders>
          </w:tcPr>
          <w:p>
            <w:pPr>
              <w:pStyle w:val="TableParagraph"/>
              <w:spacing w:before="68"/>
              <w:ind w:right="168"/>
              <w:rPr>
                <w:sz w:val="24"/>
              </w:rPr>
            </w:pPr>
            <w:r>
              <w:rPr>
                <w:spacing w:val="-2"/>
                <w:sz w:val="24"/>
              </w:rPr>
              <w:t>0.940</w:t>
            </w:r>
          </w:p>
        </w:tc>
        <w:tc>
          <w:tcPr>
            <w:tcW w:w="2201" w:type="dxa"/>
            <w:tcBorders>
              <w:bottom w:val="single" w:sz="4" w:space="0" w:color="000000"/>
            </w:tcBorders>
          </w:tcPr>
          <w:p>
            <w:pPr>
              <w:pStyle w:val="TableParagraph"/>
              <w:spacing w:before="68"/>
              <w:ind w:left="4" w:right="134"/>
              <w:rPr>
                <w:sz w:val="24"/>
              </w:rPr>
            </w:pPr>
            <w:r>
              <w:rPr>
                <w:spacing w:val="-2"/>
                <w:sz w:val="24"/>
              </w:rPr>
              <w:t>0.957</w:t>
            </w:r>
          </w:p>
        </w:tc>
        <w:tc>
          <w:tcPr>
            <w:tcW w:w="2302" w:type="dxa"/>
            <w:tcBorders>
              <w:bottom w:val="single" w:sz="4" w:space="0" w:color="000000"/>
            </w:tcBorders>
          </w:tcPr>
          <w:p>
            <w:pPr>
              <w:pStyle w:val="TableParagraph"/>
              <w:spacing w:before="68"/>
              <w:ind w:left="5" w:right="15"/>
              <w:rPr>
                <w:sz w:val="24"/>
              </w:rPr>
            </w:pPr>
            <w:r>
              <w:rPr>
                <w:spacing w:val="-2"/>
                <w:sz w:val="24"/>
              </w:rPr>
              <w:t>0.927</w:t>
            </w:r>
          </w:p>
        </w:tc>
      </w:tr>
    </w:tbl>
    <w:p>
      <w:pPr>
        <w:pStyle w:val="BodyText"/>
        <w:spacing w:before="88"/>
        <w:rPr>
          <w:b/>
          <w:sz w:val="16"/>
        </w:rPr>
      </w:pPr>
    </w:p>
    <w:p>
      <w:pPr>
        <w:spacing w:before="0"/>
        <w:ind w:left="560" w:right="0" w:firstLine="0"/>
        <w:jc w:val="left"/>
        <w:rPr>
          <w:b/>
          <w:sz w:val="16"/>
        </w:rPr>
      </w:pPr>
      <w:r>
        <w:rPr>
          <w:b/>
          <w:spacing w:val="-5"/>
          <w:sz w:val="16"/>
        </w:rPr>
        <w:t>KEY</w:t>
      </w:r>
    </w:p>
    <w:p>
      <w:pPr>
        <w:spacing w:before="23"/>
        <w:ind w:left="560" w:right="0" w:firstLine="0"/>
        <w:jc w:val="left"/>
        <w:rPr>
          <w:sz w:val="16"/>
        </w:rPr>
      </w:pPr>
      <w:r>
        <w:rPr>
          <w:rFonts w:ascii="Symbol" w:hAnsi="Symbol"/>
          <w:sz w:val="16"/>
        </w:rPr>
        <w:t></w:t>
      </w:r>
      <w:r>
        <w:rPr>
          <w:sz w:val="16"/>
        </w:rPr>
        <w:t>-level</w:t>
      </w:r>
      <w:r>
        <w:rPr>
          <w:spacing w:val="-6"/>
          <w:sz w:val="16"/>
        </w:rPr>
        <w:t> </w:t>
      </w:r>
      <w:r>
        <w:rPr>
          <w:sz w:val="16"/>
        </w:rPr>
        <w:t>set</w:t>
      </w:r>
      <w:r>
        <w:rPr>
          <w:spacing w:val="-2"/>
          <w:sz w:val="16"/>
        </w:rPr>
        <w:t> </w:t>
      </w:r>
      <w:r>
        <w:rPr>
          <w:sz w:val="16"/>
        </w:rPr>
        <w:t>at</w:t>
      </w:r>
      <w:r>
        <w:rPr>
          <w:spacing w:val="-3"/>
          <w:sz w:val="16"/>
        </w:rPr>
        <w:t> </w:t>
      </w:r>
      <w:r>
        <w:rPr>
          <w:spacing w:val="-4"/>
          <w:sz w:val="16"/>
        </w:rPr>
        <w:t>0.05</w:t>
      </w:r>
    </w:p>
    <w:p>
      <w:pPr>
        <w:spacing w:line="276" w:lineRule="auto" w:before="31" w:after="3"/>
        <w:ind w:left="560" w:right="7940" w:firstLine="0"/>
        <w:jc w:val="left"/>
        <w:rPr>
          <w:sz w:val="16"/>
        </w:rPr>
      </w:pPr>
      <w:r>
        <w:rPr>
          <w:sz w:val="16"/>
        </w:rPr>
        <w:t>*(P&lt;0.05) = Significant</w:t>
      </w:r>
      <w:r>
        <w:rPr>
          <w:spacing w:val="40"/>
          <w:sz w:val="16"/>
        </w:rPr>
        <w:t> </w:t>
      </w:r>
      <w:r>
        <w:rPr>
          <w:sz w:val="16"/>
        </w:rPr>
        <w:t>P&gt;0.05</w:t>
      </w:r>
      <w:r>
        <w:rPr>
          <w:spacing w:val="-10"/>
          <w:sz w:val="16"/>
        </w:rPr>
        <w:t> </w:t>
      </w:r>
      <w:r>
        <w:rPr>
          <w:sz w:val="16"/>
        </w:rPr>
        <w:t>=</w:t>
      </w:r>
      <w:r>
        <w:rPr>
          <w:spacing w:val="-10"/>
          <w:sz w:val="16"/>
        </w:rPr>
        <w:t> </w:t>
      </w:r>
      <w:r>
        <w:rPr>
          <w:sz w:val="16"/>
        </w:rPr>
        <w:t>Not</w:t>
      </w:r>
      <w:r>
        <w:rPr>
          <w:spacing w:val="-10"/>
          <w:sz w:val="16"/>
        </w:rPr>
        <w:t> </w:t>
      </w:r>
      <w:r>
        <w:rPr>
          <w:sz w:val="16"/>
        </w:rPr>
        <w:t>Significant</w:t>
      </w:r>
    </w:p>
    <w:tbl>
      <w:tblPr>
        <w:tblW w:w="0" w:type="auto"/>
        <w:jc w:val="left"/>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
        <w:gridCol w:w="670"/>
        <w:gridCol w:w="1941"/>
      </w:tblGrid>
      <w:tr>
        <w:trPr>
          <w:trHeight w:val="181" w:hRule="atLeast"/>
        </w:trPr>
        <w:tc>
          <w:tcPr>
            <w:tcW w:w="505" w:type="dxa"/>
          </w:tcPr>
          <w:p>
            <w:pPr>
              <w:pStyle w:val="TableParagraph"/>
              <w:spacing w:line="161" w:lineRule="exact"/>
              <w:ind w:left="50"/>
              <w:jc w:val="left"/>
              <w:rPr>
                <w:sz w:val="16"/>
              </w:rPr>
            </w:pPr>
            <w:r>
              <w:rPr>
                <w:spacing w:val="-5"/>
                <w:sz w:val="16"/>
              </w:rPr>
              <w:t>G1</w:t>
            </w:r>
          </w:p>
        </w:tc>
        <w:tc>
          <w:tcPr>
            <w:tcW w:w="670" w:type="dxa"/>
          </w:tcPr>
          <w:p>
            <w:pPr>
              <w:pStyle w:val="TableParagraph"/>
              <w:spacing w:line="161" w:lineRule="exact"/>
              <w:ind w:right="47"/>
              <w:rPr>
                <w:sz w:val="16"/>
              </w:rPr>
            </w:pPr>
            <w:r>
              <w:rPr>
                <w:spacing w:val="-10"/>
                <w:sz w:val="16"/>
              </w:rPr>
              <w:t>=</w:t>
            </w:r>
          </w:p>
        </w:tc>
        <w:tc>
          <w:tcPr>
            <w:tcW w:w="1941" w:type="dxa"/>
          </w:tcPr>
          <w:p>
            <w:pPr>
              <w:pStyle w:val="TableParagraph"/>
              <w:spacing w:line="161" w:lineRule="exact"/>
              <w:ind w:right="46"/>
              <w:jc w:val="right"/>
              <w:rPr>
                <w:sz w:val="16"/>
              </w:rPr>
            </w:pPr>
            <w:r>
              <w:rPr>
                <w:sz w:val="16"/>
              </w:rPr>
              <w:t>Age</w:t>
            </w:r>
            <w:r>
              <w:rPr>
                <w:spacing w:val="-4"/>
                <w:sz w:val="16"/>
              </w:rPr>
              <w:t> </w:t>
            </w:r>
            <w:r>
              <w:rPr>
                <w:sz w:val="16"/>
              </w:rPr>
              <w:t>group</w:t>
            </w:r>
            <w:r>
              <w:rPr>
                <w:spacing w:val="-3"/>
                <w:sz w:val="16"/>
              </w:rPr>
              <w:t> </w:t>
            </w:r>
            <w:r>
              <w:rPr>
                <w:sz w:val="16"/>
              </w:rPr>
              <w:t>20</w:t>
            </w:r>
            <w:r>
              <w:rPr>
                <w:spacing w:val="-2"/>
                <w:sz w:val="16"/>
              </w:rPr>
              <w:t> </w:t>
            </w:r>
            <w:r>
              <w:rPr>
                <w:sz w:val="16"/>
              </w:rPr>
              <w:t>–</w:t>
            </w:r>
            <w:r>
              <w:rPr>
                <w:spacing w:val="-2"/>
                <w:sz w:val="16"/>
              </w:rPr>
              <w:t> </w:t>
            </w:r>
            <w:r>
              <w:rPr>
                <w:sz w:val="16"/>
              </w:rPr>
              <w:t>24 </w:t>
            </w:r>
            <w:r>
              <w:rPr>
                <w:spacing w:val="-4"/>
                <w:sz w:val="16"/>
              </w:rPr>
              <w:t>years</w:t>
            </w:r>
          </w:p>
        </w:tc>
      </w:tr>
      <w:tr>
        <w:trPr>
          <w:trHeight w:val="183" w:hRule="atLeast"/>
        </w:trPr>
        <w:tc>
          <w:tcPr>
            <w:tcW w:w="505" w:type="dxa"/>
          </w:tcPr>
          <w:p>
            <w:pPr>
              <w:pStyle w:val="TableParagraph"/>
              <w:spacing w:line="164" w:lineRule="exact"/>
              <w:ind w:left="50"/>
              <w:jc w:val="left"/>
              <w:rPr>
                <w:sz w:val="16"/>
              </w:rPr>
            </w:pPr>
            <w:r>
              <w:rPr>
                <w:spacing w:val="-5"/>
                <w:sz w:val="16"/>
              </w:rPr>
              <w:t>G2</w:t>
            </w:r>
          </w:p>
        </w:tc>
        <w:tc>
          <w:tcPr>
            <w:tcW w:w="670" w:type="dxa"/>
          </w:tcPr>
          <w:p>
            <w:pPr>
              <w:pStyle w:val="TableParagraph"/>
              <w:spacing w:line="164" w:lineRule="exact"/>
              <w:ind w:right="47"/>
              <w:rPr>
                <w:sz w:val="16"/>
              </w:rPr>
            </w:pPr>
            <w:r>
              <w:rPr>
                <w:spacing w:val="-10"/>
                <w:sz w:val="16"/>
              </w:rPr>
              <w:t>=</w:t>
            </w:r>
          </w:p>
        </w:tc>
        <w:tc>
          <w:tcPr>
            <w:tcW w:w="1941" w:type="dxa"/>
          </w:tcPr>
          <w:p>
            <w:pPr>
              <w:pStyle w:val="TableParagraph"/>
              <w:spacing w:line="164" w:lineRule="exact"/>
              <w:ind w:right="46"/>
              <w:jc w:val="right"/>
              <w:rPr>
                <w:sz w:val="16"/>
              </w:rPr>
            </w:pPr>
            <w:r>
              <w:rPr>
                <w:sz w:val="16"/>
              </w:rPr>
              <w:t>Age</w:t>
            </w:r>
            <w:r>
              <w:rPr>
                <w:spacing w:val="-4"/>
                <w:sz w:val="16"/>
              </w:rPr>
              <w:t> </w:t>
            </w:r>
            <w:r>
              <w:rPr>
                <w:sz w:val="16"/>
              </w:rPr>
              <w:t>group</w:t>
            </w:r>
            <w:r>
              <w:rPr>
                <w:spacing w:val="-3"/>
                <w:sz w:val="16"/>
              </w:rPr>
              <w:t> </w:t>
            </w:r>
            <w:r>
              <w:rPr>
                <w:sz w:val="16"/>
              </w:rPr>
              <w:t>25</w:t>
            </w:r>
            <w:r>
              <w:rPr>
                <w:spacing w:val="-2"/>
                <w:sz w:val="16"/>
              </w:rPr>
              <w:t> </w:t>
            </w:r>
            <w:r>
              <w:rPr>
                <w:sz w:val="16"/>
              </w:rPr>
              <w:t>–</w:t>
            </w:r>
            <w:r>
              <w:rPr>
                <w:spacing w:val="-2"/>
                <w:sz w:val="16"/>
              </w:rPr>
              <w:t> </w:t>
            </w:r>
            <w:r>
              <w:rPr>
                <w:sz w:val="16"/>
              </w:rPr>
              <w:t>29 </w:t>
            </w:r>
            <w:r>
              <w:rPr>
                <w:spacing w:val="-4"/>
                <w:sz w:val="16"/>
              </w:rPr>
              <w:t>years</w:t>
            </w:r>
          </w:p>
        </w:tc>
      </w:tr>
      <w:tr>
        <w:trPr>
          <w:trHeight w:val="183" w:hRule="atLeast"/>
        </w:trPr>
        <w:tc>
          <w:tcPr>
            <w:tcW w:w="505" w:type="dxa"/>
          </w:tcPr>
          <w:p>
            <w:pPr>
              <w:pStyle w:val="TableParagraph"/>
              <w:spacing w:line="164" w:lineRule="exact"/>
              <w:ind w:left="50"/>
              <w:jc w:val="left"/>
              <w:rPr>
                <w:sz w:val="16"/>
              </w:rPr>
            </w:pPr>
            <w:r>
              <w:rPr>
                <w:spacing w:val="-5"/>
                <w:sz w:val="16"/>
              </w:rPr>
              <w:t>G3</w:t>
            </w:r>
          </w:p>
        </w:tc>
        <w:tc>
          <w:tcPr>
            <w:tcW w:w="670" w:type="dxa"/>
          </w:tcPr>
          <w:p>
            <w:pPr>
              <w:pStyle w:val="TableParagraph"/>
              <w:spacing w:line="164" w:lineRule="exact"/>
              <w:ind w:right="47"/>
              <w:rPr>
                <w:sz w:val="16"/>
              </w:rPr>
            </w:pPr>
            <w:r>
              <w:rPr>
                <w:spacing w:val="-10"/>
                <w:sz w:val="16"/>
              </w:rPr>
              <w:t>=</w:t>
            </w:r>
          </w:p>
        </w:tc>
        <w:tc>
          <w:tcPr>
            <w:tcW w:w="1941" w:type="dxa"/>
          </w:tcPr>
          <w:p>
            <w:pPr>
              <w:pStyle w:val="TableParagraph"/>
              <w:spacing w:line="164" w:lineRule="exact"/>
              <w:ind w:right="46"/>
              <w:jc w:val="right"/>
              <w:rPr>
                <w:sz w:val="16"/>
              </w:rPr>
            </w:pPr>
            <w:r>
              <w:rPr>
                <w:sz w:val="16"/>
              </w:rPr>
              <w:t>Age</w:t>
            </w:r>
            <w:r>
              <w:rPr>
                <w:spacing w:val="-4"/>
                <w:sz w:val="16"/>
              </w:rPr>
              <w:t> </w:t>
            </w:r>
            <w:r>
              <w:rPr>
                <w:sz w:val="16"/>
              </w:rPr>
              <w:t>group</w:t>
            </w:r>
            <w:r>
              <w:rPr>
                <w:spacing w:val="-3"/>
                <w:sz w:val="16"/>
              </w:rPr>
              <w:t> </w:t>
            </w:r>
            <w:r>
              <w:rPr>
                <w:sz w:val="16"/>
              </w:rPr>
              <w:t>30</w:t>
            </w:r>
            <w:r>
              <w:rPr>
                <w:spacing w:val="-2"/>
                <w:sz w:val="16"/>
              </w:rPr>
              <w:t> </w:t>
            </w:r>
            <w:r>
              <w:rPr>
                <w:sz w:val="16"/>
              </w:rPr>
              <w:t>–</w:t>
            </w:r>
            <w:r>
              <w:rPr>
                <w:spacing w:val="-2"/>
                <w:sz w:val="16"/>
              </w:rPr>
              <w:t> </w:t>
            </w:r>
            <w:r>
              <w:rPr>
                <w:sz w:val="16"/>
              </w:rPr>
              <w:t>34 </w:t>
            </w:r>
            <w:r>
              <w:rPr>
                <w:spacing w:val="-4"/>
                <w:sz w:val="16"/>
              </w:rPr>
              <w:t>years</w:t>
            </w:r>
          </w:p>
        </w:tc>
      </w:tr>
      <w:tr>
        <w:trPr>
          <w:trHeight w:val="184" w:hRule="atLeast"/>
        </w:trPr>
        <w:tc>
          <w:tcPr>
            <w:tcW w:w="505" w:type="dxa"/>
          </w:tcPr>
          <w:p>
            <w:pPr>
              <w:pStyle w:val="TableParagraph"/>
              <w:spacing w:line="165" w:lineRule="exact"/>
              <w:ind w:left="50"/>
              <w:jc w:val="left"/>
              <w:rPr>
                <w:sz w:val="16"/>
              </w:rPr>
            </w:pPr>
            <w:r>
              <w:rPr>
                <w:spacing w:val="-5"/>
                <w:sz w:val="16"/>
              </w:rPr>
              <w:t>G4</w:t>
            </w:r>
          </w:p>
        </w:tc>
        <w:tc>
          <w:tcPr>
            <w:tcW w:w="670" w:type="dxa"/>
          </w:tcPr>
          <w:p>
            <w:pPr>
              <w:pStyle w:val="TableParagraph"/>
              <w:spacing w:line="165" w:lineRule="exact"/>
              <w:ind w:right="47"/>
              <w:rPr>
                <w:sz w:val="16"/>
              </w:rPr>
            </w:pPr>
            <w:r>
              <w:rPr>
                <w:spacing w:val="-10"/>
                <w:sz w:val="16"/>
              </w:rPr>
              <w:t>=</w:t>
            </w:r>
          </w:p>
        </w:tc>
        <w:tc>
          <w:tcPr>
            <w:tcW w:w="1941" w:type="dxa"/>
          </w:tcPr>
          <w:p>
            <w:pPr>
              <w:pStyle w:val="TableParagraph"/>
              <w:spacing w:line="165" w:lineRule="exact"/>
              <w:ind w:right="46"/>
              <w:jc w:val="right"/>
              <w:rPr>
                <w:sz w:val="16"/>
              </w:rPr>
            </w:pPr>
            <w:r>
              <w:rPr>
                <w:sz w:val="16"/>
              </w:rPr>
              <w:t>Age</w:t>
            </w:r>
            <w:r>
              <w:rPr>
                <w:spacing w:val="-4"/>
                <w:sz w:val="16"/>
              </w:rPr>
              <w:t> </w:t>
            </w:r>
            <w:r>
              <w:rPr>
                <w:sz w:val="16"/>
              </w:rPr>
              <w:t>group</w:t>
            </w:r>
            <w:r>
              <w:rPr>
                <w:spacing w:val="-3"/>
                <w:sz w:val="16"/>
              </w:rPr>
              <w:t> </w:t>
            </w:r>
            <w:r>
              <w:rPr>
                <w:sz w:val="16"/>
              </w:rPr>
              <w:t>35</w:t>
            </w:r>
            <w:r>
              <w:rPr>
                <w:spacing w:val="-2"/>
                <w:sz w:val="16"/>
              </w:rPr>
              <w:t> </w:t>
            </w:r>
            <w:r>
              <w:rPr>
                <w:sz w:val="16"/>
              </w:rPr>
              <w:t>–</w:t>
            </w:r>
            <w:r>
              <w:rPr>
                <w:spacing w:val="-2"/>
                <w:sz w:val="16"/>
              </w:rPr>
              <w:t> </w:t>
            </w:r>
            <w:r>
              <w:rPr>
                <w:sz w:val="16"/>
              </w:rPr>
              <w:t>39 </w:t>
            </w:r>
            <w:r>
              <w:rPr>
                <w:spacing w:val="-4"/>
                <w:sz w:val="16"/>
              </w:rPr>
              <w:t>years</w:t>
            </w:r>
          </w:p>
        </w:tc>
      </w:tr>
      <w:tr>
        <w:trPr>
          <w:trHeight w:val="181" w:hRule="atLeast"/>
        </w:trPr>
        <w:tc>
          <w:tcPr>
            <w:tcW w:w="505" w:type="dxa"/>
          </w:tcPr>
          <w:p>
            <w:pPr>
              <w:pStyle w:val="TableParagraph"/>
              <w:spacing w:line="161" w:lineRule="exact"/>
              <w:ind w:left="50"/>
              <w:jc w:val="left"/>
              <w:rPr>
                <w:sz w:val="16"/>
              </w:rPr>
            </w:pPr>
            <w:r>
              <w:rPr>
                <w:spacing w:val="-5"/>
                <w:sz w:val="16"/>
              </w:rPr>
              <w:t>G5</w:t>
            </w:r>
          </w:p>
        </w:tc>
        <w:tc>
          <w:tcPr>
            <w:tcW w:w="670" w:type="dxa"/>
          </w:tcPr>
          <w:p>
            <w:pPr>
              <w:pStyle w:val="TableParagraph"/>
              <w:spacing w:line="161" w:lineRule="exact"/>
              <w:ind w:right="47"/>
              <w:rPr>
                <w:sz w:val="16"/>
              </w:rPr>
            </w:pPr>
            <w:r>
              <w:rPr>
                <w:spacing w:val="-10"/>
                <w:sz w:val="16"/>
              </w:rPr>
              <w:t>=</w:t>
            </w:r>
          </w:p>
        </w:tc>
        <w:tc>
          <w:tcPr>
            <w:tcW w:w="1941" w:type="dxa"/>
          </w:tcPr>
          <w:p>
            <w:pPr>
              <w:pStyle w:val="TableParagraph"/>
              <w:spacing w:line="161" w:lineRule="exact"/>
              <w:ind w:right="46"/>
              <w:jc w:val="right"/>
              <w:rPr>
                <w:sz w:val="16"/>
              </w:rPr>
            </w:pPr>
            <w:r>
              <w:rPr>
                <w:sz w:val="16"/>
              </w:rPr>
              <w:t>Age</w:t>
            </w:r>
            <w:r>
              <w:rPr>
                <w:spacing w:val="-4"/>
                <w:sz w:val="16"/>
              </w:rPr>
              <w:t> </w:t>
            </w:r>
            <w:r>
              <w:rPr>
                <w:sz w:val="16"/>
              </w:rPr>
              <w:t>group</w:t>
            </w:r>
            <w:r>
              <w:rPr>
                <w:spacing w:val="-3"/>
                <w:sz w:val="16"/>
              </w:rPr>
              <w:t> </w:t>
            </w:r>
            <w:r>
              <w:rPr>
                <w:sz w:val="16"/>
              </w:rPr>
              <w:t>40</w:t>
            </w:r>
            <w:r>
              <w:rPr>
                <w:spacing w:val="-2"/>
                <w:sz w:val="16"/>
              </w:rPr>
              <w:t> </w:t>
            </w:r>
            <w:r>
              <w:rPr>
                <w:sz w:val="16"/>
              </w:rPr>
              <w:t>–</w:t>
            </w:r>
            <w:r>
              <w:rPr>
                <w:spacing w:val="-2"/>
                <w:sz w:val="16"/>
              </w:rPr>
              <w:t> </w:t>
            </w:r>
            <w:r>
              <w:rPr>
                <w:sz w:val="16"/>
              </w:rPr>
              <w:t>44 </w:t>
            </w:r>
            <w:r>
              <w:rPr>
                <w:spacing w:val="-4"/>
                <w:sz w:val="16"/>
              </w:rPr>
              <w:t>years</w:t>
            </w:r>
          </w:p>
        </w:tc>
      </w:tr>
    </w:tbl>
    <w:p>
      <w:pPr>
        <w:spacing w:after="0" w:line="161" w:lineRule="exact"/>
        <w:jc w:val="right"/>
        <w:rPr>
          <w:sz w:val="16"/>
        </w:rPr>
        <w:sectPr>
          <w:pgSz w:w="11910" w:h="16840"/>
          <w:pgMar w:header="0" w:footer="1067" w:top="1060" w:bottom="1260" w:left="880" w:right="640"/>
        </w:sectPr>
      </w:pPr>
    </w:p>
    <w:p>
      <w:pPr>
        <w:spacing w:before="76"/>
        <w:ind w:left="0" w:right="238" w:firstLine="0"/>
        <w:jc w:val="center"/>
        <w:rPr>
          <w:b/>
          <w:sz w:val="20"/>
        </w:rPr>
      </w:pPr>
      <w:r>
        <w:rPr>
          <w:b/>
          <w:sz w:val="20"/>
        </w:rPr>
        <w:t>APPENDIX</w:t>
      </w:r>
      <w:r>
        <w:rPr>
          <w:b/>
          <w:spacing w:val="-11"/>
          <w:sz w:val="20"/>
        </w:rPr>
        <w:t> </w:t>
      </w:r>
      <w:r>
        <w:rPr>
          <w:b/>
          <w:spacing w:val="-4"/>
          <w:sz w:val="20"/>
        </w:rPr>
        <w:t>IIIe</w:t>
      </w:r>
    </w:p>
    <w:p>
      <w:pPr>
        <w:pStyle w:val="Heading2"/>
        <w:spacing w:line="360" w:lineRule="auto" w:before="118"/>
        <w:ind w:left="1820" w:right="795" w:hanging="1260"/>
        <w:rPr>
          <w:rFonts w:ascii="Calibri"/>
        </w:rPr>
      </w:pPr>
      <w:r>
        <w:rPr>
          <w:rFonts w:ascii="Calibri"/>
        </w:rPr>
        <w:t>TABLE</w:t>
      </w:r>
      <w:r>
        <w:rPr>
          <w:rFonts w:ascii="Calibri"/>
          <w:spacing w:val="-3"/>
        </w:rPr>
        <w:t> </w:t>
      </w:r>
      <w:r>
        <w:rPr>
          <w:rFonts w:ascii="Calibri"/>
        </w:rPr>
        <w:t>4.16:</w:t>
      </w:r>
      <w:r>
        <w:rPr>
          <w:rFonts w:ascii="Calibri"/>
          <w:spacing w:val="-3"/>
        </w:rPr>
        <w:t> </w:t>
      </w:r>
      <w:r>
        <w:rPr>
          <w:rFonts w:ascii="Calibri"/>
        </w:rPr>
        <w:t>EFFECT</w:t>
      </w:r>
      <w:r>
        <w:rPr>
          <w:rFonts w:ascii="Calibri"/>
          <w:spacing w:val="-5"/>
        </w:rPr>
        <w:t> </w:t>
      </w:r>
      <w:r>
        <w:rPr>
          <w:rFonts w:ascii="Calibri"/>
        </w:rPr>
        <w:t>OF</w:t>
      </w:r>
      <w:r>
        <w:rPr>
          <w:rFonts w:ascii="Calibri"/>
          <w:spacing w:val="-6"/>
        </w:rPr>
        <w:t> </w:t>
      </w:r>
      <w:r>
        <w:rPr>
          <w:rFonts w:ascii="Calibri"/>
        </w:rPr>
        <w:t>GRAVIDITY</w:t>
      </w:r>
      <w:r>
        <w:rPr>
          <w:rFonts w:ascii="Calibri"/>
          <w:spacing w:val="-6"/>
        </w:rPr>
        <w:t> </w:t>
      </w:r>
      <w:r>
        <w:rPr>
          <w:rFonts w:ascii="Calibri"/>
        </w:rPr>
        <w:t>ON</w:t>
      </w:r>
      <w:r>
        <w:rPr>
          <w:rFonts w:ascii="Calibri"/>
          <w:spacing w:val="-6"/>
        </w:rPr>
        <w:t> </w:t>
      </w:r>
      <w:r>
        <w:rPr>
          <w:rFonts w:ascii="Calibri"/>
        </w:rPr>
        <w:t>IRON</w:t>
      </w:r>
      <w:r>
        <w:rPr>
          <w:rFonts w:ascii="Calibri"/>
          <w:spacing w:val="-3"/>
        </w:rPr>
        <w:t> </w:t>
      </w:r>
      <w:r>
        <w:rPr>
          <w:rFonts w:ascii="Calibri"/>
        </w:rPr>
        <w:t>STATUS</w:t>
      </w:r>
      <w:r>
        <w:rPr>
          <w:rFonts w:ascii="Calibri"/>
          <w:spacing w:val="-1"/>
        </w:rPr>
        <w:t> </w:t>
      </w:r>
      <w:r>
        <w:rPr>
          <w:rFonts w:ascii="Calibri"/>
        </w:rPr>
        <w:t>OF</w:t>
      </w:r>
      <w:r>
        <w:rPr>
          <w:rFonts w:ascii="Calibri"/>
          <w:spacing w:val="-3"/>
        </w:rPr>
        <w:t> </w:t>
      </w:r>
      <w:r>
        <w:rPr>
          <w:rFonts w:ascii="Calibri"/>
        </w:rPr>
        <w:t>MALARIA</w:t>
      </w:r>
      <w:r>
        <w:rPr>
          <w:rFonts w:ascii="Calibri"/>
          <w:spacing w:val="-5"/>
        </w:rPr>
        <w:t> </w:t>
      </w:r>
      <w:r>
        <w:rPr>
          <w:rFonts w:ascii="Calibri"/>
        </w:rPr>
        <w:t>INFECTED</w:t>
      </w:r>
      <w:r>
        <w:rPr>
          <w:rFonts w:ascii="Calibri"/>
          <w:spacing w:val="-3"/>
        </w:rPr>
        <w:t> </w:t>
      </w:r>
      <w:r>
        <w:rPr>
          <w:rFonts w:ascii="Calibri"/>
        </w:rPr>
        <w:t>PREGNANT </w:t>
      </w:r>
      <w:r>
        <w:rPr>
          <w:rFonts w:ascii="Calibri"/>
          <w:spacing w:val="-2"/>
        </w:rPr>
        <w:t>WOMEN</w:t>
      </w:r>
    </w:p>
    <w:p>
      <w:pPr>
        <w:pStyle w:val="BodyText"/>
        <w:spacing w:before="194" w:after="1"/>
        <w:rPr>
          <w:rFonts w:ascii="Calibri"/>
          <w:b/>
          <w:sz w:val="20"/>
        </w:rPr>
      </w:pPr>
    </w:p>
    <w:tbl>
      <w:tblPr>
        <w:tblW w:w="0" w:type="auto"/>
        <w:jc w:val="left"/>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55"/>
        <w:gridCol w:w="2394"/>
        <w:gridCol w:w="2305"/>
        <w:gridCol w:w="2299"/>
      </w:tblGrid>
      <w:tr>
        <w:trPr>
          <w:trHeight w:val="458" w:hRule="atLeast"/>
        </w:trPr>
        <w:tc>
          <w:tcPr>
            <w:tcW w:w="2255" w:type="dxa"/>
            <w:tcBorders>
              <w:top w:val="single" w:sz="4" w:space="0" w:color="000000"/>
              <w:bottom w:val="single" w:sz="4" w:space="0" w:color="000000"/>
            </w:tcBorders>
          </w:tcPr>
          <w:p>
            <w:pPr>
              <w:pStyle w:val="TableParagraph"/>
              <w:spacing w:line="292" w:lineRule="exact"/>
              <w:ind w:left="71" w:right="1"/>
              <w:rPr>
                <w:rFonts w:ascii="Calibri"/>
                <w:b/>
                <w:sz w:val="24"/>
              </w:rPr>
            </w:pPr>
            <w:r>
              <w:rPr>
                <w:rFonts w:ascii="Calibri"/>
                <w:b/>
                <w:sz w:val="24"/>
              </w:rPr>
              <w:t>AGE</w:t>
            </w:r>
            <w:r>
              <w:rPr>
                <w:rFonts w:ascii="Calibri"/>
                <w:b/>
                <w:spacing w:val="-1"/>
                <w:sz w:val="24"/>
              </w:rPr>
              <w:t> </w:t>
            </w:r>
            <w:r>
              <w:rPr>
                <w:rFonts w:ascii="Calibri"/>
                <w:b/>
                <w:spacing w:val="-2"/>
                <w:sz w:val="24"/>
              </w:rPr>
              <w:t>GROUPS</w:t>
            </w:r>
          </w:p>
        </w:tc>
        <w:tc>
          <w:tcPr>
            <w:tcW w:w="2394" w:type="dxa"/>
            <w:tcBorders>
              <w:top w:val="single" w:sz="4" w:space="0" w:color="000000"/>
              <w:bottom w:val="single" w:sz="4" w:space="0" w:color="000000"/>
            </w:tcBorders>
          </w:tcPr>
          <w:p>
            <w:pPr>
              <w:pStyle w:val="TableParagraph"/>
              <w:spacing w:line="292" w:lineRule="exact"/>
              <w:ind w:left="42"/>
              <w:rPr>
                <w:rFonts w:ascii="Calibri"/>
                <w:b/>
                <w:sz w:val="24"/>
              </w:rPr>
            </w:pPr>
            <w:r>
              <w:rPr>
                <w:rFonts w:ascii="Calibri"/>
                <w:b/>
                <w:sz w:val="24"/>
              </w:rPr>
              <w:t>HB </w:t>
            </w:r>
            <w:r>
              <w:rPr>
                <w:rFonts w:ascii="Calibri"/>
                <w:b/>
                <w:spacing w:val="-2"/>
                <w:sz w:val="24"/>
              </w:rPr>
              <w:t>(g/L)</w:t>
            </w:r>
          </w:p>
        </w:tc>
        <w:tc>
          <w:tcPr>
            <w:tcW w:w="2305" w:type="dxa"/>
            <w:tcBorders>
              <w:top w:val="single" w:sz="4" w:space="0" w:color="000000"/>
              <w:bottom w:val="single" w:sz="4" w:space="0" w:color="000000"/>
            </w:tcBorders>
          </w:tcPr>
          <w:p>
            <w:pPr>
              <w:pStyle w:val="TableParagraph"/>
              <w:spacing w:line="292" w:lineRule="exact"/>
              <w:ind w:left="5" w:right="33"/>
              <w:rPr>
                <w:rFonts w:ascii="Calibri"/>
                <w:b/>
                <w:sz w:val="24"/>
              </w:rPr>
            </w:pPr>
            <w:r>
              <w:rPr>
                <w:rFonts w:ascii="Calibri"/>
                <w:b/>
                <w:sz w:val="24"/>
              </w:rPr>
              <w:t>sTfRA </w:t>
            </w:r>
            <w:r>
              <w:rPr>
                <w:rFonts w:ascii="Calibri"/>
                <w:b/>
                <w:spacing w:val="-2"/>
                <w:sz w:val="24"/>
              </w:rPr>
              <w:t>(nmol/L)</w:t>
            </w:r>
          </w:p>
        </w:tc>
        <w:tc>
          <w:tcPr>
            <w:tcW w:w="2299" w:type="dxa"/>
            <w:tcBorders>
              <w:top w:val="single" w:sz="4" w:space="0" w:color="000000"/>
              <w:bottom w:val="single" w:sz="4" w:space="0" w:color="000000"/>
            </w:tcBorders>
          </w:tcPr>
          <w:p>
            <w:pPr>
              <w:pStyle w:val="TableParagraph"/>
              <w:spacing w:line="304" w:lineRule="exact"/>
              <w:ind w:left="1" w:right="15"/>
              <w:rPr>
                <w:rFonts w:ascii="Calibri" w:hAnsi="Calibri"/>
                <w:b/>
                <w:sz w:val="24"/>
              </w:rPr>
            </w:pPr>
            <w:r>
              <w:rPr>
                <w:rFonts w:ascii="Calibri" w:hAnsi="Calibri"/>
                <w:b/>
                <w:sz w:val="24"/>
              </w:rPr>
              <w:t>SF</w:t>
            </w:r>
            <w:r>
              <w:rPr>
                <w:rFonts w:ascii="Calibri" w:hAnsi="Calibri"/>
                <w:b/>
                <w:spacing w:val="-1"/>
                <w:sz w:val="24"/>
              </w:rPr>
              <w:t> </w:t>
            </w:r>
            <w:r>
              <w:rPr>
                <w:rFonts w:ascii="Calibri" w:hAnsi="Calibri"/>
                <w:b/>
                <w:spacing w:val="-2"/>
                <w:sz w:val="24"/>
              </w:rPr>
              <w:t>(</w:t>
            </w:r>
            <w:r>
              <w:rPr>
                <w:rFonts w:ascii="Symbol" w:hAnsi="Symbol"/>
                <w:spacing w:val="-2"/>
                <w:sz w:val="24"/>
              </w:rPr>
              <w:t></w:t>
            </w:r>
            <w:r>
              <w:rPr>
                <w:rFonts w:ascii="Calibri" w:hAnsi="Calibri"/>
                <w:b/>
                <w:spacing w:val="-2"/>
                <w:sz w:val="24"/>
              </w:rPr>
              <w:t>g/L)</w:t>
            </w:r>
          </w:p>
        </w:tc>
      </w:tr>
      <w:tr>
        <w:trPr>
          <w:trHeight w:val="393" w:hRule="atLeast"/>
        </w:trPr>
        <w:tc>
          <w:tcPr>
            <w:tcW w:w="2255" w:type="dxa"/>
            <w:tcBorders>
              <w:top w:val="single" w:sz="4" w:space="0" w:color="000000"/>
            </w:tcBorders>
          </w:tcPr>
          <w:p>
            <w:pPr>
              <w:pStyle w:val="TableParagraph"/>
              <w:spacing w:line="292" w:lineRule="exact"/>
              <w:ind w:left="71"/>
              <w:rPr>
                <w:rFonts w:ascii="Calibri"/>
                <w:b/>
                <w:sz w:val="24"/>
              </w:rPr>
            </w:pPr>
            <w:r>
              <w:rPr>
                <w:rFonts w:ascii="Calibri"/>
                <w:b/>
                <w:sz w:val="24"/>
              </w:rPr>
              <w:t>G1</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51)</w:t>
            </w:r>
          </w:p>
        </w:tc>
        <w:tc>
          <w:tcPr>
            <w:tcW w:w="2394" w:type="dxa"/>
            <w:tcBorders>
              <w:top w:val="single" w:sz="4" w:space="0" w:color="000000"/>
            </w:tcBorders>
          </w:tcPr>
          <w:p>
            <w:pPr>
              <w:pStyle w:val="TableParagraph"/>
              <w:spacing w:before="14"/>
              <w:ind w:left="433"/>
              <w:jc w:val="left"/>
              <w:rPr>
                <w:sz w:val="26"/>
              </w:rPr>
            </w:pPr>
            <w:r>
              <w:rPr>
                <w:sz w:val="26"/>
              </w:rPr>
              <w:t>103.78</w:t>
            </w:r>
            <w:r>
              <w:rPr>
                <w:spacing w:val="-6"/>
                <w:sz w:val="26"/>
              </w:rPr>
              <w:t> </w:t>
            </w:r>
            <w:r>
              <w:rPr>
                <w:sz w:val="26"/>
              </w:rPr>
              <w:t>±</w:t>
            </w:r>
            <w:r>
              <w:rPr>
                <w:spacing w:val="-3"/>
                <w:sz w:val="26"/>
              </w:rPr>
              <w:t> </w:t>
            </w:r>
            <w:r>
              <w:rPr>
                <w:spacing w:val="-2"/>
                <w:sz w:val="26"/>
              </w:rPr>
              <w:t>12.13</w:t>
            </w:r>
          </w:p>
        </w:tc>
        <w:tc>
          <w:tcPr>
            <w:tcW w:w="2305" w:type="dxa"/>
            <w:tcBorders>
              <w:top w:val="single" w:sz="4" w:space="0" w:color="000000"/>
            </w:tcBorders>
          </w:tcPr>
          <w:p>
            <w:pPr>
              <w:pStyle w:val="TableParagraph"/>
              <w:spacing w:line="314" w:lineRule="exact"/>
              <w:ind w:left="446"/>
              <w:jc w:val="left"/>
              <w:rPr>
                <w:sz w:val="26"/>
              </w:rPr>
            </w:pPr>
            <w:r>
              <w:rPr>
                <w:sz w:val="26"/>
              </w:rPr>
              <w:t>62.35</w:t>
            </w:r>
            <w:r>
              <w:rPr>
                <w:spacing w:val="-6"/>
                <w:sz w:val="26"/>
              </w:rPr>
              <w:t> </w:t>
            </w:r>
            <w:r>
              <w:rPr>
                <w:rFonts w:ascii="Symbol" w:hAnsi="Symbol"/>
                <w:spacing w:val="-2"/>
                <w:sz w:val="26"/>
              </w:rPr>
              <w:t></w:t>
            </w:r>
            <w:r>
              <w:rPr>
                <w:spacing w:val="-2"/>
                <w:sz w:val="26"/>
              </w:rPr>
              <w:t>18.75</w:t>
            </w:r>
          </w:p>
        </w:tc>
        <w:tc>
          <w:tcPr>
            <w:tcW w:w="2299" w:type="dxa"/>
            <w:tcBorders>
              <w:top w:val="single" w:sz="4" w:space="0" w:color="000000"/>
            </w:tcBorders>
          </w:tcPr>
          <w:p>
            <w:pPr>
              <w:pStyle w:val="TableParagraph"/>
              <w:spacing w:line="314" w:lineRule="exact"/>
              <w:ind w:left="3" w:right="15"/>
              <w:rPr>
                <w:sz w:val="26"/>
              </w:rPr>
            </w:pPr>
            <w:r>
              <w:rPr>
                <w:spacing w:val="-2"/>
                <w:sz w:val="26"/>
              </w:rPr>
              <w:t>47.98</w:t>
            </w:r>
            <w:r>
              <w:rPr>
                <w:rFonts w:ascii="Symbol" w:hAnsi="Symbol"/>
                <w:spacing w:val="-2"/>
                <w:sz w:val="26"/>
              </w:rPr>
              <w:t></w:t>
            </w:r>
            <w:r>
              <w:rPr>
                <w:spacing w:val="-2"/>
                <w:sz w:val="26"/>
              </w:rPr>
              <w:t>106.73</w:t>
            </w:r>
          </w:p>
        </w:tc>
      </w:tr>
      <w:tr>
        <w:trPr>
          <w:trHeight w:val="477" w:hRule="atLeast"/>
        </w:trPr>
        <w:tc>
          <w:tcPr>
            <w:tcW w:w="2255" w:type="dxa"/>
          </w:tcPr>
          <w:p>
            <w:pPr>
              <w:pStyle w:val="TableParagraph"/>
              <w:spacing w:before="83"/>
              <w:ind w:left="71"/>
              <w:rPr>
                <w:rFonts w:ascii="Calibri"/>
                <w:b/>
                <w:sz w:val="24"/>
              </w:rPr>
            </w:pPr>
            <w:r>
              <w:rPr>
                <w:rFonts w:ascii="Calibri"/>
                <w:b/>
                <w:sz w:val="24"/>
              </w:rPr>
              <w:t>G2</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34)</w:t>
            </w:r>
          </w:p>
        </w:tc>
        <w:tc>
          <w:tcPr>
            <w:tcW w:w="2394" w:type="dxa"/>
          </w:tcPr>
          <w:p>
            <w:pPr>
              <w:pStyle w:val="TableParagraph"/>
              <w:spacing w:before="98"/>
              <w:ind w:left="433"/>
              <w:jc w:val="left"/>
              <w:rPr>
                <w:sz w:val="26"/>
              </w:rPr>
            </w:pPr>
            <w:r>
              <w:rPr>
                <w:sz w:val="26"/>
              </w:rPr>
              <w:t>102.09</w:t>
            </w:r>
            <w:r>
              <w:rPr>
                <w:spacing w:val="-6"/>
                <w:sz w:val="26"/>
              </w:rPr>
              <w:t> </w:t>
            </w:r>
            <w:r>
              <w:rPr>
                <w:sz w:val="26"/>
              </w:rPr>
              <w:t>±</w:t>
            </w:r>
            <w:r>
              <w:rPr>
                <w:spacing w:val="-3"/>
                <w:sz w:val="26"/>
              </w:rPr>
              <w:t> </w:t>
            </w:r>
            <w:r>
              <w:rPr>
                <w:spacing w:val="-2"/>
                <w:sz w:val="26"/>
              </w:rPr>
              <w:t>11.17</w:t>
            </w:r>
          </w:p>
        </w:tc>
        <w:tc>
          <w:tcPr>
            <w:tcW w:w="2305" w:type="dxa"/>
          </w:tcPr>
          <w:p>
            <w:pPr>
              <w:pStyle w:val="TableParagraph"/>
              <w:spacing w:before="79"/>
              <w:ind w:left="415"/>
              <w:jc w:val="left"/>
              <w:rPr>
                <w:sz w:val="26"/>
              </w:rPr>
            </w:pPr>
            <w:r>
              <w:rPr>
                <w:sz w:val="26"/>
              </w:rPr>
              <w:t>63.32</w:t>
            </w:r>
            <w:r>
              <w:rPr>
                <w:spacing w:val="-4"/>
                <w:sz w:val="26"/>
              </w:rPr>
              <w:t> </w:t>
            </w:r>
            <w:r>
              <w:rPr>
                <w:rFonts w:ascii="Symbol" w:hAnsi="Symbol"/>
                <w:sz w:val="26"/>
              </w:rPr>
              <w:t></w:t>
            </w:r>
            <w:r>
              <w:rPr>
                <w:spacing w:val="-3"/>
                <w:sz w:val="26"/>
              </w:rPr>
              <w:t> </w:t>
            </w:r>
            <w:r>
              <w:rPr>
                <w:spacing w:val="-2"/>
                <w:sz w:val="26"/>
              </w:rPr>
              <w:t>22.86</w:t>
            </w:r>
          </w:p>
        </w:tc>
        <w:tc>
          <w:tcPr>
            <w:tcW w:w="2299" w:type="dxa"/>
          </w:tcPr>
          <w:p>
            <w:pPr>
              <w:pStyle w:val="TableParagraph"/>
              <w:spacing w:before="79"/>
              <w:ind w:left="3" w:right="15"/>
              <w:rPr>
                <w:sz w:val="26"/>
              </w:rPr>
            </w:pPr>
            <w:r>
              <w:rPr>
                <w:spacing w:val="-2"/>
                <w:sz w:val="26"/>
              </w:rPr>
              <w:t>25.92</w:t>
            </w:r>
            <w:r>
              <w:rPr>
                <w:rFonts w:ascii="Symbol" w:hAnsi="Symbol"/>
                <w:spacing w:val="-2"/>
                <w:sz w:val="26"/>
              </w:rPr>
              <w:t></w:t>
            </w:r>
            <w:r>
              <w:rPr>
                <w:spacing w:val="-2"/>
                <w:sz w:val="26"/>
              </w:rPr>
              <w:t>18.66</w:t>
            </w:r>
          </w:p>
        </w:tc>
      </w:tr>
      <w:tr>
        <w:trPr>
          <w:trHeight w:val="481" w:hRule="atLeast"/>
        </w:trPr>
        <w:tc>
          <w:tcPr>
            <w:tcW w:w="2255" w:type="dxa"/>
          </w:tcPr>
          <w:p>
            <w:pPr>
              <w:pStyle w:val="TableParagraph"/>
              <w:spacing w:before="83"/>
              <w:ind w:left="71"/>
              <w:rPr>
                <w:rFonts w:ascii="Calibri"/>
                <w:b/>
                <w:sz w:val="24"/>
              </w:rPr>
            </w:pPr>
            <w:r>
              <w:rPr>
                <w:rFonts w:ascii="Calibri"/>
                <w:b/>
                <w:sz w:val="24"/>
              </w:rPr>
              <w:t>G3</w:t>
            </w:r>
            <w:r>
              <w:rPr>
                <w:rFonts w:ascii="Calibri"/>
                <w:b/>
                <w:spacing w:val="1"/>
                <w:sz w:val="24"/>
              </w:rPr>
              <w:t> </w:t>
            </w:r>
            <w:r>
              <w:rPr>
                <w:rFonts w:ascii="Calibri"/>
                <w:b/>
                <w:sz w:val="24"/>
              </w:rPr>
              <w:t>(n</w:t>
            </w:r>
            <w:r>
              <w:rPr>
                <w:rFonts w:ascii="Calibri"/>
                <w:b/>
                <w:spacing w:val="-2"/>
                <w:sz w:val="24"/>
              </w:rPr>
              <w:t> </w:t>
            </w:r>
            <w:r>
              <w:rPr>
                <w:rFonts w:ascii="Calibri"/>
                <w:b/>
                <w:sz w:val="24"/>
              </w:rPr>
              <w:t>=</w:t>
            </w:r>
            <w:r>
              <w:rPr>
                <w:rFonts w:ascii="Calibri"/>
                <w:b/>
                <w:spacing w:val="1"/>
                <w:sz w:val="24"/>
              </w:rPr>
              <w:t> </w:t>
            </w:r>
            <w:r>
              <w:rPr>
                <w:rFonts w:ascii="Calibri"/>
                <w:b/>
                <w:spacing w:val="-5"/>
                <w:sz w:val="24"/>
              </w:rPr>
              <w:t>59)</w:t>
            </w:r>
          </w:p>
        </w:tc>
        <w:tc>
          <w:tcPr>
            <w:tcW w:w="2394" w:type="dxa"/>
          </w:tcPr>
          <w:p>
            <w:pPr>
              <w:pStyle w:val="TableParagraph"/>
              <w:spacing w:before="98"/>
              <w:ind w:left="498"/>
              <w:jc w:val="left"/>
              <w:rPr>
                <w:sz w:val="26"/>
              </w:rPr>
            </w:pPr>
            <w:r>
              <w:rPr>
                <w:sz w:val="26"/>
              </w:rPr>
              <w:t>101.44</w:t>
            </w:r>
            <w:r>
              <w:rPr>
                <w:spacing w:val="-6"/>
                <w:sz w:val="26"/>
              </w:rPr>
              <w:t> </w:t>
            </w:r>
            <w:r>
              <w:rPr>
                <w:sz w:val="26"/>
              </w:rPr>
              <w:t>±</w:t>
            </w:r>
            <w:r>
              <w:rPr>
                <w:spacing w:val="-3"/>
                <w:sz w:val="26"/>
              </w:rPr>
              <w:t> </w:t>
            </w:r>
            <w:r>
              <w:rPr>
                <w:spacing w:val="-4"/>
                <w:sz w:val="26"/>
              </w:rPr>
              <w:t>9.84</w:t>
            </w:r>
          </w:p>
        </w:tc>
        <w:tc>
          <w:tcPr>
            <w:tcW w:w="2305" w:type="dxa"/>
          </w:tcPr>
          <w:p>
            <w:pPr>
              <w:pStyle w:val="TableParagraph"/>
              <w:spacing w:before="79"/>
              <w:ind w:left="446"/>
              <w:jc w:val="left"/>
              <w:rPr>
                <w:sz w:val="26"/>
              </w:rPr>
            </w:pPr>
            <w:r>
              <w:rPr>
                <w:sz w:val="26"/>
              </w:rPr>
              <w:t>62.84</w:t>
            </w:r>
            <w:r>
              <w:rPr>
                <w:spacing w:val="-6"/>
                <w:sz w:val="26"/>
              </w:rPr>
              <w:t> </w:t>
            </w:r>
            <w:r>
              <w:rPr>
                <w:rFonts w:ascii="Symbol" w:hAnsi="Symbol"/>
                <w:spacing w:val="-2"/>
                <w:sz w:val="26"/>
              </w:rPr>
              <w:t></w:t>
            </w:r>
            <w:r>
              <w:rPr>
                <w:spacing w:val="-2"/>
                <w:sz w:val="26"/>
              </w:rPr>
              <w:t>24.27</w:t>
            </w:r>
          </w:p>
        </w:tc>
        <w:tc>
          <w:tcPr>
            <w:tcW w:w="2299" w:type="dxa"/>
          </w:tcPr>
          <w:p>
            <w:pPr>
              <w:pStyle w:val="TableParagraph"/>
              <w:spacing w:before="79"/>
              <w:ind w:left="1" w:right="15"/>
              <w:rPr>
                <w:sz w:val="26"/>
              </w:rPr>
            </w:pPr>
            <w:r>
              <w:rPr>
                <w:sz w:val="26"/>
              </w:rPr>
              <w:t>50.03</w:t>
            </w:r>
            <w:r>
              <w:rPr>
                <w:rFonts w:ascii="Symbol" w:hAnsi="Symbol"/>
                <w:sz w:val="26"/>
              </w:rPr>
              <w:t></w:t>
            </w:r>
            <w:r>
              <w:rPr>
                <w:spacing w:val="-9"/>
                <w:sz w:val="26"/>
              </w:rPr>
              <w:t> </w:t>
            </w:r>
            <w:r>
              <w:rPr>
                <w:spacing w:val="-2"/>
                <w:sz w:val="26"/>
              </w:rPr>
              <w:t>86.87</w:t>
            </w:r>
          </w:p>
        </w:tc>
      </w:tr>
      <w:tr>
        <w:trPr>
          <w:trHeight w:val="533" w:hRule="atLeast"/>
        </w:trPr>
        <w:tc>
          <w:tcPr>
            <w:tcW w:w="2255" w:type="dxa"/>
          </w:tcPr>
          <w:p>
            <w:pPr>
              <w:pStyle w:val="TableParagraph"/>
              <w:spacing w:before="79"/>
              <w:ind w:left="71" w:right="3"/>
              <w:rPr>
                <w:rFonts w:ascii="Calibri"/>
                <w:b/>
                <w:sz w:val="24"/>
              </w:rPr>
            </w:pPr>
            <w:r>
              <w:rPr>
                <w:rFonts w:ascii="Calibri"/>
                <w:b/>
                <w:sz w:val="24"/>
              </w:rPr>
              <w:t>F(p) </w:t>
            </w:r>
            <w:r>
              <w:rPr>
                <w:rFonts w:ascii="Calibri"/>
                <w:b/>
                <w:spacing w:val="-2"/>
                <w:sz w:val="24"/>
              </w:rPr>
              <w:t>Value</w:t>
            </w:r>
          </w:p>
        </w:tc>
        <w:tc>
          <w:tcPr>
            <w:tcW w:w="2394" w:type="dxa"/>
          </w:tcPr>
          <w:p>
            <w:pPr>
              <w:pStyle w:val="TableParagraph"/>
              <w:spacing w:before="72"/>
              <w:ind w:left="42" w:right="2"/>
              <w:rPr>
                <w:sz w:val="26"/>
              </w:rPr>
            </w:pPr>
            <w:r>
              <w:rPr>
                <w:sz w:val="26"/>
              </w:rPr>
              <w:t>.641</w:t>
            </w:r>
            <w:r>
              <w:rPr>
                <w:spacing w:val="-6"/>
                <w:sz w:val="26"/>
              </w:rPr>
              <w:t> </w:t>
            </w:r>
            <w:r>
              <w:rPr>
                <w:spacing w:val="-2"/>
                <w:sz w:val="26"/>
              </w:rPr>
              <w:t>(.528)</w:t>
            </w:r>
          </w:p>
        </w:tc>
        <w:tc>
          <w:tcPr>
            <w:tcW w:w="2305" w:type="dxa"/>
          </w:tcPr>
          <w:p>
            <w:pPr>
              <w:pStyle w:val="TableParagraph"/>
              <w:spacing w:before="72"/>
              <w:ind w:right="33"/>
              <w:rPr>
                <w:sz w:val="26"/>
              </w:rPr>
            </w:pPr>
            <w:r>
              <w:rPr>
                <w:sz w:val="26"/>
              </w:rPr>
              <w:t>.020</w:t>
            </w:r>
            <w:r>
              <w:rPr>
                <w:spacing w:val="-6"/>
                <w:sz w:val="26"/>
              </w:rPr>
              <w:t> </w:t>
            </w:r>
            <w:r>
              <w:rPr>
                <w:spacing w:val="-2"/>
                <w:sz w:val="26"/>
              </w:rPr>
              <w:t>(.980)</w:t>
            </w:r>
          </w:p>
        </w:tc>
        <w:tc>
          <w:tcPr>
            <w:tcW w:w="2299" w:type="dxa"/>
          </w:tcPr>
          <w:p>
            <w:pPr>
              <w:pStyle w:val="TableParagraph"/>
              <w:spacing w:before="72"/>
              <w:ind w:right="15"/>
              <w:rPr>
                <w:sz w:val="26"/>
              </w:rPr>
            </w:pPr>
            <w:r>
              <w:rPr>
                <w:sz w:val="26"/>
              </w:rPr>
              <w:t>.973</w:t>
            </w:r>
            <w:r>
              <w:rPr>
                <w:spacing w:val="-6"/>
                <w:sz w:val="26"/>
              </w:rPr>
              <w:t> </w:t>
            </w:r>
            <w:r>
              <w:rPr>
                <w:spacing w:val="-2"/>
                <w:sz w:val="26"/>
              </w:rPr>
              <w:t>(.381)</w:t>
            </w:r>
          </w:p>
        </w:tc>
      </w:tr>
      <w:tr>
        <w:trPr>
          <w:trHeight w:val="530" w:hRule="atLeast"/>
        </w:trPr>
        <w:tc>
          <w:tcPr>
            <w:tcW w:w="2255" w:type="dxa"/>
          </w:tcPr>
          <w:p>
            <w:pPr>
              <w:pStyle w:val="TableParagraph"/>
              <w:spacing w:before="157"/>
              <w:ind w:left="71"/>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G2</w:t>
            </w:r>
          </w:p>
        </w:tc>
        <w:tc>
          <w:tcPr>
            <w:tcW w:w="2394" w:type="dxa"/>
          </w:tcPr>
          <w:p>
            <w:pPr>
              <w:pStyle w:val="TableParagraph"/>
              <w:spacing w:before="150"/>
              <w:ind w:left="42" w:right="2"/>
              <w:rPr>
                <w:sz w:val="26"/>
              </w:rPr>
            </w:pPr>
            <w:r>
              <w:rPr>
                <w:spacing w:val="-2"/>
                <w:sz w:val="26"/>
              </w:rPr>
              <w:t>0.786</w:t>
            </w:r>
          </w:p>
        </w:tc>
        <w:tc>
          <w:tcPr>
            <w:tcW w:w="2305" w:type="dxa"/>
          </w:tcPr>
          <w:p>
            <w:pPr>
              <w:pStyle w:val="TableParagraph"/>
              <w:spacing w:before="150"/>
              <w:ind w:right="33"/>
              <w:rPr>
                <w:sz w:val="26"/>
              </w:rPr>
            </w:pPr>
            <w:r>
              <w:rPr>
                <w:spacing w:val="-2"/>
                <w:sz w:val="26"/>
              </w:rPr>
              <w:t>0.977</w:t>
            </w:r>
          </w:p>
        </w:tc>
        <w:tc>
          <w:tcPr>
            <w:tcW w:w="2299" w:type="dxa"/>
          </w:tcPr>
          <w:p>
            <w:pPr>
              <w:pStyle w:val="TableParagraph"/>
              <w:spacing w:before="150"/>
              <w:ind w:left="2" w:right="15"/>
              <w:rPr>
                <w:sz w:val="26"/>
              </w:rPr>
            </w:pPr>
            <w:r>
              <w:rPr>
                <w:spacing w:val="-2"/>
                <w:sz w:val="26"/>
              </w:rPr>
              <w:t>0.326</w:t>
            </w:r>
          </w:p>
        </w:tc>
      </w:tr>
      <w:tr>
        <w:trPr>
          <w:trHeight w:val="448" w:hRule="atLeast"/>
        </w:trPr>
        <w:tc>
          <w:tcPr>
            <w:tcW w:w="2255" w:type="dxa"/>
          </w:tcPr>
          <w:p>
            <w:pPr>
              <w:pStyle w:val="TableParagraph"/>
              <w:spacing w:before="76"/>
              <w:ind w:left="71"/>
              <w:rPr>
                <w:rFonts w:ascii="Calibri"/>
                <w:b/>
                <w:sz w:val="24"/>
              </w:rPr>
            </w:pPr>
            <w:r>
              <w:rPr>
                <w:rFonts w:ascii="Calibri"/>
                <w:b/>
                <w:sz w:val="24"/>
              </w:rPr>
              <w:t>G1</w:t>
            </w:r>
            <w:r>
              <w:rPr>
                <w:rFonts w:ascii="Calibri"/>
                <w:b/>
                <w:spacing w:val="1"/>
                <w:sz w:val="24"/>
              </w:rPr>
              <w:t> </w:t>
            </w:r>
            <w:r>
              <w:rPr>
                <w:rFonts w:ascii="Calibri"/>
                <w:b/>
                <w:sz w:val="24"/>
              </w:rPr>
              <w:t>vs </w:t>
            </w:r>
            <w:r>
              <w:rPr>
                <w:rFonts w:ascii="Calibri"/>
                <w:b/>
                <w:spacing w:val="-5"/>
                <w:sz w:val="24"/>
              </w:rPr>
              <w:t>G3</w:t>
            </w:r>
          </w:p>
        </w:tc>
        <w:tc>
          <w:tcPr>
            <w:tcW w:w="2394" w:type="dxa"/>
          </w:tcPr>
          <w:p>
            <w:pPr>
              <w:pStyle w:val="TableParagraph"/>
              <w:spacing w:before="69"/>
              <w:ind w:left="42" w:right="2"/>
              <w:rPr>
                <w:sz w:val="26"/>
              </w:rPr>
            </w:pPr>
            <w:r>
              <w:rPr>
                <w:spacing w:val="-2"/>
                <w:sz w:val="26"/>
              </w:rPr>
              <w:t>0.515</w:t>
            </w:r>
          </w:p>
        </w:tc>
        <w:tc>
          <w:tcPr>
            <w:tcW w:w="2305" w:type="dxa"/>
          </w:tcPr>
          <w:p>
            <w:pPr>
              <w:pStyle w:val="TableParagraph"/>
              <w:spacing w:before="69"/>
              <w:ind w:right="33"/>
              <w:rPr>
                <w:sz w:val="26"/>
              </w:rPr>
            </w:pPr>
            <w:r>
              <w:rPr>
                <w:spacing w:val="-2"/>
                <w:sz w:val="26"/>
              </w:rPr>
              <w:t>0.992</w:t>
            </w:r>
          </w:p>
        </w:tc>
        <w:tc>
          <w:tcPr>
            <w:tcW w:w="2299" w:type="dxa"/>
          </w:tcPr>
          <w:p>
            <w:pPr>
              <w:pStyle w:val="TableParagraph"/>
              <w:spacing w:before="69"/>
              <w:ind w:left="2" w:right="15"/>
              <w:rPr>
                <w:sz w:val="26"/>
              </w:rPr>
            </w:pPr>
            <w:r>
              <w:rPr>
                <w:spacing w:val="-2"/>
                <w:sz w:val="26"/>
              </w:rPr>
              <w:t>0.998</w:t>
            </w:r>
          </w:p>
        </w:tc>
      </w:tr>
      <w:tr>
        <w:trPr>
          <w:trHeight w:val="525" w:hRule="atLeast"/>
        </w:trPr>
        <w:tc>
          <w:tcPr>
            <w:tcW w:w="2255" w:type="dxa"/>
            <w:tcBorders>
              <w:bottom w:val="single" w:sz="4" w:space="0" w:color="000000"/>
            </w:tcBorders>
          </w:tcPr>
          <w:p>
            <w:pPr>
              <w:pStyle w:val="TableParagraph"/>
              <w:spacing w:before="76"/>
              <w:ind w:left="71"/>
              <w:rPr>
                <w:rFonts w:ascii="Calibri"/>
                <w:b/>
                <w:sz w:val="24"/>
              </w:rPr>
            </w:pPr>
            <w:r>
              <w:rPr>
                <w:rFonts w:ascii="Calibri"/>
                <w:b/>
                <w:sz w:val="24"/>
              </w:rPr>
              <w:t>G2</w:t>
            </w:r>
            <w:r>
              <w:rPr>
                <w:rFonts w:ascii="Calibri"/>
                <w:b/>
                <w:spacing w:val="1"/>
                <w:sz w:val="24"/>
              </w:rPr>
              <w:t> </w:t>
            </w:r>
            <w:r>
              <w:rPr>
                <w:rFonts w:ascii="Calibri"/>
                <w:b/>
                <w:sz w:val="24"/>
              </w:rPr>
              <w:t>vs </w:t>
            </w:r>
            <w:r>
              <w:rPr>
                <w:rFonts w:ascii="Calibri"/>
                <w:b/>
                <w:spacing w:val="-5"/>
                <w:sz w:val="24"/>
              </w:rPr>
              <w:t>G3</w:t>
            </w:r>
          </w:p>
        </w:tc>
        <w:tc>
          <w:tcPr>
            <w:tcW w:w="2394" w:type="dxa"/>
            <w:tcBorders>
              <w:bottom w:val="single" w:sz="4" w:space="0" w:color="000000"/>
            </w:tcBorders>
          </w:tcPr>
          <w:p>
            <w:pPr>
              <w:pStyle w:val="TableParagraph"/>
              <w:spacing w:before="69"/>
              <w:ind w:left="42" w:right="2"/>
              <w:rPr>
                <w:sz w:val="26"/>
              </w:rPr>
            </w:pPr>
            <w:r>
              <w:rPr>
                <w:spacing w:val="-2"/>
                <w:sz w:val="26"/>
              </w:rPr>
              <w:t>0.957</w:t>
            </w:r>
          </w:p>
        </w:tc>
        <w:tc>
          <w:tcPr>
            <w:tcW w:w="2305" w:type="dxa"/>
            <w:tcBorders>
              <w:bottom w:val="single" w:sz="4" w:space="0" w:color="000000"/>
            </w:tcBorders>
          </w:tcPr>
          <w:p>
            <w:pPr>
              <w:pStyle w:val="TableParagraph"/>
              <w:spacing w:before="69"/>
              <w:ind w:right="33"/>
              <w:rPr>
                <w:sz w:val="26"/>
              </w:rPr>
            </w:pPr>
            <w:r>
              <w:rPr>
                <w:spacing w:val="-2"/>
                <w:sz w:val="26"/>
              </w:rPr>
              <w:t>0.995</w:t>
            </w:r>
          </w:p>
        </w:tc>
        <w:tc>
          <w:tcPr>
            <w:tcW w:w="2299" w:type="dxa"/>
            <w:tcBorders>
              <w:bottom w:val="single" w:sz="4" w:space="0" w:color="000000"/>
            </w:tcBorders>
          </w:tcPr>
          <w:p>
            <w:pPr>
              <w:pStyle w:val="TableParagraph"/>
              <w:spacing w:before="69"/>
              <w:ind w:left="2" w:right="15"/>
              <w:rPr>
                <w:sz w:val="26"/>
              </w:rPr>
            </w:pPr>
            <w:r>
              <w:rPr>
                <w:spacing w:val="-2"/>
                <w:sz w:val="26"/>
              </w:rPr>
              <w:t>0.108</w:t>
            </w:r>
          </w:p>
        </w:tc>
      </w:tr>
    </w:tbl>
    <w:p>
      <w:pPr>
        <w:pStyle w:val="BodyText"/>
        <w:spacing w:before="16"/>
        <w:rPr>
          <w:rFonts w:ascii="Calibri"/>
          <w:b/>
          <w:sz w:val="16"/>
        </w:rPr>
      </w:pPr>
    </w:p>
    <w:p>
      <w:pPr>
        <w:spacing w:before="0"/>
        <w:ind w:left="560" w:right="0" w:firstLine="0"/>
        <w:jc w:val="left"/>
        <w:rPr>
          <w:rFonts w:ascii="Arial"/>
          <w:b/>
          <w:sz w:val="16"/>
        </w:rPr>
      </w:pPr>
      <w:r>
        <w:rPr>
          <w:rFonts w:ascii="Arial"/>
          <w:b/>
          <w:spacing w:val="-5"/>
          <w:sz w:val="16"/>
        </w:rPr>
        <w:t>Key</w:t>
      </w:r>
    </w:p>
    <w:p>
      <w:pPr>
        <w:spacing w:before="31"/>
        <w:ind w:left="560" w:right="0" w:firstLine="0"/>
        <w:jc w:val="left"/>
        <w:rPr>
          <w:rFonts w:ascii="Microsoft Sans Serif" w:hAnsi="Microsoft Sans Serif"/>
          <w:sz w:val="16"/>
        </w:rPr>
      </w:pPr>
      <w:r>
        <w:rPr>
          <w:rFonts w:ascii="Symbol" w:hAnsi="Symbol"/>
          <w:sz w:val="16"/>
        </w:rPr>
        <w:t></w:t>
      </w:r>
      <w:r>
        <w:rPr>
          <w:rFonts w:ascii="Microsoft Sans Serif" w:hAnsi="Microsoft Sans Serif"/>
          <w:sz w:val="16"/>
        </w:rPr>
        <w:t>-level set</w:t>
      </w:r>
      <w:r>
        <w:rPr>
          <w:rFonts w:ascii="Microsoft Sans Serif" w:hAnsi="Microsoft Sans Serif"/>
          <w:spacing w:val="-2"/>
          <w:sz w:val="16"/>
        </w:rPr>
        <w:t> </w:t>
      </w:r>
      <w:r>
        <w:rPr>
          <w:rFonts w:ascii="Microsoft Sans Serif" w:hAnsi="Microsoft Sans Serif"/>
          <w:sz w:val="16"/>
        </w:rPr>
        <w:t>at</w:t>
      </w:r>
      <w:r>
        <w:rPr>
          <w:rFonts w:ascii="Microsoft Sans Serif" w:hAnsi="Microsoft Sans Serif"/>
          <w:spacing w:val="-2"/>
          <w:sz w:val="16"/>
        </w:rPr>
        <w:t> </w:t>
      </w:r>
      <w:r>
        <w:rPr>
          <w:rFonts w:ascii="Microsoft Sans Serif" w:hAnsi="Microsoft Sans Serif"/>
          <w:spacing w:val="-4"/>
          <w:sz w:val="16"/>
        </w:rPr>
        <w:t>0.05</w:t>
      </w:r>
    </w:p>
    <w:p>
      <w:pPr>
        <w:spacing w:line="280" w:lineRule="auto" w:before="31"/>
        <w:ind w:left="560" w:right="7917" w:firstLine="0"/>
        <w:jc w:val="left"/>
        <w:rPr>
          <w:rFonts w:ascii="Microsoft Sans Serif"/>
          <w:sz w:val="16"/>
        </w:rPr>
      </w:pPr>
      <w:r>
        <w:rPr>
          <w:rFonts w:ascii="Microsoft Sans Serif"/>
          <w:sz w:val="16"/>
        </w:rPr>
        <w:t>*(P&lt;0.05) = Significant P&gt;0.05 = Not Significant G1 = PRIMIGRAVIDAE</w:t>
      </w:r>
      <w:r>
        <w:rPr>
          <w:rFonts w:ascii="Microsoft Sans Serif"/>
          <w:spacing w:val="40"/>
          <w:sz w:val="16"/>
        </w:rPr>
        <w:t> </w:t>
      </w:r>
      <w:r>
        <w:rPr>
          <w:rFonts w:ascii="Microsoft Sans Serif"/>
          <w:sz w:val="16"/>
        </w:rPr>
        <w:t>G2</w:t>
      </w:r>
      <w:r>
        <w:rPr>
          <w:rFonts w:ascii="Microsoft Sans Serif"/>
          <w:spacing w:val="-11"/>
          <w:sz w:val="16"/>
        </w:rPr>
        <w:t> </w:t>
      </w:r>
      <w:r>
        <w:rPr>
          <w:rFonts w:ascii="Microsoft Sans Serif"/>
          <w:sz w:val="16"/>
        </w:rPr>
        <w:t>=SECONDIGRAVIDAE G3 =MULTIGRAVIDAE</w:t>
      </w:r>
    </w:p>
    <w:p>
      <w:pPr>
        <w:spacing w:after="0" w:line="280" w:lineRule="auto"/>
        <w:jc w:val="left"/>
        <w:rPr>
          <w:rFonts w:ascii="Microsoft Sans Serif"/>
          <w:sz w:val="16"/>
        </w:rPr>
        <w:sectPr>
          <w:pgSz w:w="11910" w:h="16840"/>
          <w:pgMar w:header="0" w:footer="1067" w:top="1060" w:bottom="1260" w:left="880" w:right="640"/>
        </w:sectPr>
      </w:pPr>
    </w:p>
    <w:p>
      <w:pPr>
        <w:pStyle w:val="Heading3"/>
        <w:spacing w:line="274" w:lineRule="exact" w:before="75"/>
        <w:ind w:left="0" w:right="236"/>
        <w:jc w:val="center"/>
      </w:pPr>
      <w:r>
        <w:rPr/>
        <w:t>Appendix </w:t>
      </w:r>
      <w:r>
        <w:rPr>
          <w:spacing w:val="-5"/>
        </w:rPr>
        <w:t>IV</w:t>
      </w:r>
    </w:p>
    <w:p>
      <w:pPr>
        <w:pStyle w:val="BodyText"/>
        <w:spacing w:line="274" w:lineRule="exact"/>
        <w:ind w:right="241"/>
        <w:jc w:val="center"/>
      </w:pPr>
      <w:r>
        <w:rPr/>
        <w:t>Showing</w:t>
      </w:r>
      <w:r>
        <w:rPr>
          <w:spacing w:val="-1"/>
        </w:rPr>
        <w:t> </w:t>
      </w:r>
      <w:r>
        <w:rPr/>
        <w:t>the Immunocomb</w:t>
      </w:r>
      <w:r>
        <w:rPr>
          <w:spacing w:val="-1"/>
        </w:rPr>
        <w:t> </w:t>
      </w:r>
      <w:r>
        <w:rPr/>
        <w:t>confirmatory</w:t>
      </w:r>
      <w:r>
        <w:rPr>
          <w:spacing w:val="-6"/>
        </w:rPr>
        <w:t> </w:t>
      </w:r>
      <w:r>
        <w:rPr/>
        <w:t>kit</w:t>
      </w:r>
      <w:r>
        <w:rPr>
          <w:spacing w:val="-1"/>
        </w:rPr>
        <w:t> </w:t>
      </w:r>
      <w:r>
        <w:rPr/>
        <w:t>for HIV I</w:t>
      </w:r>
      <w:r>
        <w:rPr>
          <w:spacing w:val="-2"/>
        </w:rPr>
        <w:t> </w:t>
      </w:r>
      <w:r>
        <w:rPr/>
        <w:t>&amp; </w:t>
      </w:r>
      <w:r>
        <w:rPr>
          <w:spacing w:val="-5"/>
        </w:rPr>
        <w:t>II</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7"/>
        <w:rPr>
          <w:sz w:val="16"/>
        </w:rPr>
      </w:pPr>
    </w:p>
    <w:p>
      <w:pPr>
        <w:spacing w:before="1"/>
        <w:ind w:left="7823" w:right="0" w:firstLine="0"/>
        <w:jc w:val="left"/>
        <w:rPr>
          <w:rFonts w:ascii="Arial"/>
          <w:b/>
          <w:sz w:val="16"/>
        </w:rPr>
      </w:pPr>
      <w:r>
        <w:rPr/>
        <mc:AlternateContent>
          <mc:Choice Requires="wps">
            <w:drawing>
              <wp:anchor distT="0" distB="0" distL="0" distR="0" allowOverlap="1" layoutInCell="1" locked="0" behindDoc="0" simplePos="0" relativeHeight="15741440">
                <wp:simplePos x="0" y="0"/>
                <wp:positionH relativeFrom="page">
                  <wp:posOffset>1595753</wp:posOffset>
                </wp:positionH>
                <wp:positionV relativeFrom="paragraph">
                  <wp:posOffset>-1211783</wp:posOffset>
                </wp:positionV>
                <wp:extent cx="3917315" cy="1722755"/>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3917315" cy="1722755"/>
                          <a:chExt cx="3917315" cy="1722755"/>
                        </a:xfrm>
                      </wpg:grpSpPr>
                      <wps:wsp>
                        <wps:cNvPr id="58" name="Graphic 58"/>
                        <wps:cNvSpPr/>
                        <wps:spPr>
                          <a:xfrm>
                            <a:off x="-11" y="4"/>
                            <a:ext cx="3917315" cy="1722755"/>
                          </a:xfrm>
                          <a:custGeom>
                            <a:avLst/>
                            <a:gdLst/>
                            <a:ahLst/>
                            <a:cxnLst/>
                            <a:rect l="l" t="t" r="r" b="b"/>
                            <a:pathLst>
                              <a:path w="3917315" h="1722755">
                                <a:moveTo>
                                  <a:pt x="1572006" y="30480"/>
                                </a:moveTo>
                                <a:lnTo>
                                  <a:pt x="1563204" y="17780"/>
                                </a:lnTo>
                                <a:lnTo>
                                  <a:pt x="1505978" y="62814"/>
                                </a:lnTo>
                                <a:lnTo>
                                  <a:pt x="1458874" y="30480"/>
                                </a:lnTo>
                                <a:lnTo>
                                  <a:pt x="1440357" y="17780"/>
                                </a:lnTo>
                                <a:lnTo>
                                  <a:pt x="1431658" y="17780"/>
                                </a:lnTo>
                                <a:lnTo>
                                  <a:pt x="1431658" y="24066"/>
                                </a:lnTo>
                                <a:lnTo>
                                  <a:pt x="1431556" y="30480"/>
                                </a:lnTo>
                                <a:lnTo>
                                  <a:pt x="1431556" y="24130"/>
                                </a:lnTo>
                                <a:lnTo>
                                  <a:pt x="1431658" y="17780"/>
                                </a:lnTo>
                                <a:lnTo>
                                  <a:pt x="1247089" y="17780"/>
                                </a:lnTo>
                                <a:lnTo>
                                  <a:pt x="1238288" y="17780"/>
                                </a:lnTo>
                                <a:lnTo>
                                  <a:pt x="1238288" y="24130"/>
                                </a:lnTo>
                                <a:lnTo>
                                  <a:pt x="1247089" y="24130"/>
                                </a:lnTo>
                                <a:lnTo>
                                  <a:pt x="1247089" y="27330"/>
                                </a:lnTo>
                                <a:lnTo>
                                  <a:pt x="1238288" y="24130"/>
                                </a:lnTo>
                                <a:lnTo>
                                  <a:pt x="1197419" y="60706"/>
                                </a:lnTo>
                                <a:lnTo>
                                  <a:pt x="1197419" y="75349"/>
                                </a:lnTo>
                                <a:lnTo>
                                  <a:pt x="1194473" y="74282"/>
                                </a:lnTo>
                                <a:lnTo>
                                  <a:pt x="1194473" y="71120"/>
                                </a:lnTo>
                                <a:lnTo>
                                  <a:pt x="1194523" y="74295"/>
                                </a:lnTo>
                                <a:lnTo>
                                  <a:pt x="1197419" y="75349"/>
                                </a:lnTo>
                                <a:lnTo>
                                  <a:pt x="1197419" y="60706"/>
                                </a:lnTo>
                                <a:lnTo>
                                  <a:pt x="1193825" y="63919"/>
                                </a:lnTo>
                                <a:lnTo>
                                  <a:pt x="1141653" y="24130"/>
                                </a:lnTo>
                                <a:lnTo>
                                  <a:pt x="1132954" y="35560"/>
                                </a:lnTo>
                                <a:lnTo>
                                  <a:pt x="1194473" y="77470"/>
                                </a:lnTo>
                                <a:lnTo>
                                  <a:pt x="1194473" y="83820"/>
                                </a:lnTo>
                                <a:lnTo>
                                  <a:pt x="1203274" y="77470"/>
                                </a:lnTo>
                                <a:lnTo>
                                  <a:pt x="1255801" y="30480"/>
                                </a:lnTo>
                                <a:lnTo>
                                  <a:pt x="1422755" y="30480"/>
                                </a:lnTo>
                                <a:lnTo>
                                  <a:pt x="1501889" y="71120"/>
                                </a:lnTo>
                                <a:lnTo>
                                  <a:pt x="1510690" y="77470"/>
                                </a:lnTo>
                                <a:lnTo>
                                  <a:pt x="1510690" y="71120"/>
                                </a:lnTo>
                                <a:lnTo>
                                  <a:pt x="1572006" y="30480"/>
                                </a:lnTo>
                                <a:close/>
                              </a:path>
                              <a:path w="3917315" h="1722755">
                                <a:moveTo>
                                  <a:pt x="1756473" y="17780"/>
                                </a:moveTo>
                                <a:lnTo>
                                  <a:pt x="1747672" y="17780"/>
                                </a:lnTo>
                                <a:lnTo>
                                  <a:pt x="1572006" y="17780"/>
                                </a:lnTo>
                                <a:lnTo>
                                  <a:pt x="1563204" y="17780"/>
                                </a:lnTo>
                                <a:lnTo>
                                  <a:pt x="1572006" y="24130"/>
                                </a:lnTo>
                                <a:lnTo>
                                  <a:pt x="1572006" y="30480"/>
                                </a:lnTo>
                                <a:lnTo>
                                  <a:pt x="1747672" y="30480"/>
                                </a:lnTo>
                                <a:lnTo>
                                  <a:pt x="1747672" y="24130"/>
                                </a:lnTo>
                                <a:lnTo>
                                  <a:pt x="1756473" y="17780"/>
                                </a:lnTo>
                                <a:close/>
                              </a:path>
                              <a:path w="3917315" h="1722755">
                                <a:moveTo>
                                  <a:pt x="1826806" y="71120"/>
                                </a:moveTo>
                                <a:lnTo>
                                  <a:pt x="1817992" y="66040"/>
                                </a:lnTo>
                                <a:lnTo>
                                  <a:pt x="1809292" y="71120"/>
                                </a:lnTo>
                                <a:lnTo>
                                  <a:pt x="1826806" y="71120"/>
                                </a:lnTo>
                                <a:close/>
                              </a:path>
                              <a:path w="3917315" h="1722755">
                                <a:moveTo>
                                  <a:pt x="1835607" y="604774"/>
                                </a:moveTo>
                                <a:lnTo>
                                  <a:pt x="1817992" y="604774"/>
                                </a:lnTo>
                                <a:lnTo>
                                  <a:pt x="1826806" y="609854"/>
                                </a:lnTo>
                                <a:lnTo>
                                  <a:pt x="1835607" y="604774"/>
                                </a:lnTo>
                                <a:close/>
                              </a:path>
                              <a:path w="3917315" h="1722755">
                                <a:moveTo>
                                  <a:pt x="1888426" y="30480"/>
                                </a:moveTo>
                                <a:lnTo>
                                  <a:pt x="1879422" y="24066"/>
                                </a:lnTo>
                                <a:lnTo>
                                  <a:pt x="1879422" y="30480"/>
                                </a:lnTo>
                                <a:lnTo>
                                  <a:pt x="1879320" y="24066"/>
                                </a:lnTo>
                                <a:lnTo>
                                  <a:pt x="1879422" y="17780"/>
                                </a:lnTo>
                                <a:lnTo>
                                  <a:pt x="1870621" y="17780"/>
                                </a:lnTo>
                                <a:lnTo>
                                  <a:pt x="1817446" y="54114"/>
                                </a:lnTo>
                                <a:lnTo>
                                  <a:pt x="1756473" y="17780"/>
                                </a:lnTo>
                                <a:lnTo>
                                  <a:pt x="1747672" y="30480"/>
                                </a:lnTo>
                                <a:lnTo>
                                  <a:pt x="1809292" y="71120"/>
                                </a:lnTo>
                                <a:lnTo>
                                  <a:pt x="1818043" y="65405"/>
                                </a:lnTo>
                                <a:lnTo>
                                  <a:pt x="1826806" y="71120"/>
                                </a:lnTo>
                                <a:lnTo>
                                  <a:pt x="1888426" y="30480"/>
                                </a:lnTo>
                                <a:close/>
                              </a:path>
                              <a:path w="3917315" h="1722755">
                                <a:moveTo>
                                  <a:pt x="2142909" y="66040"/>
                                </a:moveTo>
                                <a:lnTo>
                                  <a:pt x="2125408" y="66040"/>
                                </a:lnTo>
                                <a:lnTo>
                                  <a:pt x="2134209" y="71120"/>
                                </a:lnTo>
                                <a:lnTo>
                                  <a:pt x="2142909" y="66040"/>
                                </a:lnTo>
                                <a:close/>
                              </a:path>
                              <a:path w="3917315" h="1722755">
                                <a:moveTo>
                                  <a:pt x="2456599" y="596303"/>
                                </a:moveTo>
                                <a:lnTo>
                                  <a:pt x="2450325" y="592074"/>
                                </a:lnTo>
                                <a:lnTo>
                                  <a:pt x="2441625" y="592074"/>
                                </a:lnTo>
                                <a:lnTo>
                                  <a:pt x="2447417" y="596303"/>
                                </a:lnTo>
                                <a:lnTo>
                                  <a:pt x="2450325" y="596303"/>
                                </a:lnTo>
                                <a:lnTo>
                                  <a:pt x="2456599" y="596303"/>
                                </a:lnTo>
                                <a:close/>
                              </a:path>
                              <a:path w="3917315" h="1722755">
                                <a:moveTo>
                                  <a:pt x="2511945" y="24130"/>
                                </a:moveTo>
                                <a:lnTo>
                                  <a:pt x="2503144" y="12700"/>
                                </a:lnTo>
                                <a:lnTo>
                                  <a:pt x="2442260" y="47879"/>
                                </a:lnTo>
                                <a:lnTo>
                                  <a:pt x="2397798" y="17780"/>
                                </a:lnTo>
                                <a:lnTo>
                                  <a:pt x="2388806" y="20993"/>
                                </a:lnTo>
                                <a:lnTo>
                                  <a:pt x="2388806" y="17780"/>
                                </a:lnTo>
                                <a:lnTo>
                                  <a:pt x="2397798" y="17780"/>
                                </a:lnTo>
                                <a:lnTo>
                                  <a:pt x="2388806" y="12700"/>
                                </a:lnTo>
                                <a:lnTo>
                                  <a:pt x="2186736" y="12700"/>
                                </a:lnTo>
                                <a:lnTo>
                                  <a:pt x="2178024" y="12700"/>
                                </a:lnTo>
                                <a:lnTo>
                                  <a:pt x="2186736" y="17780"/>
                                </a:lnTo>
                                <a:lnTo>
                                  <a:pt x="2186736" y="18326"/>
                                </a:lnTo>
                                <a:lnTo>
                                  <a:pt x="2178024" y="12700"/>
                                </a:lnTo>
                                <a:lnTo>
                                  <a:pt x="2133663" y="52311"/>
                                </a:lnTo>
                                <a:lnTo>
                                  <a:pt x="2106307" y="30480"/>
                                </a:lnTo>
                                <a:lnTo>
                                  <a:pt x="2090394" y="17780"/>
                                </a:lnTo>
                                <a:lnTo>
                                  <a:pt x="2081491" y="17780"/>
                                </a:lnTo>
                                <a:lnTo>
                                  <a:pt x="2081491" y="24066"/>
                                </a:lnTo>
                                <a:lnTo>
                                  <a:pt x="2081390" y="30480"/>
                                </a:lnTo>
                                <a:lnTo>
                                  <a:pt x="2081390" y="24130"/>
                                </a:lnTo>
                                <a:lnTo>
                                  <a:pt x="2081491" y="17780"/>
                                </a:lnTo>
                                <a:lnTo>
                                  <a:pt x="1879422" y="17780"/>
                                </a:lnTo>
                                <a:lnTo>
                                  <a:pt x="1879523" y="24130"/>
                                </a:lnTo>
                                <a:lnTo>
                                  <a:pt x="1888426" y="30480"/>
                                </a:lnTo>
                                <a:lnTo>
                                  <a:pt x="2080590" y="30480"/>
                                </a:lnTo>
                                <a:lnTo>
                                  <a:pt x="2125408" y="66040"/>
                                </a:lnTo>
                                <a:lnTo>
                                  <a:pt x="2134158" y="62865"/>
                                </a:lnTo>
                                <a:lnTo>
                                  <a:pt x="2142909" y="66040"/>
                                </a:lnTo>
                                <a:lnTo>
                                  <a:pt x="2195385" y="24409"/>
                                </a:lnTo>
                                <a:lnTo>
                                  <a:pt x="2388806" y="30480"/>
                                </a:lnTo>
                                <a:lnTo>
                                  <a:pt x="2388806" y="30060"/>
                                </a:lnTo>
                                <a:lnTo>
                                  <a:pt x="2432812" y="59690"/>
                                </a:lnTo>
                                <a:lnTo>
                                  <a:pt x="2438654" y="57569"/>
                                </a:lnTo>
                                <a:lnTo>
                                  <a:pt x="2441575" y="59690"/>
                                </a:lnTo>
                                <a:lnTo>
                                  <a:pt x="2432812" y="59690"/>
                                </a:lnTo>
                                <a:lnTo>
                                  <a:pt x="2441625" y="66040"/>
                                </a:lnTo>
                                <a:lnTo>
                                  <a:pt x="2450325" y="66040"/>
                                </a:lnTo>
                                <a:lnTo>
                                  <a:pt x="2459659" y="59690"/>
                                </a:lnTo>
                                <a:lnTo>
                                  <a:pt x="2511945" y="24130"/>
                                </a:lnTo>
                                <a:close/>
                              </a:path>
                              <a:path w="3917315" h="1722755">
                                <a:moveTo>
                                  <a:pt x="2696108" y="12700"/>
                                </a:moveTo>
                                <a:lnTo>
                                  <a:pt x="2687409" y="12700"/>
                                </a:lnTo>
                                <a:lnTo>
                                  <a:pt x="2511945" y="12700"/>
                                </a:lnTo>
                                <a:lnTo>
                                  <a:pt x="2503144" y="12700"/>
                                </a:lnTo>
                                <a:lnTo>
                                  <a:pt x="2511945" y="17780"/>
                                </a:lnTo>
                                <a:lnTo>
                                  <a:pt x="2511945" y="24130"/>
                                </a:lnTo>
                                <a:lnTo>
                                  <a:pt x="2687409" y="24130"/>
                                </a:lnTo>
                                <a:lnTo>
                                  <a:pt x="2687409" y="17780"/>
                                </a:lnTo>
                                <a:lnTo>
                                  <a:pt x="2696108" y="12700"/>
                                </a:lnTo>
                                <a:close/>
                              </a:path>
                              <a:path w="3917315" h="1722755">
                                <a:moveTo>
                                  <a:pt x="2705112" y="1172464"/>
                                </a:moveTo>
                                <a:lnTo>
                                  <a:pt x="2696108" y="1167384"/>
                                </a:lnTo>
                                <a:lnTo>
                                  <a:pt x="2617952" y="1203667"/>
                                </a:lnTo>
                                <a:lnTo>
                                  <a:pt x="2538158" y="1161034"/>
                                </a:lnTo>
                                <a:lnTo>
                                  <a:pt x="2538158" y="1167384"/>
                                </a:lnTo>
                                <a:lnTo>
                                  <a:pt x="2538044" y="1161097"/>
                                </a:lnTo>
                                <a:lnTo>
                                  <a:pt x="2529560" y="657948"/>
                                </a:lnTo>
                                <a:lnTo>
                                  <a:pt x="2529446" y="645414"/>
                                </a:lnTo>
                                <a:lnTo>
                                  <a:pt x="2459748" y="598424"/>
                                </a:lnTo>
                                <a:lnTo>
                                  <a:pt x="2450325" y="598424"/>
                                </a:lnTo>
                                <a:lnTo>
                                  <a:pt x="2445969" y="598424"/>
                                </a:lnTo>
                                <a:lnTo>
                                  <a:pt x="2441625" y="592074"/>
                                </a:lnTo>
                                <a:lnTo>
                                  <a:pt x="2371293" y="645414"/>
                                </a:lnTo>
                                <a:lnTo>
                                  <a:pt x="2379980" y="1171473"/>
                                </a:lnTo>
                                <a:lnTo>
                                  <a:pt x="2308910" y="1204429"/>
                                </a:lnTo>
                                <a:lnTo>
                                  <a:pt x="2230742" y="1175664"/>
                                </a:lnTo>
                                <a:lnTo>
                                  <a:pt x="2230628" y="1172464"/>
                                </a:lnTo>
                                <a:lnTo>
                                  <a:pt x="2213343" y="658114"/>
                                </a:lnTo>
                                <a:lnTo>
                                  <a:pt x="2142909" y="604774"/>
                                </a:lnTo>
                                <a:lnTo>
                                  <a:pt x="2134209" y="598424"/>
                                </a:lnTo>
                                <a:lnTo>
                                  <a:pt x="2125408" y="604774"/>
                                </a:lnTo>
                                <a:lnTo>
                                  <a:pt x="2063889" y="633984"/>
                                </a:lnTo>
                                <a:lnTo>
                                  <a:pt x="2073605" y="640334"/>
                                </a:lnTo>
                                <a:lnTo>
                                  <a:pt x="2072589" y="640334"/>
                                </a:lnTo>
                                <a:lnTo>
                                  <a:pt x="2063889" y="633984"/>
                                </a:lnTo>
                                <a:lnTo>
                                  <a:pt x="2063965" y="645350"/>
                                </a:lnTo>
                                <a:lnTo>
                                  <a:pt x="2072487" y="1172514"/>
                                </a:lnTo>
                                <a:lnTo>
                                  <a:pt x="2072589" y="1178814"/>
                                </a:lnTo>
                                <a:lnTo>
                                  <a:pt x="2072487" y="1172514"/>
                                </a:lnTo>
                                <a:lnTo>
                                  <a:pt x="1998002" y="1206106"/>
                                </a:lnTo>
                                <a:lnTo>
                                  <a:pt x="1914626" y="1171041"/>
                                </a:lnTo>
                                <a:lnTo>
                                  <a:pt x="1914626" y="1167384"/>
                                </a:lnTo>
                                <a:lnTo>
                                  <a:pt x="1914626" y="658114"/>
                                </a:lnTo>
                                <a:lnTo>
                                  <a:pt x="1914626" y="651764"/>
                                </a:lnTo>
                                <a:lnTo>
                                  <a:pt x="1905927" y="651764"/>
                                </a:lnTo>
                                <a:lnTo>
                                  <a:pt x="1835607" y="604774"/>
                                </a:lnTo>
                                <a:lnTo>
                                  <a:pt x="1826806" y="610489"/>
                                </a:lnTo>
                                <a:lnTo>
                                  <a:pt x="1817992" y="604774"/>
                                </a:lnTo>
                                <a:lnTo>
                                  <a:pt x="1747672" y="645414"/>
                                </a:lnTo>
                                <a:lnTo>
                                  <a:pt x="1752066" y="651764"/>
                                </a:lnTo>
                                <a:lnTo>
                                  <a:pt x="1747672" y="651764"/>
                                </a:lnTo>
                                <a:lnTo>
                                  <a:pt x="1747672" y="645414"/>
                                </a:lnTo>
                                <a:lnTo>
                                  <a:pt x="1738972" y="645414"/>
                                </a:lnTo>
                                <a:lnTo>
                                  <a:pt x="1739049" y="654088"/>
                                </a:lnTo>
                                <a:lnTo>
                                  <a:pt x="1756448" y="1166393"/>
                                </a:lnTo>
                                <a:lnTo>
                                  <a:pt x="1684401" y="1210094"/>
                                </a:lnTo>
                                <a:lnTo>
                                  <a:pt x="1598472" y="1175943"/>
                                </a:lnTo>
                                <a:lnTo>
                                  <a:pt x="1598409" y="1172464"/>
                                </a:lnTo>
                                <a:lnTo>
                                  <a:pt x="1589824" y="658114"/>
                                </a:lnTo>
                                <a:lnTo>
                                  <a:pt x="1589709" y="645414"/>
                                </a:lnTo>
                                <a:lnTo>
                                  <a:pt x="1519389" y="609854"/>
                                </a:lnTo>
                                <a:lnTo>
                                  <a:pt x="1510690" y="604774"/>
                                </a:lnTo>
                                <a:lnTo>
                                  <a:pt x="1501889" y="609854"/>
                                </a:lnTo>
                                <a:lnTo>
                                  <a:pt x="1510665" y="616178"/>
                                </a:lnTo>
                                <a:lnTo>
                                  <a:pt x="1501889" y="609854"/>
                                </a:lnTo>
                                <a:lnTo>
                                  <a:pt x="1440357" y="640334"/>
                                </a:lnTo>
                                <a:lnTo>
                                  <a:pt x="1431658" y="645350"/>
                                </a:lnTo>
                                <a:lnTo>
                                  <a:pt x="1431658" y="651649"/>
                                </a:lnTo>
                                <a:lnTo>
                                  <a:pt x="1440256" y="1178864"/>
                                </a:lnTo>
                                <a:lnTo>
                                  <a:pt x="1440357" y="1185164"/>
                                </a:lnTo>
                                <a:lnTo>
                                  <a:pt x="1440256" y="1178864"/>
                                </a:lnTo>
                                <a:lnTo>
                                  <a:pt x="1369263" y="1216469"/>
                                </a:lnTo>
                                <a:lnTo>
                                  <a:pt x="1379042" y="1220724"/>
                                </a:lnTo>
                                <a:lnTo>
                                  <a:pt x="1369250" y="1216482"/>
                                </a:lnTo>
                                <a:lnTo>
                                  <a:pt x="1361236" y="1220724"/>
                                </a:lnTo>
                                <a:lnTo>
                                  <a:pt x="1369237" y="1216469"/>
                                </a:lnTo>
                                <a:lnTo>
                                  <a:pt x="1291069" y="1182573"/>
                                </a:lnTo>
                                <a:lnTo>
                                  <a:pt x="1291005" y="1178814"/>
                                </a:lnTo>
                                <a:lnTo>
                                  <a:pt x="1282509" y="657948"/>
                                </a:lnTo>
                                <a:lnTo>
                                  <a:pt x="1282407" y="645414"/>
                                </a:lnTo>
                                <a:lnTo>
                                  <a:pt x="1273606" y="645414"/>
                                </a:lnTo>
                                <a:lnTo>
                                  <a:pt x="1273606" y="651764"/>
                                </a:lnTo>
                                <a:lnTo>
                                  <a:pt x="1269098" y="651764"/>
                                </a:lnTo>
                                <a:lnTo>
                                  <a:pt x="1273606" y="645414"/>
                                </a:lnTo>
                                <a:lnTo>
                                  <a:pt x="1215834" y="616204"/>
                                </a:lnTo>
                                <a:lnTo>
                                  <a:pt x="1203274" y="609854"/>
                                </a:lnTo>
                                <a:lnTo>
                                  <a:pt x="1194473" y="616204"/>
                                </a:lnTo>
                                <a:lnTo>
                                  <a:pt x="1198867" y="616204"/>
                                </a:lnTo>
                                <a:lnTo>
                                  <a:pt x="1197991" y="617474"/>
                                </a:lnTo>
                                <a:lnTo>
                                  <a:pt x="1194473" y="616204"/>
                                </a:lnTo>
                                <a:lnTo>
                                  <a:pt x="1124153" y="651764"/>
                                </a:lnTo>
                                <a:lnTo>
                                  <a:pt x="1124153" y="1188732"/>
                                </a:lnTo>
                                <a:lnTo>
                                  <a:pt x="1054595" y="1216888"/>
                                </a:lnTo>
                                <a:lnTo>
                                  <a:pt x="1054417" y="1216812"/>
                                </a:lnTo>
                                <a:lnTo>
                                  <a:pt x="1054417" y="1226083"/>
                                </a:lnTo>
                                <a:lnTo>
                                  <a:pt x="1054239" y="1226197"/>
                                </a:lnTo>
                                <a:lnTo>
                                  <a:pt x="1054201" y="1226070"/>
                                </a:lnTo>
                                <a:lnTo>
                                  <a:pt x="1054417" y="1226083"/>
                                </a:lnTo>
                                <a:lnTo>
                                  <a:pt x="1054417" y="1216812"/>
                                </a:lnTo>
                                <a:lnTo>
                                  <a:pt x="1053871" y="1216545"/>
                                </a:lnTo>
                                <a:lnTo>
                                  <a:pt x="1053871" y="1226439"/>
                                </a:lnTo>
                                <a:lnTo>
                                  <a:pt x="1053388" y="1226121"/>
                                </a:lnTo>
                                <a:lnTo>
                                  <a:pt x="1053515" y="1226197"/>
                                </a:lnTo>
                                <a:lnTo>
                                  <a:pt x="1053871" y="1226439"/>
                                </a:lnTo>
                                <a:lnTo>
                                  <a:pt x="1053871" y="1216545"/>
                                </a:lnTo>
                                <a:lnTo>
                                  <a:pt x="974979" y="1178814"/>
                                </a:lnTo>
                                <a:lnTo>
                                  <a:pt x="974979" y="1185164"/>
                                </a:lnTo>
                                <a:lnTo>
                                  <a:pt x="974877" y="1178877"/>
                                </a:lnTo>
                                <a:lnTo>
                                  <a:pt x="966304" y="663194"/>
                                </a:lnTo>
                                <a:lnTo>
                                  <a:pt x="966216" y="658114"/>
                                </a:lnTo>
                                <a:lnTo>
                                  <a:pt x="957211" y="651764"/>
                                </a:lnTo>
                                <a:lnTo>
                                  <a:pt x="957211" y="658114"/>
                                </a:lnTo>
                                <a:lnTo>
                                  <a:pt x="952347" y="658114"/>
                                </a:lnTo>
                                <a:lnTo>
                                  <a:pt x="957211" y="651764"/>
                                </a:lnTo>
                                <a:lnTo>
                                  <a:pt x="887120" y="616204"/>
                                </a:lnTo>
                                <a:lnTo>
                                  <a:pt x="878357" y="609854"/>
                                </a:lnTo>
                                <a:lnTo>
                                  <a:pt x="878357" y="616204"/>
                                </a:lnTo>
                                <a:lnTo>
                                  <a:pt x="808151" y="658037"/>
                                </a:lnTo>
                                <a:lnTo>
                                  <a:pt x="812406" y="660654"/>
                                </a:lnTo>
                                <a:lnTo>
                                  <a:pt x="808024" y="661504"/>
                                </a:lnTo>
                                <a:lnTo>
                                  <a:pt x="808024" y="658114"/>
                                </a:lnTo>
                                <a:lnTo>
                                  <a:pt x="799261" y="658114"/>
                                </a:lnTo>
                                <a:lnTo>
                                  <a:pt x="799261" y="663194"/>
                                </a:lnTo>
                                <a:lnTo>
                                  <a:pt x="816749" y="1189228"/>
                                </a:lnTo>
                                <a:lnTo>
                                  <a:pt x="816787" y="1190244"/>
                                </a:lnTo>
                                <a:lnTo>
                                  <a:pt x="816749" y="1189228"/>
                                </a:lnTo>
                                <a:lnTo>
                                  <a:pt x="742073" y="1223772"/>
                                </a:lnTo>
                                <a:lnTo>
                                  <a:pt x="669785" y="1190244"/>
                                </a:lnTo>
                                <a:lnTo>
                                  <a:pt x="667562" y="1189215"/>
                                </a:lnTo>
                                <a:lnTo>
                                  <a:pt x="667423" y="1185164"/>
                                </a:lnTo>
                                <a:lnTo>
                                  <a:pt x="650049" y="669544"/>
                                </a:lnTo>
                                <a:lnTo>
                                  <a:pt x="649897" y="665124"/>
                                </a:lnTo>
                                <a:lnTo>
                                  <a:pt x="649833" y="658114"/>
                                </a:lnTo>
                                <a:lnTo>
                                  <a:pt x="579729" y="616204"/>
                                </a:lnTo>
                                <a:lnTo>
                                  <a:pt x="562203" y="616204"/>
                                </a:lnTo>
                                <a:lnTo>
                                  <a:pt x="491998" y="658037"/>
                                </a:lnTo>
                                <a:lnTo>
                                  <a:pt x="495757" y="663194"/>
                                </a:lnTo>
                                <a:lnTo>
                                  <a:pt x="491871" y="663194"/>
                                </a:lnTo>
                                <a:lnTo>
                                  <a:pt x="491871" y="658114"/>
                                </a:lnTo>
                                <a:lnTo>
                                  <a:pt x="483196" y="663143"/>
                                </a:lnTo>
                                <a:lnTo>
                                  <a:pt x="483171" y="665124"/>
                                </a:lnTo>
                                <a:lnTo>
                                  <a:pt x="500595" y="1189228"/>
                                </a:lnTo>
                                <a:lnTo>
                                  <a:pt x="500634" y="1190244"/>
                                </a:lnTo>
                                <a:lnTo>
                                  <a:pt x="500595" y="1189228"/>
                                </a:lnTo>
                                <a:lnTo>
                                  <a:pt x="425919" y="1223772"/>
                                </a:lnTo>
                                <a:lnTo>
                                  <a:pt x="351409" y="1189316"/>
                                </a:lnTo>
                                <a:lnTo>
                                  <a:pt x="351269" y="1185164"/>
                                </a:lnTo>
                                <a:lnTo>
                                  <a:pt x="333895" y="669544"/>
                                </a:lnTo>
                                <a:lnTo>
                                  <a:pt x="333743" y="665124"/>
                                </a:lnTo>
                                <a:lnTo>
                                  <a:pt x="333679" y="658114"/>
                                </a:lnTo>
                                <a:lnTo>
                                  <a:pt x="263575" y="622554"/>
                                </a:lnTo>
                                <a:lnTo>
                                  <a:pt x="259207" y="628269"/>
                                </a:lnTo>
                                <a:lnTo>
                                  <a:pt x="258711" y="627634"/>
                                </a:lnTo>
                                <a:lnTo>
                                  <a:pt x="257517" y="626071"/>
                                </a:lnTo>
                                <a:lnTo>
                                  <a:pt x="263575" y="622554"/>
                                </a:lnTo>
                                <a:lnTo>
                                  <a:pt x="254825" y="616204"/>
                                </a:lnTo>
                                <a:lnTo>
                                  <a:pt x="254825" y="622554"/>
                                </a:lnTo>
                                <a:lnTo>
                                  <a:pt x="184632" y="658037"/>
                                </a:lnTo>
                                <a:lnTo>
                                  <a:pt x="184480" y="658114"/>
                                </a:lnTo>
                                <a:lnTo>
                                  <a:pt x="184581" y="669544"/>
                                </a:lnTo>
                                <a:lnTo>
                                  <a:pt x="193192" y="1199527"/>
                                </a:lnTo>
                                <a:lnTo>
                                  <a:pt x="119037" y="1224178"/>
                                </a:lnTo>
                                <a:lnTo>
                                  <a:pt x="26289" y="1185164"/>
                                </a:lnTo>
                                <a:lnTo>
                                  <a:pt x="17564" y="53340"/>
                                </a:lnTo>
                                <a:lnTo>
                                  <a:pt x="17564" y="53098"/>
                                </a:lnTo>
                                <a:lnTo>
                                  <a:pt x="192468" y="48285"/>
                                </a:lnTo>
                                <a:lnTo>
                                  <a:pt x="237058" y="83820"/>
                                </a:lnTo>
                                <a:lnTo>
                                  <a:pt x="240957" y="82423"/>
                                </a:lnTo>
                                <a:lnTo>
                                  <a:pt x="242049" y="83820"/>
                                </a:lnTo>
                                <a:lnTo>
                                  <a:pt x="237058" y="83820"/>
                                </a:lnTo>
                                <a:lnTo>
                                  <a:pt x="246062" y="88900"/>
                                </a:lnTo>
                                <a:lnTo>
                                  <a:pt x="254584" y="83820"/>
                                </a:lnTo>
                                <a:lnTo>
                                  <a:pt x="324916" y="41910"/>
                                </a:lnTo>
                                <a:lnTo>
                                  <a:pt x="491871" y="41910"/>
                                </a:lnTo>
                                <a:lnTo>
                                  <a:pt x="562203" y="83820"/>
                                </a:lnTo>
                                <a:lnTo>
                                  <a:pt x="570966" y="83820"/>
                                </a:lnTo>
                                <a:lnTo>
                                  <a:pt x="565124" y="79590"/>
                                </a:lnTo>
                                <a:lnTo>
                                  <a:pt x="570966" y="71120"/>
                                </a:lnTo>
                                <a:lnTo>
                                  <a:pt x="565137" y="79590"/>
                                </a:lnTo>
                                <a:lnTo>
                                  <a:pt x="570966" y="83820"/>
                                </a:lnTo>
                                <a:lnTo>
                                  <a:pt x="632307" y="35560"/>
                                </a:lnTo>
                                <a:lnTo>
                                  <a:pt x="808024" y="35560"/>
                                </a:lnTo>
                                <a:lnTo>
                                  <a:pt x="869594" y="77470"/>
                                </a:lnTo>
                                <a:lnTo>
                                  <a:pt x="878357" y="83820"/>
                                </a:lnTo>
                                <a:lnTo>
                                  <a:pt x="887120" y="77470"/>
                                </a:lnTo>
                                <a:lnTo>
                                  <a:pt x="931722" y="41910"/>
                                </a:lnTo>
                                <a:lnTo>
                                  <a:pt x="1132954" y="35560"/>
                                </a:lnTo>
                                <a:lnTo>
                                  <a:pt x="1132954" y="30480"/>
                                </a:lnTo>
                                <a:lnTo>
                                  <a:pt x="1141653" y="24130"/>
                                </a:lnTo>
                                <a:lnTo>
                                  <a:pt x="1132954" y="24130"/>
                                </a:lnTo>
                                <a:lnTo>
                                  <a:pt x="930935" y="24130"/>
                                </a:lnTo>
                                <a:lnTo>
                                  <a:pt x="922172" y="30480"/>
                                </a:lnTo>
                                <a:lnTo>
                                  <a:pt x="930935" y="30480"/>
                                </a:lnTo>
                                <a:lnTo>
                                  <a:pt x="930935" y="33020"/>
                                </a:lnTo>
                                <a:lnTo>
                                  <a:pt x="922172" y="30480"/>
                                </a:lnTo>
                                <a:lnTo>
                                  <a:pt x="878306" y="64389"/>
                                </a:lnTo>
                                <a:lnTo>
                                  <a:pt x="840524" y="35560"/>
                                </a:lnTo>
                                <a:lnTo>
                                  <a:pt x="825538" y="24130"/>
                                </a:lnTo>
                                <a:lnTo>
                                  <a:pt x="816787" y="24130"/>
                                </a:lnTo>
                                <a:lnTo>
                                  <a:pt x="623544" y="24130"/>
                                </a:lnTo>
                                <a:lnTo>
                                  <a:pt x="623544" y="30480"/>
                                </a:lnTo>
                                <a:lnTo>
                                  <a:pt x="562775" y="65709"/>
                                </a:lnTo>
                                <a:lnTo>
                                  <a:pt x="526719" y="41910"/>
                                </a:lnTo>
                                <a:lnTo>
                                  <a:pt x="509397" y="30480"/>
                                </a:lnTo>
                                <a:lnTo>
                                  <a:pt x="500646" y="36195"/>
                                </a:lnTo>
                                <a:lnTo>
                                  <a:pt x="500634" y="41910"/>
                                </a:lnTo>
                                <a:lnTo>
                                  <a:pt x="500634" y="36195"/>
                                </a:lnTo>
                                <a:lnTo>
                                  <a:pt x="500634" y="35560"/>
                                </a:lnTo>
                                <a:lnTo>
                                  <a:pt x="509397" y="30480"/>
                                </a:lnTo>
                                <a:lnTo>
                                  <a:pt x="500634" y="30480"/>
                                </a:lnTo>
                                <a:lnTo>
                                  <a:pt x="316153" y="30480"/>
                                </a:lnTo>
                                <a:lnTo>
                                  <a:pt x="307390" y="30480"/>
                                </a:lnTo>
                                <a:lnTo>
                                  <a:pt x="316153" y="35560"/>
                                </a:lnTo>
                                <a:lnTo>
                                  <a:pt x="316153" y="36195"/>
                                </a:lnTo>
                                <a:lnTo>
                                  <a:pt x="307390" y="30480"/>
                                </a:lnTo>
                                <a:lnTo>
                                  <a:pt x="246697" y="71031"/>
                                </a:lnTo>
                                <a:lnTo>
                                  <a:pt x="202006" y="35560"/>
                                </a:lnTo>
                                <a:lnTo>
                                  <a:pt x="193281" y="35560"/>
                                </a:lnTo>
                                <a:lnTo>
                                  <a:pt x="193281" y="41884"/>
                                </a:lnTo>
                                <a:lnTo>
                                  <a:pt x="193243" y="48260"/>
                                </a:lnTo>
                                <a:lnTo>
                                  <a:pt x="193243" y="41910"/>
                                </a:lnTo>
                                <a:lnTo>
                                  <a:pt x="193281" y="35560"/>
                                </a:lnTo>
                                <a:lnTo>
                                  <a:pt x="8763" y="41910"/>
                                </a:lnTo>
                                <a:lnTo>
                                  <a:pt x="0" y="41910"/>
                                </a:lnTo>
                                <a:lnTo>
                                  <a:pt x="76" y="57569"/>
                                </a:lnTo>
                                <a:lnTo>
                                  <a:pt x="8763" y="1189990"/>
                                </a:lnTo>
                                <a:lnTo>
                                  <a:pt x="22580" y="1189990"/>
                                </a:lnTo>
                                <a:lnTo>
                                  <a:pt x="17526" y="1196594"/>
                                </a:lnTo>
                                <a:lnTo>
                                  <a:pt x="114147" y="1237234"/>
                                </a:lnTo>
                                <a:lnTo>
                                  <a:pt x="122910" y="1237234"/>
                                </a:lnTo>
                                <a:lnTo>
                                  <a:pt x="116840" y="1233716"/>
                                </a:lnTo>
                                <a:lnTo>
                                  <a:pt x="118046" y="1232154"/>
                                </a:lnTo>
                                <a:lnTo>
                                  <a:pt x="118529" y="1231519"/>
                                </a:lnTo>
                                <a:lnTo>
                                  <a:pt x="122910" y="1237234"/>
                                </a:lnTo>
                                <a:lnTo>
                                  <a:pt x="210769" y="1208024"/>
                                </a:lnTo>
                                <a:lnTo>
                                  <a:pt x="210667" y="1196594"/>
                                </a:lnTo>
                                <a:lnTo>
                                  <a:pt x="202107" y="669544"/>
                                </a:lnTo>
                                <a:lnTo>
                                  <a:pt x="202044" y="665099"/>
                                </a:lnTo>
                                <a:lnTo>
                                  <a:pt x="193243" y="669544"/>
                                </a:lnTo>
                                <a:lnTo>
                                  <a:pt x="201980" y="665124"/>
                                </a:lnTo>
                                <a:lnTo>
                                  <a:pt x="202006" y="663194"/>
                                </a:lnTo>
                                <a:lnTo>
                                  <a:pt x="202044" y="665099"/>
                                </a:lnTo>
                                <a:lnTo>
                                  <a:pt x="259194" y="636193"/>
                                </a:lnTo>
                                <a:lnTo>
                                  <a:pt x="316217" y="665124"/>
                                </a:lnTo>
                                <a:lnTo>
                                  <a:pt x="333629" y="1188732"/>
                                </a:lnTo>
                                <a:lnTo>
                                  <a:pt x="333679" y="1196594"/>
                                </a:lnTo>
                                <a:lnTo>
                                  <a:pt x="421538" y="1237234"/>
                                </a:lnTo>
                                <a:lnTo>
                                  <a:pt x="425919" y="1231519"/>
                                </a:lnTo>
                                <a:lnTo>
                                  <a:pt x="427609" y="1233716"/>
                                </a:lnTo>
                                <a:lnTo>
                                  <a:pt x="421538" y="1237234"/>
                                </a:lnTo>
                                <a:lnTo>
                                  <a:pt x="430301" y="1237234"/>
                                </a:lnTo>
                                <a:lnTo>
                                  <a:pt x="441286" y="1232154"/>
                                </a:lnTo>
                                <a:lnTo>
                                  <a:pt x="518160" y="1196594"/>
                                </a:lnTo>
                                <a:lnTo>
                                  <a:pt x="526910" y="1190244"/>
                                </a:lnTo>
                                <a:lnTo>
                                  <a:pt x="526656" y="1185164"/>
                                </a:lnTo>
                                <a:lnTo>
                                  <a:pt x="500951" y="669544"/>
                                </a:lnTo>
                                <a:lnTo>
                                  <a:pt x="500938" y="669378"/>
                                </a:lnTo>
                                <a:lnTo>
                                  <a:pt x="512622" y="663194"/>
                                </a:lnTo>
                                <a:lnTo>
                                  <a:pt x="570953" y="632282"/>
                                </a:lnTo>
                                <a:lnTo>
                                  <a:pt x="632333" y="664895"/>
                                </a:lnTo>
                                <a:lnTo>
                                  <a:pt x="640981" y="1185164"/>
                                </a:lnTo>
                                <a:lnTo>
                                  <a:pt x="641070" y="1196594"/>
                                </a:lnTo>
                                <a:lnTo>
                                  <a:pt x="649833" y="1196594"/>
                                </a:lnTo>
                                <a:lnTo>
                                  <a:pt x="649833" y="1190244"/>
                                </a:lnTo>
                                <a:lnTo>
                                  <a:pt x="654824" y="1190244"/>
                                </a:lnTo>
                                <a:lnTo>
                                  <a:pt x="649833" y="1196594"/>
                                </a:lnTo>
                                <a:lnTo>
                                  <a:pt x="737692" y="1237234"/>
                                </a:lnTo>
                                <a:lnTo>
                                  <a:pt x="746442" y="1237234"/>
                                </a:lnTo>
                                <a:lnTo>
                                  <a:pt x="740384" y="1233716"/>
                                </a:lnTo>
                                <a:lnTo>
                                  <a:pt x="741578" y="1232154"/>
                                </a:lnTo>
                                <a:lnTo>
                                  <a:pt x="742073" y="1231519"/>
                                </a:lnTo>
                                <a:lnTo>
                                  <a:pt x="746442" y="1237234"/>
                                </a:lnTo>
                                <a:lnTo>
                                  <a:pt x="834301" y="1196594"/>
                                </a:lnTo>
                                <a:lnTo>
                                  <a:pt x="829437" y="1190244"/>
                                </a:lnTo>
                                <a:lnTo>
                                  <a:pt x="834301" y="1190244"/>
                                </a:lnTo>
                                <a:lnTo>
                                  <a:pt x="834301" y="1196594"/>
                                </a:lnTo>
                                <a:lnTo>
                                  <a:pt x="843064" y="1196594"/>
                                </a:lnTo>
                                <a:lnTo>
                                  <a:pt x="843013" y="1188732"/>
                                </a:lnTo>
                                <a:lnTo>
                                  <a:pt x="842899" y="1185164"/>
                                </a:lnTo>
                                <a:lnTo>
                                  <a:pt x="825715" y="663194"/>
                                </a:lnTo>
                                <a:lnTo>
                                  <a:pt x="825538" y="658139"/>
                                </a:lnTo>
                                <a:lnTo>
                                  <a:pt x="882738" y="625094"/>
                                </a:lnTo>
                                <a:lnTo>
                                  <a:pt x="939698" y="658114"/>
                                </a:lnTo>
                                <a:lnTo>
                                  <a:pt x="957122" y="1182573"/>
                                </a:lnTo>
                                <a:lnTo>
                                  <a:pt x="957211" y="1190244"/>
                                </a:lnTo>
                                <a:lnTo>
                                  <a:pt x="1045121" y="1232154"/>
                                </a:lnTo>
                                <a:lnTo>
                                  <a:pt x="1062634" y="1232154"/>
                                </a:lnTo>
                                <a:lnTo>
                                  <a:pt x="1141653" y="1196594"/>
                                </a:lnTo>
                                <a:lnTo>
                                  <a:pt x="1136815" y="1190244"/>
                                </a:lnTo>
                                <a:lnTo>
                                  <a:pt x="1141653" y="1190244"/>
                                </a:lnTo>
                                <a:lnTo>
                                  <a:pt x="1141653" y="1196594"/>
                                </a:lnTo>
                                <a:lnTo>
                                  <a:pt x="1150454" y="1190244"/>
                                </a:lnTo>
                                <a:lnTo>
                                  <a:pt x="1150378" y="1185164"/>
                                </a:lnTo>
                                <a:lnTo>
                                  <a:pt x="1141653" y="658114"/>
                                </a:lnTo>
                                <a:lnTo>
                                  <a:pt x="1132954" y="658114"/>
                                </a:lnTo>
                                <a:lnTo>
                                  <a:pt x="1202740" y="626745"/>
                                </a:lnTo>
                                <a:lnTo>
                                  <a:pt x="1264602" y="658114"/>
                                </a:lnTo>
                                <a:lnTo>
                                  <a:pt x="1264602" y="651764"/>
                                </a:lnTo>
                                <a:lnTo>
                                  <a:pt x="1264704" y="657961"/>
                                </a:lnTo>
                                <a:lnTo>
                                  <a:pt x="1264894" y="669544"/>
                                </a:lnTo>
                                <a:lnTo>
                                  <a:pt x="1273492" y="1178814"/>
                                </a:lnTo>
                                <a:lnTo>
                                  <a:pt x="1273606" y="1190244"/>
                                </a:lnTo>
                                <a:lnTo>
                                  <a:pt x="1361236" y="1232154"/>
                                </a:lnTo>
                                <a:lnTo>
                                  <a:pt x="1379042" y="1232154"/>
                                </a:lnTo>
                                <a:lnTo>
                                  <a:pt x="1457871" y="1190244"/>
                                </a:lnTo>
                                <a:lnTo>
                                  <a:pt x="1457871" y="1178814"/>
                                </a:lnTo>
                                <a:lnTo>
                                  <a:pt x="1457871" y="651764"/>
                                </a:lnTo>
                                <a:lnTo>
                                  <a:pt x="1457871" y="648106"/>
                                </a:lnTo>
                                <a:lnTo>
                                  <a:pt x="1510296" y="626325"/>
                                </a:lnTo>
                                <a:lnTo>
                                  <a:pt x="1572044" y="654088"/>
                                </a:lnTo>
                                <a:lnTo>
                                  <a:pt x="1580883" y="1171473"/>
                                </a:lnTo>
                                <a:lnTo>
                                  <a:pt x="1581010" y="1185164"/>
                                </a:lnTo>
                                <a:lnTo>
                                  <a:pt x="1686344" y="1225804"/>
                                </a:lnTo>
                                <a:lnTo>
                                  <a:pt x="1686344" y="1232154"/>
                                </a:lnTo>
                                <a:lnTo>
                                  <a:pt x="1695157" y="1225804"/>
                                </a:lnTo>
                                <a:lnTo>
                                  <a:pt x="1689061" y="1222286"/>
                                </a:lnTo>
                                <a:lnTo>
                                  <a:pt x="1689265" y="1222019"/>
                                </a:lnTo>
                                <a:lnTo>
                                  <a:pt x="1695157" y="1225804"/>
                                </a:lnTo>
                                <a:lnTo>
                                  <a:pt x="1773986" y="1172464"/>
                                </a:lnTo>
                                <a:lnTo>
                                  <a:pt x="1770113" y="1167384"/>
                                </a:lnTo>
                                <a:lnTo>
                                  <a:pt x="1773986" y="1167384"/>
                                </a:lnTo>
                                <a:lnTo>
                                  <a:pt x="1773986" y="1172464"/>
                                </a:lnTo>
                                <a:lnTo>
                                  <a:pt x="1782978" y="1172464"/>
                                </a:lnTo>
                                <a:lnTo>
                                  <a:pt x="1782927" y="1166393"/>
                                </a:lnTo>
                                <a:lnTo>
                                  <a:pt x="1782660" y="1161034"/>
                                </a:lnTo>
                                <a:lnTo>
                                  <a:pt x="1756803" y="658114"/>
                                </a:lnTo>
                                <a:lnTo>
                                  <a:pt x="1756791" y="657948"/>
                                </a:lnTo>
                                <a:lnTo>
                                  <a:pt x="1768462" y="651764"/>
                                </a:lnTo>
                                <a:lnTo>
                                  <a:pt x="1826806" y="620864"/>
                                </a:lnTo>
                                <a:lnTo>
                                  <a:pt x="1888451" y="653516"/>
                                </a:lnTo>
                                <a:lnTo>
                                  <a:pt x="1897024" y="1166393"/>
                                </a:lnTo>
                                <a:lnTo>
                                  <a:pt x="1897126" y="1178814"/>
                                </a:lnTo>
                                <a:lnTo>
                                  <a:pt x="1993760" y="1220724"/>
                                </a:lnTo>
                                <a:lnTo>
                                  <a:pt x="1993760" y="1225804"/>
                                </a:lnTo>
                                <a:lnTo>
                                  <a:pt x="2002561" y="1220724"/>
                                </a:lnTo>
                                <a:lnTo>
                                  <a:pt x="1996694" y="1216494"/>
                                </a:lnTo>
                                <a:lnTo>
                                  <a:pt x="1998167" y="1214374"/>
                                </a:lnTo>
                                <a:lnTo>
                                  <a:pt x="2002561" y="1220724"/>
                                </a:lnTo>
                                <a:lnTo>
                                  <a:pt x="2081390" y="1185164"/>
                                </a:lnTo>
                                <a:lnTo>
                                  <a:pt x="2076996" y="1178814"/>
                                </a:lnTo>
                                <a:lnTo>
                                  <a:pt x="2081390" y="1178814"/>
                                </a:lnTo>
                                <a:lnTo>
                                  <a:pt x="2081390" y="1185164"/>
                                </a:lnTo>
                                <a:lnTo>
                                  <a:pt x="2090293" y="1178877"/>
                                </a:lnTo>
                                <a:lnTo>
                                  <a:pt x="2090293" y="1172464"/>
                                </a:lnTo>
                                <a:lnTo>
                                  <a:pt x="2081479" y="645414"/>
                                </a:lnTo>
                                <a:lnTo>
                                  <a:pt x="2081390" y="640334"/>
                                </a:lnTo>
                                <a:lnTo>
                                  <a:pt x="2081479" y="645350"/>
                                </a:lnTo>
                                <a:lnTo>
                                  <a:pt x="2088934" y="640334"/>
                                </a:lnTo>
                                <a:lnTo>
                                  <a:pt x="2129548" y="612990"/>
                                </a:lnTo>
                                <a:lnTo>
                                  <a:pt x="2195728" y="663194"/>
                                </a:lnTo>
                                <a:lnTo>
                                  <a:pt x="2195728" y="658114"/>
                                </a:lnTo>
                                <a:lnTo>
                                  <a:pt x="2195906" y="663143"/>
                                </a:lnTo>
                                <a:lnTo>
                                  <a:pt x="2213229" y="1175664"/>
                                </a:lnTo>
                                <a:lnTo>
                                  <a:pt x="2213343" y="1185164"/>
                                </a:lnTo>
                                <a:lnTo>
                                  <a:pt x="2309876" y="1220724"/>
                                </a:lnTo>
                                <a:lnTo>
                                  <a:pt x="2309876" y="1225804"/>
                                </a:lnTo>
                                <a:lnTo>
                                  <a:pt x="2318677" y="1220724"/>
                                </a:lnTo>
                                <a:lnTo>
                                  <a:pt x="2312809" y="1216494"/>
                                </a:lnTo>
                                <a:lnTo>
                                  <a:pt x="2318677" y="1220724"/>
                                </a:lnTo>
                                <a:lnTo>
                                  <a:pt x="2397798" y="1178814"/>
                                </a:lnTo>
                                <a:lnTo>
                                  <a:pt x="2397722" y="1167384"/>
                                </a:lnTo>
                                <a:lnTo>
                                  <a:pt x="2388908" y="651764"/>
                                </a:lnTo>
                                <a:lnTo>
                                  <a:pt x="2388806" y="645414"/>
                                </a:lnTo>
                                <a:lnTo>
                                  <a:pt x="2388908" y="651675"/>
                                </a:lnTo>
                                <a:lnTo>
                                  <a:pt x="2397112" y="645414"/>
                                </a:lnTo>
                                <a:lnTo>
                                  <a:pt x="2445982" y="608088"/>
                                </a:lnTo>
                                <a:lnTo>
                                  <a:pt x="2511945" y="658114"/>
                                </a:lnTo>
                                <a:lnTo>
                                  <a:pt x="2511945" y="651764"/>
                                </a:lnTo>
                                <a:lnTo>
                                  <a:pt x="2512047" y="658037"/>
                                </a:lnTo>
                                <a:lnTo>
                                  <a:pt x="2512174" y="657948"/>
                                </a:lnTo>
                                <a:lnTo>
                                  <a:pt x="2512136" y="663143"/>
                                </a:lnTo>
                                <a:lnTo>
                                  <a:pt x="2520543" y="1161034"/>
                                </a:lnTo>
                                <a:lnTo>
                                  <a:pt x="2520645" y="1172464"/>
                                </a:lnTo>
                                <a:lnTo>
                                  <a:pt x="2617279" y="1220724"/>
                                </a:lnTo>
                                <a:lnTo>
                                  <a:pt x="2626080" y="1220724"/>
                                </a:lnTo>
                                <a:lnTo>
                                  <a:pt x="2620213" y="1216494"/>
                                </a:lnTo>
                                <a:lnTo>
                                  <a:pt x="2626080" y="1220724"/>
                                </a:lnTo>
                                <a:lnTo>
                                  <a:pt x="2705112" y="1172464"/>
                                </a:lnTo>
                                <a:close/>
                              </a:path>
                              <a:path w="3917315" h="1722755">
                                <a:moveTo>
                                  <a:pt x="2828061" y="17780"/>
                                </a:moveTo>
                                <a:lnTo>
                                  <a:pt x="2819349" y="6350"/>
                                </a:lnTo>
                                <a:lnTo>
                                  <a:pt x="2760853" y="45389"/>
                                </a:lnTo>
                                <a:lnTo>
                                  <a:pt x="2696108" y="12700"/>
                                </a:lnTo>
                                <a:lnTo>
                                  <a:pt x="2687409" y="24130"/>
                                </a:lnTo>
                                <a:lnTo>
                                  <a:pt x="2748927" y="59690"/>
                                </a:lnTo>
                                <a:lnTo>
                                  <a:pt x="2757728" y="66040"/>
                                </a:lnTo>
                                <a:lnTo>
                                  <a:pt x="2766542" y="59690"/>
                                </a:lnTo>
                                <a:lnTo>
                                  <a:pt x="2828061" y="17780"/>
                                </a:lnTo>
                                <a:close/>
                              </a:path>
                              <a:path w="3917315" h="1722755">
                                <a:moveTo>
                                  <a:pt x="3003524" y="6350"/>
                                </a:moveTo>
                                <a:lnTo>
                                  <a:pt x="2994825" y="6350"/>
                                </a:lnTo>
                                <a:lnTo>
                                  <a:pt x="2828061" y="6350"/>
                                </a:lnTo>
                                <a:lnTo>
                                  <a:pt x="2819349" y="6350"/>
                                </a:lnTo>
                                <a:lnTo>
                                  <a:pt x="2828061" y="12700"/>
                                </a:lnTo>
                                <a:lnTo>
                                  <a:pt x="2828061" y="17780"/>
                                </a:lnTo>
                                <a:lnTo>
                                  <a:pt x="2994825" y="17780"/>
                                </a:lnTo>
                                <a:lnTo>
                                  <a:pt x="2994825" y="12700"/>
                                </a:lnTo>
                                <a:lnTo>
                                  <a:pt x="3003524" y="6350"/>
                                </a:lnTo>
                                <a:close/>
                              </a:path>
                              <a:path w="3917315" h="1722755">
                                <a:moveTo>
                                  <a:pt x="3328733" y="6350"/>
                                </a:moveTo>
                                <a:lnTo>
                                  <a:pt x="3319932" y="6350"/>
                                </a:lnTo>
                                <a:lnTo>
                                  <a:pt x="3135465" y="6350"/>
                                </a:lnTo>
                                <a:lnTo>
                                  <a:pt x="3126663" y="6350"/>
                                </a:lnTo>
                                <a:lnTo>
                                  <a:pt x="3077375" y="45466"/>
                                </a:lnTo>
                                <a:lnTo>
                                  <a:pt x="3003524" y="6350"/>
                                </a:lnTo>
                                <a:lnTo>
                                  <a:pt x="2994825" y="17780"/>
                                </a:lnTo>
                                <a:lnTo>
                                  <a:pt x="3073844" y="59690"/>
                                </a:lnTo>
                                <a:lnTo>
                                  <a:pt x="3073844" y="66040"/>
                                </a:lnTo>
                                <a:lnTo>
                                  <a:pt x="3082645" y="59690"/>
                                </a:lnTo>
                                <a:lnTo>
                                  <a:pt x="3076994" y="55613"/>
                                </a:lnTo>
                                <a:lnTo>
                                  <a:pt x="3078251" y="53975"/>
                                </a:lnTo>
                                <a:lnTo>
                                  <a:pt x="3078467" y="53682"/>
                                </a:lnTo>
                                <a:lnTo>
                                  <a:pt x="3078353" y="54114"/>
                                </a:lnTo>
                                <a:lnTo>
                                  <a:pt x="3082645" y="59690"/>
                                </a:lnTo>
                                <a:lnTo>
                                  <a:pt x="3144177" y="17780"/>
                                </a:lnTo>
                                <a:lnTo>
                                  <a:pt x="3319932" y="17780"/>
                                </a:lnTo>
                                <a:lnTo>
                                  <a:pt x="3319932" y="12700"/>
                                </a:lnTo>
                                <a:lnTo>
                                  <a:pt x="3328733" y="6350"/>
                                </a:lnTo>
                                <a:close/>
                              </a:path>
                              <a:path w="3917315" h="1722755">
                                <a:moveTo>
                                  <a:pt x="3390061" y="53340"/>
                                </a:moveTo>
                                <a:lnTo>
                                  <a:pt x="3381260" y="53340"/>
                                </a:lnTo>
                                <a:lnTo>
                                  <a:pt x="3390061" y="59690"/>
                                </a:lnTo>
                                <a:lnTo>
                                  <a:pt x="3390061" y="53340"/>
                                </a:lnTo>
                                <a:close/>
                              </a:path>
                              <a:path w="3917315" h="1722755">
                                <a:moveTo>
                                  <a:pt x="3486696" y="627494"/>
                                </a:moveTo>
                                <a:lnTo>
                                  <a:pt x="3477895" y="627494"/>
                                </a:lnTo>
                                <a:lnTo>
                                  <a:pt x="3407562" y="591997"/>
                                </a:lnTo>
                                <a:lnTo>
                                  <a:pt x="3398761" y="586066"/>
                                </a:lnTo>
                                <a:lnTo>
                                  <a:pt x="3390061" y="591997"/>
                                </a:lnTo>
                                <a:lnTo>
                                  <a:pt x="3319932" y="627494"/>
                                </a:lnTo>
                                <a:lnTo>
                                  <a:pt x="3310928" y="627494"/>
                                </a:lnTo>
                                <a:lnTo>
                                  <a:pt x="3310979" y="635393"/>
                                </a:lnTo>
                                <a:lnTo>
                                  <a:pt x="3319932" y="1041857"/>
                                </a:lnTo>
                                <a:lnTo>
                                  <a:pt x="3337445" y="1041857"/>
                                </a:lnTo>
                                <a:lnTo>
                                  <a:pt x="3337445" y="639305"/>
                                </a:lnTo>
                                <a:lnTo>
                                  <a:pt x="3337445" y="635393"/>
                                </a:lnTo>
                                <a:lnTo>
                                  <a:pt x="3328733" y="639305"/>
                                </a:lnTo>
                                <a:lnTo>
                                  <a:pt x="3337420" y="635393"/>
                                </a:lnTo>
                                <a:lnTo>
                                  <a:pt x="3337445" y="633374"/>
                                </a:lnTo>
                                <a:lnTo>
                                  <a:pt x="3337445" y="635393"/>
                                </a:lnTo>
                                <a:lnTo>
                                  <a:pt x="3398824" y="607745"/>
                                </a:lnTo>
                                <a:lnTo>
                                  <a:pt x="3460381" y="635393"/>
                                </a:lnTo>
                                <a:lnTo>
                                  <a:pt x="3460381" y="1041857"/>
                                </a:lnTo>
                                <a:lnTo>
                                  <a:pt x="3477895" y="1041857"/>
                                </a:lnTo>
                                <a:lnTo>
                                  <a:pt x="3486569" y="639305"/>
                                </a:lnTo>
                                <a:lnTo>
                                  <a:pt x="3486658" y="635393"/>
                                </a:lnTo>
                                <a:lnTo>
                                  <a:pt x="3486696" y="627494"/>
                                </a:lnTo>
                                <a:close/>
                              </a:path>
                              <a:path w="3917315" h="1722755">
                                <a:moveTo>
                                  <a:pt x="3653650" y="1031240"/>
                                </a:moveTo>
                                <a:lnTo>
                                  <a:pt x="3618522" y="17780"/>
                                </a:lnTo>
                                <a:lnTo>
                                  <a:pt x="3618357" y="12966"/>
                                </a:lnTo>
                                <a:lnTo>
                                  <a:pt x="3618344" y="6350"/>
                                </a:lnTo>
                                <a:lnTo>
                                  <a:pt x="3609543" y="6350"/>
                                </a:lnTo>
                                <a:lnTo>
                                  <a:pt x="3451580" y="0"/>
                                </a:lnTo>
                                <a:lnTo>
                                  <a:pt x="3442881" y="0"/>
                                </a:lnTo>
                                <a:lnTo>
                                  <a:pt x="3442881" y="6350"/>
                                </a:lnTo>
                                <a:lnTo>
                                  <a:pt x="3451580" y="6350"/>
                                </a:lnTo>
                                <a:lnTo>
                                  <a:pt x="3451580" y="9512"/>
                                </a:lnTo>
                                <a:lnTo>
                                  <a:pt x="3442881" y="6350"/>
                                </a:lnTo>
                                <a:lnTo>
                                  <a:pt x="3385667" y="45262"/>
                                </a:lnTo>
                                <a:lnTo>
                                  <a:pt x="3328733" y="6350"/>
                                </a:lnTo>
                                <a:lnTo>
                                  <a:pt x="3319932" y="17780"/>
                                </a:lnTo>
                                <a:lnTo>
                                  <a:pt x="3381260" y="53340"/>
                                </a:lnTo>
                                <a:lnTo>
                                  <a:pt x="3385655" y="50800"/>
                                </a:lnTo>
                                <a:lnTo>
                                  <a:pt x="3390061" y="53340"/>
                                </a:lnTo>
                                <a:lnTo>
                                  <a:pt x="3459924" y="12966"/>
                                </a:lnTo>
                                <a:lnTo>
                                  <a:pt x="3600958" y="17500"/>
                                </a:lnTo>
                                <a:lnTo>
                                  <a:pt x="3627348" y="1031240"/>
                                </a:lnTo>
                                <a:lnTo>
                                  <a:pt x="3653650" y="1031240"/>
                                </a:lnTo>
                                <a:close/>
                              </a:path>
                              <a:path w="3917315" h="1722755">
                                <a:moveTo>
                                  <a:pt x="3916946" y="1047800"/>
                                </a:moveTo>
                                <a:lnTo>
                                  <a:pt x="3908145" y="1047800"/>
                                </a:lnTo>
                                <a:lnTo>
                                  <a:pt x="3908145" y="1048296"/>
                                </a:lnTo>
                                <a:lnTo>
                                  <a:pt x="3890645" y="1048296"/>
                                </a:lnTo>
                                <a:lnTo>
                                  <a:pt x="3890645" y="1710778"/>
                                </a:lnTo>
                                <a:lnTo>
                                  <a:pt x="2924695" y="1710778"/>
                                </a:lnTo>
                                <a:lnTo>
                                  <a:pt x="2924695" y="1710334"/>
                                </a:lnTo>
                                <a:lnTo>
                                  <a:pt x="2924695" y="1208659"/>
                                </a:lnTo>
                                <a:lnTo>
                                  <a:pt x="2933496" y="1202944"/>
                                </a:lnTo>
                                <a:lnTo>
                                  <a:pt x="2924695" y="1198753"/>
                                </a:lnTo>
                                <a:lnTo>
                                  <a:pt x="2924695" y="1059611"/>
                                </a:lnTo>
                                <a:lnTo>
                                  <a:pt x="3082645" y="1059611"/>
                                </a:lnTo>
                                <a:lnTo>
                                  <a:pt x="3082645" y="1610296"/>
                                </a:lnTo>
                                <a:lnTo>
                                  <a:pt x="3091459" y="1604225"/>
                                </a:lnTo>
                                <a:lnTo>
                                  <a:pt x="3082645" y="1610296"/>
                                </a:lnTo>
                                <a:lnTo>
                                  <a:pt x="3196793" y="1663471"/>
                                </a:lnTo>
                                <a:lnTo>
                                  <a:pt x="3201200" y="1657565"/>
                                </a:lnTo>
                                <a:lnTo>
                                  <a:pt x="3202673" y="1659547"/>
                                </a:lnTo>
                                <a:lnTo>
                                  <a:pt x="3196793" y="1663471"/>
                                </a:lnTo>
                                <a:lnTo>
                                  <a:pt x="3205594" y="1669415"/>
                                </a:lnTo>
                                <a:lnTo>
                                  <a:pt x="3205594" y="1663471"/>
                                </a:lnTo>
                                <a:lnTo>
                                  <a:pt x="3219196" y="1657604"/>
                                </a:lnTo>
                                <a:lnTo>
                                  <a:pt x="3328733" y="1610296"/>
                                </a:lnTo>
                                <a:lnTo>
                                  <a:pt x="3324288" y="1604225"/>
                                </a:lnTo>
                                <a:lnTo>
                                  <a:pt x="3328733" y="1604225"/>
                                </a:lnTo>
                                <a:lnTo>
                                  <a:pt x="3328733" y="1610296"/>
                                </a:lnTo>
                                <a:lnTo>
                                  <a:pt x="3337445" y="1610296"/>
                                </a:lnTo>
                                <a:lnTo>
                                  <a:pt x="3337445" y="1604225"/>
                                </a:lnTo>
                                <a:lnTo>
                                  <a:pt x="3337255" y="1598282"/>
                                </a:lnTo>
                                <a:lnTo>
                                  <a:pt x="3319932" y="1059611"/>
                                </a:lnTo>
                                <a:lnTo>
                                  <a:pt x="3495395" y="1059611"/>
                                </a:lnTo>
                                <a:lnTo>
                                  <a:pt x="3495395" y="1598282"/>
                                </a:lnTo>
                                <a:lnTo>
                                  <a:pt x="3504196" y="1604225"/>
                                </a:lnTo>
                                <a:lnTo>
                                  <a:pt x="3618344" y="1663471"/>
                                </a:lnTo>
                                <a:lnTo>
                                  <a:pt x="3622840" y="1657565"/>
                                </a:lnTo>
                                <a:lnTo>
                                  <a:pt x="3624351" y="1659547"/>
                                </a:lnTo>
                                <a:lnTo>
                                  <a:pt x="3618344" y="1663471"/>
                                </a:lnTo>
                                <a:lnTo>
                                  <a:pt x="3627348" y="1663471"/>
                                </a:lnTo>
                                <a:lnTo>
                                  <a:pt x="3639197" y="1657604"/>
                                </a:lnTo>
                                <a:lnTo>
                                  <a:pt x="3758996" y="1598282"/>
                                </a:lnTo>
                                <a:lnTo>
                                  <a:pt x="3758895" y="1592414"/>
                                </a:lnTo>
                                <a:lnTo>
                                  <a:pt x="3750373" y="1059611"/>
                                </a:lnTo>
                                <a:lnTo>
                                  <a:pt x="3890645" y="1059611"/>
                                </a:lnTo>
                                <a:lnTo>
                                  <a:pt x="3890645" y="1053668"/>
                                </a:lnTo>
                                <a:lnTo>
                                  <a:pt x="3750284" y="1053668"/>
                                </a:lnTo>
                                <a:lnTo>
                                  <a:pt x="3750284" y="1053414"/>
                                </a:lnTo>
                                <a:lnTo>
                                  <a:pt x="3890645" y="1053414"/>
                                </a:lnTo>
                                <a:lnTo>
                                  <a:pt x="3890645" y="1048296"/>
                                </a:lnTo>
                                <a:lnTo>
                                  <a:pt x="3750195" y="1048296"/>
                                </a:lnTo>
                                <a:lnTo>
                                  <a:pt x="3750195" y="1047800"/>
                                </a:lnTo>
                                <a:lnTo>
                                  <a:pt x="3741293" y="1047800"/>
                                </a:lnTo>
                                <a:lnTo>
                                  <a:pt x="3741293" y="1592503"/>
                                </a:lnTo>
                                <a:lnTo>
                                  <a:pt x="3623005" y="1649412"/>
                                </a:lnTo>
                                <a:lnTo>
                                  <a:pt x="3521887" y="1597063"/>
                                </a:lnTo>
                                <a:lnTo>
                                  <a:pt x="3521811" y="1592414"/>
                                </a:lnTo>
                                <a:lnTo>
                                  <a:pt x="3512997" y="1059611"/>
                                </a:lnTo>
                                <a:lnTo>
                                  <a:pt x="3724059" y="1059611"/>
                                </a:lnTo>
                                <a:lnTo>
                                  <a:pt x="3741293" y="1592503"/>
                                </a:lnTo>
                                <a:lnTo>
                                  <a:pt x="3741293" y="1047800"/>
                                </a:lnTo>
                                <a:lnTo>
                                  <a:pt x="3723856" y="1047800"/>
                                </a:lnTo>
                                <a:lnTo>
                                  <a:pt x="3723856" y="1053414"/>
                                </a:lnTo>
                                <a:lnTo>
                                  <a:pt x="3723856" y="1053668"/>
                                </a:lnTo>
                                <a:lnTo>
                                  <a:pt x="3512909" y="1053668"/>
                                </a:lnTo>
                                <a:lnTo>
                                  <a:pt x="3319742" y="1053668"/>
                                </a:lnTo>
                                <a:lnTo>
                                  <a:pt x="3319742" y="1598358"/>
                                </a:lnTo>
                                <a:lnTo>
                                  <a:pt x="3201530" y="1649603"/>
                                </a:lnTo>
                                <a:lnTo>
                                  <a:pt x="3111893" y="1604225"/>
                                </a:lnTo>
                                <a:lnTo>
                                  <a:pt x="3100159" y="1598282"/>
                                </a:lnTo>
                                <a:lnTo>
                                  <a:pt x="3092716" y="1603387"/>
                                </a:lnTo>
                                <a:lnTo>
                                  <a:pt x="3100032" y="1598358"/>
                                </a:lnTo>
                                <a:lnTo>
                                  <a:pt x="3100146" y="1059611"/>
                                </a:lnTo>
                                <a:lnTo>
                                  <a:pt x="3302127" y="1059611"/>
                                </a:lnTo>
                                <a:lnTo>
                                  <a:pt x="3319742" y="1598358"/>
                                </a:lnTo>
                                <a:lnTo>
                                  <a:pt x="3319742" y="1053668"/>
                                </a:lnTo>
                                <a:lnTo>
                                  <a:pt x="3100159" y="1053668"/>
                                </a:lnTo>
                                <a:lnTo>
                                  <a:pt x="3082645" y="1053668"/>
                                </a:lnTo>
                                <a:lnTo>
                                  <a:pt x="3021330" y="1053668"/>
                                </a:lnTo>
                                <a:lnTo>
                                  <a:pt x="3021330" y="1053414"/>
                                </a:lnTo>
                                <a:lnTo>
                                  <a:pt x="3723856" y="1053414"/>
                                </a:lnTo>
                                <a:lnTo>
                                  <a:pt x="3723856" y="1047800"/>
                                </a:lnTo>
                                <a:lnTo>
                                  <a:pt x="3723678" y="1047800"/>
                                </a:lnTo>
                                <a:lnTo>
                                  <a:pt x="3723690" y="1048296"/>
                                </a:lnTo>
                                <a:lnTo>
                                  <a:pt x="3021330" y="1048296"/>
                                </a:lnTo>
                                <a:lnTo>
                                  <a:pt x="3021330" y="645185"/>
                                </a:lnTo>
                                <a:lnTo>
                                  <a:pt x="3031286" y="639305"/>
                                </a:lnTo>
                                <a:lnTo>
                                  <a:pt x="3082658" y="609003"/>
                                </a:lnTo>
                                <a:lnTo>
                                  <a:pt x="3135503" y="640080"/>
                                </a:lnTo>
                                <a:lnTo>
                                  <a:pt x="3152978" y="1041857"/>
                                </a:lnTo>
                                <a:lnTo>
                                  <a:pt x="3170478" y="1041857"/>
                                </a:lnTo>
                                <a:lnTo>
                                  <a:pt x="3161906" y="645185"/>
                                </a:lnTo>
                                <a:lnTo>
                                  <a:pt x="3161779" y="639305"/>
                                </a:lnTo>
                                <a:lnTo>
                                  <a:pt x="3152978" y="633374"/>
                                </a:lnTo>
                                <a:lnTo>
                                  <a:pt x="3091459" y="591997"/>
                                </a:lnTo>
                                <a:lnTo>
                                  <a:pt x="3082696" y="591997"/>
                                </a:lnTo>
                                <a:lnTo>
                                  <a:pt x="3082696" y="597916"/>
                                </a:lnTo>
                                <a:lnTo>
                                  <a:pt x="3082696" y="591997"/>
                                </a:lnTo>
                                <a:lnTo>
                                  <a:pt x="3073844" y="591997"/>
                                </a:lnTo>
                                <a:lnTo>
                                  <a:pt x="3012529" y="633374"/>
                                </a:lnTo>
                                <a:lnTo>
                                  <a:pt x="3016935" y="639305"/>
                                </a:lnTo>
                                <a:lnTo>
                                  <a:pt x="3012529" y="639305"/>
                                </a:lnTo>
                                <a:lnTo>
                                  <a:pt x="3012529" y="633374"/>
                                </a:lnTo>
                                <a:lnTo>
                                  <a:pt x="3003524" y="639305"/>
                                </a:lnTo>
                                <a:lnTo>
                                  <a:pt x="3003524" y="1048296"/>
                                </a:lnTo>
                                <a:lnTo>
                                  <a:pt x="3003524" y="1053414"/>
                                </a:lnTo>
                                <a:lnTo>
                                  <a:pt x="3003524" y="1053668"/>
                                </a:lnTo>
                                <a:lnTo>
                                  <a:pt x="2924695" y="1053668"/>
                                </a:lnTo>
                                <a:lnTo>
                                  <a:pt x="2924695" y="1053414"/>
                                </a:lnTo>
                                <a:lnTo>
                                  <a:pt x="3003524" y="1053414"/>
                                </a:lnTo>
                                <a:lnTo>
                                  <a:pt x="3003524" y="1048296"/>
                                </a:lnTo>
                                <a:lnTo>
                                  <a:pt x="2915894" y="1048296"/>
                                </a:lnTo>
                                <a:lnTo>
                                  <a:pt x="2907182" y="1048296"/>
                                </a:lnTo>
                                <a:lnTo>
                                  <a:pt x="2907182" y="1059561"/>
                                </a:lnTo>
                                <a:lnTo>
                                  <a:pt x="2907182" y="1190409"/>
                                </a:lnTo>
                                <a:lnTo>
                                  <a:pt x="2845562" y="1161034"/>
                                </a:lnTo>
                                <a:lnTo>
                                  <a:pt x="2854363" y="1161034"/>
                                </a:lnTo>
                                <a:lnTo>
                                  <a:pt x="2845562" y="645414"/>
                                </a:lnTo>
                                <a:lnTo>
                                  <a:pt x="2775242" y="598424"/>
                                </a:lnTo>
                                <a:lnTo>
                                  <a:pt x="2770886" y="604139"/>
                                </a:lnTo>
                                <a:lnTo>
                                  <a:pt x="2769641" y="602500"/>
                                </a:lnTo>
                                <a:lnTo>
                                  <a:pt x="2775242" y="598424"/>
                                </a:lnTo>
                                <a:lnTo>
                                  <a:pt x="2775242" y="592074"/>
                                </a:lnTo>
                                <a:lnTo>
                                  <a:pt x="2766542" y="598424"/>
                                </a:lnTo>
                                <a:lnTo>
                                  <a:pt x="2678607" y="645414"/>
                                </a:lnTo>
                                <a:lnTo>
                                  <a:pt x="2696108" y="1167384"/>
                                </a:lnTo>
                                <a:lnTo>
                                  <a:pt x="2705112" y="1167384"/>
                                </a:lnTo>
                                <a:lnTo>
                                  <a:pt x="2705112" y="1172464"/>
                                </a:lnTo>
                                <a:lnTo>
                                  <a:pt x="2713913" y="1172464"/>
                                </a:lnTo>
                                <a:lnTo>
                                  <a:pt x="2713888" y="1166393"/>
                                </a:lnTo>
                                <a:lnTo>
                                  <a:pt x="2696324" y="651764"/>
                                </a:lnTo>
                                <a:lnTo>
                                  <a:pt x="2696210" y="648614"/>
                                </a:lnTo>
                                <a:lnTo>
                                  <a:pt x="2696324" y="651649"/>
                                </a:lnTo>
                                <a:lnTo>
                                  <a:pt x="2708097" y="645414"/>
                                </a:lnTo>
                                <a:lnTo>
                                  <a:pt x="2770340" y="612444"/>
                                </a:lnTo>
                                <a:lnTo>
                                  <a:pt x="2828061" y="651764"/>
                                </a:lnTo>
                                <a:lnTo>
                                  <a:pt x="2828061" y="1167384"/>
                                </a:lnTo>
                                <a:lnTo>
                                  <a:pt x="2836862" y="1167384"/>
                                </a:lnTo>
                                <a:lnTo>
                                  <a:pt x="2907182" y="1209205"/>
                                </a:lnTo>
                                <a:lnTo>
                                  <a:pt x="2907182" y="1710334"/>
                                </a:lnTo>
                                <a:lnTo>
                                  <a:pt x="2907182" y="1722602"/>
                                </a:lnTo>
                                <a:lnTo>
                                  <a:pt x="2915894" y="1722602"/>
                                </a:lnTo>
                                <a:lnTo>
                                  <a:pt x="3908145" y="1722602"/>
                                </a:lnTo>
                                <a:lnTo>
                                  <a:pt x="3908145" y="1722729"/>
                                </a:lnTo>
                                <a:lnTo>
                                  <a:pt x="3916946" y="1722729"/>
                                </a:lnTo>
                                <a:lnTo>
                                  <a:pt x="3916946" y="1710778"/>
                                </a:lnTo>
                                <a:lnTo>
                                  <a:pt x="3908145" y="1710778"/>
                                </a:lnTo>
                                <a:lnTo>
                                  <a:pt x="3908145" y="1710334"/>
                                </a:lnTo>
                                <a:lnTo>
                                  <a:pt x="3916946" y="1710334"/>
                                </a:lnTo>
                                <a:lnTo>
                                  <a:pt x="3916946" y="1059611"/>
                                </a:lnTo>
                                <a:lnTo>
                                  <a:pt x="3916946" y="1047800"/>
                                </a:lnTo>
                                <a:close/>
                              </a:path>
                            </a:pathLst>
                          </a:custGeom>
                          <a:solidFill>
                            <a:srgbClr val="23201D"/>
                          </a:solidFill>
                        </wps:spPr>
                        <wps:bodyPr wrap="square" lIns="0" tIns="0" rIns="0" bIns="0" rtlCol="0">
                          <a:prstTxWarp prst="textNoShape">
                            <a:avLst/>
                          </a:prstTxWarp>
                          <a:noAutofit/>
                        </wps:bodyPr>
                      </wps:wsp>
                      <pic:pic>
                        <pic:nvPicPr>
                          <pic:cNvPr id="59" name="Image 59"/>
                          <pic:cNvPicPr/>
                        </pic:nvPicPr>
                        <pic:blipFill>
                          <a:blip r:embed="rId27" cstate="print"/>
                          <a:stretch>
                            <a:fillRect/>
                          </a:stretch>
                        </pic:blipFill>
                        <pic:spPr>
                          <a:xfrm>
                            <a:off x="3548211" y="1272729"/>
                            <a:ext cx="149155" cy="337562"/>
                          </a:xfrm>
                          <a:prstGeom prst="rect">
                            <a:avLst/>
                          </a:prstGeom>
                        </pic:spPr>
                      </pic:pic>
                      <pic:pic>
                        <pic:nvPicPr>
                          <pic:cNvPr id="60" name="Image 60"/>
                          <pic:cNvPicPr/>
                        </pic:nvPicPr>
                        <pic:blipFill>
                          <a:blip r:embed="rId28" cstate="print"/>
                          <a:stretch>
                            <a:fillRect/>
                          </a:stretch>
                        </pic:blipFill>
                        <pic:spPr>
                          <a:xfrm>
                            <a:off x="3135463" y="1278600"/>
                            <a:ext cx="140451" cy="337562"/>
                          </a:xfrm>
                          <a:prstGeom prst="rect">
                            <a:avLst/>
                          </a:prstGeom>
                        </pic:spPr>
                      </pic:pic>
                      <wps:wsp>
                        <wps:cNvPr id="61" name="Graphic 61"/>
                        <wps:cNvSpPr/>
                        <wps:spPr>
                          <a:xfrm>
                            <a:off x="2968499" y="1284546"/>
                            <a:ext cx="922655" cy="325755"/>
                          </a:xfrm>
                          <a:custGeom>
                            <a:avLst/>
                            <a:gdLst/>
                            <a:ahLst/>
                            <a:cxnLst/>
                            <a:rect l="l" t="t" r="r" b="b"/>
                            <a:pathLst>
                              <a:path w="922655" h="325755">
                                <a:moveTo>
                                  <a:pt x="87858" y="159931"/>
                                </a:moveTo>
                                <a:lnTo>
                                  <a:pt x="0" y="159931"/>
                                </a:lnTo>
                                <a:lnTo>
                                  <a:pt x="0" y="171754"/>
                                </a:lnTo>
                                <a:lnTo>
                                  <a:pt x="87858" y="171754"/>
                                </a:lnTo>
                                <a:lnTo>
                                  <a:pt x="87858" y="159931"/>
                                </a:lnTo>
                                <a:close/>
                              </a:path>
                              <a:path w="922655" h="325755">
                                <a:moveTo>
                                  <a:pt x="96634" y="295986"/>
                                </a:moveTo>
                                <a:lnTo>
                                  <a:pt x="87833" y="284175"/>
                                </a:lnTo>
                                <a:lnTo>
                                  <a:pt x="8699" y="313740"/>
                                </a:lnTo>
                                <a:lnTo>
                                  <a:pt x="17500" y="325755"/>
                                </a:lnTo>
                                <a:lnTo>
                                  <a:pt x="96634" y="295986"/>
                                </a:lnTo>
                                <a:close/>
                              </a:path>
                              <a:path w="922655" h="325755">
                                <a:moveTo>
                                  <a:pt x="96634" y="35636"/>
                                </a:moveTo>
                                <a:lnTo>
                                  <a:pt x="8699" y="0"/>
                                </a:lnTo>
                                <a:lnTo>
                                  <a:pt x="0" y="12014"/>
                                </a:lnTo>
                                <a:lnTo>
                                  <a:pt x="87833" y="47434"/>
                                </a:lnTo>
                                <a:lnTo>
                                  <a:pt x="96634" y="35636"/>
                                </a:lnTo>
                                <a:close/>
                              </a:path>
                              <a:path w="922655" h="325755">
                                <a:moveTo>
                                  <a:pt x="904608" y="153987"/>
                                </a:moveTo>
                                <a:lnTo>
                                  <a:pt x="807986" y="153987"/>
                                </a:lnTo>
                                <a:lnTo>
                                  <a:pt x="807986" y="165811"/>
                                </a:lnTo>
                                <a:lnTo>
                                  <a:pt x="904608" y="165811"/>
                                </a:lnTo>
                                <a:lnTo>
                                  <a:pt x="904608" y="153987"/>
                                </a:lnTo>
                                <a:close/>
                              </a:path>
                              <a:path w="922655" h="325755">
                                <a:moveTo>
                                  <a:pt x="904621" y="12014"/>
                                </a:moveTo>
                                <a:lnTo>
                                  <a:pt x="895819" y="0"/>
                                </a:lnTo>
                                <a:lnTo>
                                  <a:pt x="799287" y="17881"/>
                                </a:lnTo>
                                <a:lnTo>
                                  <a:pt x="807986" y="35636"/>
                                </a:lnTo>
                                <a:lnTo>
                                  <a:pt x="904621" y="12014"/>
                                </a:lnTo>
                                <a:close/>
                              </a:path>
                              <a:path w="922655" h="325755">
                                <a:moveTo>
                                  <a:pt x="922134" y="313740"/>
                                </a:moveTo>
                                <a:lnTo>
                                  <a:pt x="834301" y="290118"/>
                                </a:lnTo>
                                <a:lnTo>
                                  <a:pt x="825500" y="301929"/>
                                </a:lnTo>
                                <a:lnTo>
                                  <a:pt x="913422" y="325755"/>
                                </a:lnTo>
                                <a:lnTo>
                                  <a:pt x="922134" y="313740"/>
                                </a:lnTo>
                                <a:close/>
                              </a:path>
                            </a:pathLst>
                          </a:custGeom>
                          <a:solidFill>
                            <a:srgbClr val="23201D"/>
                          </a:solidFill>
                        </wps:spPr>
                        <wps:bodyPr wrap="square" lIns="0" tIns="0" rIns="0" bIns="0" rtlCol="0">
                          <a:prstTxWarp prst="textNoShape">
                            <a:avLst/>
                          </a:prstTxWarp>
                          <a:noAutofit/>
                        </wps:bodyPr>
                      </wps:wsp>
                      <wps:wsp>
                        <wps:cNvPr id="62" name="Textbox 62"/>
                        <wps:cNvSpPr txBox="1"/>
                        <wps:spPr>
                          <a:xfrm>
                            <a:off x="1214250" y="95505"/>
                            <a:ext cx="1132205" cy="121285"/>
                          </a:xfrm>
                          <a:prstGeom prst="rect">
                            <a:avLst/>
                          </a:prstGeom>
                        </wps:spPr>
                        <wps:txbx>
                          <w:txbxContent>
                            <w:p>
                              <w:pPr>
                                <w:spacing w:before="0"/>
                                <w:ind w:left="0" w:right="0" w:firstLine="0"/>
                                <w:jc w:val="left"/>
                                <w:rPr>
                                  <w:rFonts w:ascii="Arial"/>
                                  <w:b/>
                                  <w:sz w:val="16"/>
                                </w:rPr>
                              </w:pPr>
                              <w:r>
                                <w:rPr>
                                  <w:rFonts w:ascii="Arial"/>
                                  <w:b/>
                                  <w:color w:val="23201D"/>
                                  <w:spacing w:val="-22"/>
                                  <w:w w:val="150"/>
                                  <w:sz w:val="16"/>
                                </w:rPr>
                                <w:t>Immun</w:t>
                              </w:r>
                              <w:r>
                                <w:rPr>
                                  <w:rFonts w:ascii="Arial"/>
                                  <w:b/>
                                  <w:color w:val="23201D"/>
                                  <w:spacing w:val="-28"/>
                                  <w:w w:val="150"/>
                                  <w:sz w:val="16"/>
                                </w:rPr>
                                <w:t> </w:t>
                              </w:r>
                              <w:r>
                                <w:rPr>
                                  <w:rFonts w:ascii="Arial"/>
                                  <w:b/>
                                  <w:color w:val="23201D"/>
                                  <w:spacing w:val="-22"/>
                                  <w:w w:val="150"/>
                                  <w:sz w:val="16"/>
                                </w:rPr>
                                <w:t>oCom</w:t>
                              </w:r>
                              <w:r>
                                <w:rPr>
                                  <w:rFonts w:ascii="Arial"/>
                                  <w:b/>
                                  <w:color w:val="23201D"/>
                                  <w:spacing w:val="-35"/>
                                  <w:w w:val="150"/>
                                  <w:sz w:val="16"/>
                                </w:rPr>
                                <w:t> </w:t>
                              </w:r>
                              <w:r>
                                <w:rPr>
                                  <w:rFonts w:ascii="Arial"/>
                                  <w:b/>
                                  <w:color w:val="23201D"/>
                                  <w:spacing w:val="-22"/>
                                  <w:w w:val="150"/>
                                  <w:sz w:val="16"/>
                                </w:rPr>
                                <w:t>b</w:t>
                              </w:r>
                              <w:r>
                                <w:rPr>
                                  <w:rFonts w:ascii="Arial"/>
                                  <w:b/>
                                  <w:color w:val="23201D"/>
                                  <w:spacing w:val="-22"/>
                                  <w:w w:val="150"/>
                                  <w:position w:val="8"/>
                                  <w:sz w:val="8"/>
                                </w:rPr>
                                <w:t>(R</w:t>
                              </w:r>
                              <w:r>
                                <w:rPr>
                                  <w:rFonts w:ascii="Arial"/>
                                  <w:b/>
                                  <w:color w:val="23201D"/>
                                  <w:spacing w:val="7"/>
                                  <w:w w:val="150"/>
                                  <w:position w:val="8"/>
                                  <w:sz w:val="8"/>
                                </w:rPr>
                                <w:t> </w:t>
                              </w:r>
                              <w:r>
                                <w:rPr>
                                  <w:rFonts w:ascii="Arial"/>
                                  <w:b/>
                                  <w:color w:val="23201D"/>
                                  <w:spacing w:val="-22"/>
                                  <w:w w:val="150"/>
                                  <w:position w:val="8"/>
                                  <w:sz w:val="8"/>
                                </w:rPr>
                                <w:t>)</w:t>
                              </w:r>
                              <w:r>
                                <w:rPr>
                                  <w:rFonts w:ascii="Arial"/>
                                  <w:b/>
                                  <w:color w:val="23201D"/>
                                  <w:spacing w:val="-12"/>
                                  <w:w w:val="150"/>
                                  <w:position w:val="8"/>
                                  <w:sz w:val="8"/>
                                </w:rPr>
                                <w:t> </w:t>
                              </w:r>
                              <w:r>
                                <w:rPr>
                                  <w:rFonts w:ascii="Arial"/>
                                  <w:b/>
                                  <w:color w:val="23201D"/>
                                  <w:spacing w:val="-22"/>
                                  <w:w w:val="150"/>
                                  <w:sz w:val="16"/>
                                </w:rPr>
                                <w:t>II</w:t>
                              </w:r>
                            </w:p>
                          </w:txbxContent>
                        </wps:txbx>
                        <wps:bodyPr wrap="square" lIns="0" tIns="0" rIns="0" bIns="0" rtlCol="0">
                          <a:noAutofit/>
                        </wps:bodyPr>
                      </wps:wsp>
                      <wps:wsp>
                        <wps:cNvPr id="63" name="Textbox 63"/>
                        <wps:cNvSpPr txBox="1"/>
                        <wps:spPr>
                          <a:xfrm>
                            <a:off x="42834" y="441598"/>
                            <a:ext cx="422275" cy="220979"/>
                          </a:xfrm>
                          <a:prstGeom prst="rect">
                            <a:avLst/>
                          </a:prstGeom>
                        </wps:spPr>
                        <wps:txbx>
                          <w:txbxContent>
                            <w:p>
                              <w:pPr>
                                <w:spacing w:line="173" w:lineRule="exact" w:before="0"/>
                                <w:ind w:left="183" w:right="0" w:firstLine="0"/>
                                <w:jc w:val="left"/>
                                <w:rPr>
                                  <w:rFonts w:ascii="Arial"/>
                                  <w:b/>
                                  <w:sz w:val="16"/>
                                </w:rPr>
                              </w:pPr>
                              <w:r>
                                <w:rPr>
                                  <w:rFonts w:ascii="Arial"/>
                                  <w:b/>
                                  <w:color w:val="23201D"/>
                                  <w:spacing w:val="-5"/>
                                  <w:w w:val="150"/>
                                  <w:sz w:val="16"/>
                                </w:rPr>
                                <w:t>34</w:t>
                              </w:r>
                            </w:p>
                            <w:p>
                              <w:pPr>
                                <w:tabs>
                                  <w:tab w:pos="509" w:val="left" w:leader="none"/>
                                </w:tabs>
                                <w:spacing w:line="175" w:lineRule="exact" w:before="0"/>
                                <w:ind w:left="0" w:right="0" w:firstLine="0"/>
                                <w:jc w:val="left"/>
                                <w:rPr>
                                  <w:rFonts w:ascii="Arial"/>
                                  <w:b/>
                                  <w:sz w:val="16"/>
                                </w:rPr>
                              </w:pPr>
                              <w:r>
                                <w:rPr>
                                  <w:rFonts w:ascii="Arial"/>
                                  <w:b/>
                                  <w:color w:val="23201D"/>
                                  <w:spacing w:val="-10"/>
                                  <w:w w:val="150"/>
                                  <w:sz w:val="16"/>
                                </w:rPr>
                                <w:t>1</w:t>
                              </w:r>
                              <w:r>
                                <w:rPr>
                                  <w:rFonts w:ascii="Arial"/>
                                  <w:b/>
                                  <w:color w:val="23201D"/>
                                  <w:sz w:val="16"/>
                                </w:rPr>
                                <w:tab/>
                              </w:r>
                              <w:r>
                                <w:rPr>
                                  <w:rFonts w:ascii="Arial"/>
                                  <w:b/>
                                  <w:color w:val="23201D"/>
                                  <w:spacing w:val="-10"/>
                                  <w:w w:val="150"/>
                                  <w:sz w:val="16"/>
                                </w:rPr>
                                <w:t>1</w:t>
                              </w:r>
                            </w:p>
                          </w:txbxContent>
                        </wps:txbx>
                        <wps:bodyPr wrap="square" lIns="0" tIns="0" rIns="0" bIns="0" rtlCol="0">
                          <a:noAutofit/>
                        </wps:bodyPr>
                      </wps:wsp>
                      <wps:wsp>
                        <wps:cNvPr id="64" name="Textbox 64"/>
                        <wps:cNvSpPr txBox="1"/>
                        <wps:spPr>
                          <a:xfrm>
                            <a:off x="650794" y="437478"/>
                            <a:ext cx="422275" cy="225425"/>
                          </a:xfrm>
                          <a:prstGeom prst="rect">
                            <a:avLst/>
                          </a:prstGeom>
                        </wps:spPr>
                        <wps:txbx>
                          <w:txbxContent>
                            <w:p>
                              <w:pPr>
                                <w:spacing w:line="171" w:lineRule="exact" w:before="0"/>
                                <w:ind w:left="203" w:right="0" w:firstLine="0"/>
                                <w:jc w:val="left"/>
                                <w:rPr>
                                  <w:rFonts w:ascii="Arial"/>
                                  <w:b/>
                                  <w:sz w:val="16"/>
                                </w:rPr>
                              </w:pPr>
                              <w:r>
                                <w:rPr>
                                  <w:rFonts w:ascii="Arial"/>
                                  <w:b/>
                                  <w:color w:val="23201D"/>
                                  <w:spacing w:val="-5"/>
                                  <w:w w:val="150"/>
                                  <w:sz w:val="16"/>
                                </w:rPr>
                                <w:t>34</w:t>
                              </w:r>
                            </w:p>
                            <w:p>
                              <w:pPr>
                                <w:tabs>
                                  <w:tab w:pos="509" w:val="left" w:leader="none"/>
                                </w:tabs>
                                <w:spacing w:line="183" w:lineRule="exact" w:before="0"/>
                                <w:ind w:left="0" w:right="0" w:firstLine="0"/>
                                <w:jc w:val="left"/>
                                <w:rPr>
                                  <w:rFonts w:ascii="Arial"/>
                                  <w:b/>
                                  <w:sz w:val="16"/>
                                </w:rPr>
                              </w:pPr>
                              <w:r>
                                <w:rPr>
                                  <w:rFonts w:ascii="Arial"/>
                                  <w:b/>
                                  <w:color w:val="23201D"/>
                                  <w:spacing w:val="-10"/>
                                  <w:w w:val="150"/>
                                  <w:sz w:val="16"/>
                                </w:rPr>
                                <w:t>2</w:t>
                              </w:r>
                              <w:r>
                                <w:rPr>
                                  <w:rFonts w:ascii="Arial"/>
                                  <w:b/>
                                  <w:color w:val="23201D"/>
                                  <w:sz w:val="16"/>
                                </w:rPr>
                                <w:tab/>
                              </w:r>
                              <w:r>
                                <w:rPr>
                                  <w:rFonts w:ascii="Arial"/>
                                  <w:b/>
                                  <w:color w:val="23201D"/>
                                  <w:spacing w:val="-10"/>
                                  <w:w w:val="150"/>
                                  <w:position w:val="1"/>
                                  <w:sz w:val="16"/>
                                </w:rPr>
                                <w:t>2</w:t>
                              </w:r>
                            </w:p>
                          </w:txbxContent>
                        </wps:txbx>
                        <wps:bodyPr wrap="square" lIns="0" tIns="0" rIns="0" bIns="0" rtlCol="0">
                          <a:noAutofit/>
                        </wps:bodyPr>
                      </wps:wsp>
                      <wps:wsp>
                        <wps:cNvPr id="65" name="Textbox 65"/>
                        <wps:cNvSpPr txBox="1"/>
                        <wps:spPr>
                          <a:xfrm>
                            <a:off x="1407420" y="432924"/>
                            <a:ext cx="167640"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8"/>
                                  <w:w w:val="150"/>
                                  <w:sz w:val="16"/>
                                </w:rPr>
                                <w:t>34</w:t>
                              </w:r>
                            </w:p>
                          </w:txbxContent>
                        </wps:txbx>
                        <wps:bodyPr wrap="square" lIns="0" tIns="0" rIns="0" bIns="0" rtlCol="0">
                          <a:noAutofit/>
                        </wps:bodyPr>
                      </wps:wsp>
                      <wps:wsp>
                        <wps:cNvPr id="66" name="Textbox 66"/>
                        <wps:cNvSpPr txBox="1"/>
                        <wps:spPr>
                          <a:xfrm>
                            <a:off x="2060716" y="424334"/>
                            <a:ext cx="167640"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8"/>
                                  <w:w w:val="150"/>
                                  <w:sz w:val="16"/>
                                </w:rPr>
                                <w:t>34</w:t>
                              </w:r>
                            </w:p>
                          </w:txbxContent>
                        </wps:txbx>
                        <wps:bodyPr wrap="square" lIns="0" tIns="0" rIns="0" bIns="0" rtlCol="0">
                          <a:noAutofit/>
                        </wps:bodyPr>
                      </wps:wsp>
                      <wps:wsp>
                        <wps:cNvPr id="67" name="Textbox 67"/>
                        <wps:cNvSpPr txBox="1"/>
                        <wps:spPr>
                          <a:xfrm>
                            <a:off x="2675239" y="419779"/>
                            <a:ext cx="167005"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8"/>
                                  <w:w w:val="150"/>
                                  <w:sz w:val="16"/>
                                </w:rPr>
                                <w:t>34</w:t>
                              </w:r>
                            </w:p>
                          </w:txbxContent>
                        </wps:txbx>
                        <wps:bodyPr wrap="square" lIns="0" tIns="0" rIns="0" bIns="0" rtlCol="0">
                          <a:noAutofit/>
                        </wps:bodyPr>
                      </wps:wsp>
                      <wps:wsp>
                        <wps:cNvPr id="68" name="Textbox 68"/>
                        <wps:cNvSpPr txBox="1"/>
                        <wps:spPr>
                          <a:xfrm>
                            <a:off x="1291103" y="546641"/>
                            <a:ext cx="98425"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10"/>
                                  <w:w w:val="150"/>
                                  <w:sz w:val="16"/>
                                </w:rPr>
                                <w:t>3</w:t>
                              </w:r>
                            </w:p>
                          </w:txbxContent>
                        </wps:txbx>
                        <wps:bodyPr wrap="square" lIns="0" tIns="0" rIns="0" bIns="0" rtlCol="0">
                          <a:noAutofit/>
                        </wps:bodyPr>
                      </wps:wsp>
                      <wps:wsp>
                        <wps:cNvPr id="69" name="Textbox 69"/>
                        <wps:cNvSpPr txBox="1"/>
                        <wps:spPr>
                          <a:xfrm>
                            <a:off x="1620866" y="537682"/>
                            <a:ext cx="98425"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10"/>
                                  <w:w w:val="150"/>
                                  <w:sz w:val="16"/>
                                </w:rPr>
                                <w:t>3</w:t>
                              </w:r>
                            </w:p>
                          </w:txbxContent>
                        </wps:txbx>
                        <wps:bodyPr wrap="square" lIns="0" tIns="0" rIns="0" bIns="0" rtlCol="0">
                          <a:noAutofit/>
                        </wps:bodyPr>
                      </wps:wsp>
                      <wps:wsp>
                        <wps:cNvPr id="70" name="Textbox 70"/>
                        <wps:cNvSpPr txBox="1"/>
                        <wps:spPr>
                          <a:xfrm>
                            <a:off x="1905626" y="528941"/>
                            <a:ext cx="98425"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10"/>
                                  <w:w w:val="150"/>
                                  <w:sz w:val="16"/>
                                </w:rPr>
                                <w:t>4</w:t>
                              </w:r>
                            </w:p>
                          </w:txbxContent>
                        </wps:txbx>
                        <wps:bodyPr wrap="square" lIns="0" tIns="0" rIns="0" bIns="0" rtlCol="0">
                          <a:noAutofit/>
                        </wps:bodyPr>
                      </wps:wsp>
                      <wps:wsp>
                        <wps:cNvPr id="71" name="Textbox 71"/>
                        <wps:cNvSpPr txBox="1"/>
                        <wps:spPr>
                          <a:xfrm>
                            <a:off x="2222531" y="533563"/>
                            <a:ext cx="98425"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10"/>
                                  <w:w w:val="150"/>
                                  <w:sz w:val="16"/>
                                </w:rPr>
                                <w:t>4</w:t>
                              </w:r>
                            </w:p>
                          </w:txbxContent>
                        </wps:txbx>
                        <wps:bodyPr wrap="square" lIns="0" tIns="0" rIns="0" bIns="0" rtlCol="0">
                          <a:noAutofit/>
                        </wps:bodyPr>
                      </wps:wsp>
                      <wps:wsp>
                        <wps:cNvPr id="72" name="Textbox 72"/>
                        <wps:cNvSpPr txBox="1"/>
                        <wps:spPr>
                          <a:xfrm>
                            <a:off x="2519951" y="524822"/>
                            <a:ext cx="98425" cy="116205"/>
                          </a:xfrm>
                          <a:prstGeom prst="rect">
                            <a:avLst/>
                          </a:prstGeom>
                        </wps:spPr>
                        <wps:txbx>
                          <w:txbxContent>
                            <w:p>
                              <w:pPr>
                                <w:spacing w:line="182" w:lineRule="exact" w:before="0"/>
                                <w:ind w:left="0" w:right="0" w:firstLine="0"/>
                                <w:jc w:val="left"/>
                                <w:rPr>
                                  <w:rFonts w:ascii="Arial"/>
                                  <w:b/>
                                  <w:sz w:val="16"/>
                                </w:rPr>
                              </w:pPr>
                              <w:r>
                                <w:rPr>
                                  <w:rFonts w:ascii="Arial"/>
                                  <w:b/>
                                  <w:color w:val="23201D"/>
                                  <w:spacing w:val="-10"/>
                                  <w:w w:val="150"/>
                                  <w:sz w:val="16"/>
                                </w:rPr>
                                <w:t>5</w:t>
                              </w:r>
                            </w:p>
                          </w:txbxContent>
                        </wps:txbx>
                        <wps:bodyPr wrap="square" lIns="0" tIns="0" rIns="0" bIns="0" rtlCol="0">
                          <a:noAutofit/>
                        </wps:bodyPr>
                      </wps:wsp>
                      <wps:wsp>
                        <wps:cNvPr id="73" name="Textbox 73"/>
                        <wps:cNvSpPr txBox="1"/>
                        <wps:spPr>
                          <a:xfrm>
                            <a:off x="2856341" y="397960"/>
                            <a:ext cx="713105" cy="238760"/>
                          </a:xfrm>
                          <a:prstGeom prst="rect">
                            <a:avLst/>
                          </a:prstGeom>
                        </wps:spPr>
                        <wps:txbx>
                          <w:txbxContent>
                            <w:p>
                              <w:pPr>
                                <w:spacing w:line="176" w:lineRule="exact" w:before="0"/>
                                <w:ind w:left="651" w:right="0" w:firstLine="0"/>
                                <w:jc w:val="left"/>
                                <w:rPr>
                                  <w:rFonts w:ascii="Arial"/>
                                  <w:b/>
                                  <w:sz w:val="16"/>
                                </w:rPr>
                              </w:pPr>
                              <w:r>
                                <w:rPr>
                                  <w:rFonts w:ascii="Arial"/>
                                  <w:b/>
                                  <w:color w:val="23201D"/>
                                  <w:spacing w:val="-5"/>
                                  <w:w w:val="150"/>
                                  <w:sz w:val="16"/>
                                </w:rPr>
                                <w:t>34</w:t>
                              </w:r>
                            </w:p>
                            <w:p>
                              <w:pPr>
                                <w:tabs>
                                  <w:tab w:pos="488" w:val="left" w:leader="none"/>
                                  <w:tab w:pos="967" w:val="left" w:leader="none"/>
                                </w:tabs>
                                <w:spacing w:line="198" w:lineRule="exact" w:before="0"/>
                                <w:ind w:left="0" w:right="0" w:firstLine="0"/>
                                <w:jc w:val="left"/>
                                <w:rPr>
                                  <w:rFonts w:ascii="Arial"/>
                                  <w:b/>
                                  <w:sz w:val="16"/>
                                </w:rPr>
                              </w:pPr>
                              <w:r>
                                <w:rPr>
                                  <w:rFonts w:ascii="Arial"/>
                                  <w:b/>
                                  <w:color w:val="23201D"/>
                                  <w:spacing w:val="-10"/>
                                  <w:w w:val="150"/>
                                  <w:sz w:val="16"/>
                                </w:rPr>
                                <w:t>5</w:t>
                              </w:r>
                              <w:r>
                                <w:rPr>
                                  <w:rFonts w:ascii="Arial"/>
                                  <w:b/>
                                  <w:color w:val="23201D"/>
                                  <w:sz w:val="16"/>
                                </w:rPr>
                                <w:tab/>
                              </w:r>
                              <w:r>
                                <w:rPr>
                                  <w:rFonts w:ascii="Arial"/>
                                  <w:b/>
                                  <w:color w:val="23201D"/>
                                  <w:spacing w:val="-10"/>
                                  <w:w w:val="150"/>
                                  <w:position w:val="1"/>
                                  <w:sz w:val="16"/>
                                </w:rPr>
                                <w:t>6</w:t>
                              </w:r>
                              <w:r>
                                <w:rPr>
                                  <w:rFonts w:ascii="Arial"/>
                                  <w:b/>
                                  <w:color w:val="23201D"/>
                                  <w:position w:val="1"/>
                                  <w:sz w:val="16"/>
                                </w:rPr>
                                <w:tab/>
                              </w:r>
                              <w:r>
                                <w:rPr>
                                  <w:rFonts w:ascii="Arial"/>
                                  <w:b/>
                                  <w:color w:val="23201D"/>
                                  <w:spacing w:val="-10"/>
                                  <w:w w:val="150"/>
                                  <w:position w:val="2"/>
                                  <w:sz w:val="16"/>
                                </w:rPr>
                                <w:t>6</w:t>
                              </w:r>
                            </w:p>
                          </w:txbxContent>
                        </wps:txbx>
                        <wps:bodyPr wrap="square" lIns="0" tIns="0" rIns="0" bIns="0" rtlCol="0">
                          <a:noAutofit/>
                        </wps:bodyPr>
                      </wps:wsp>
                      <wps:wsp>
                        <wps:cNvPr id="74" name="Textbox 74"/>
                        <wps:cNvSpPr txBox="1"/>
                        <wps:spPr>
                          <a:xfrm>
                            <a:off x="1798606" y="1261866"/>
                            <a:ext cx="1080135" cy="418465"/>
                          </a:xfrm>
                          <a:prstGeom prst="rect">
                            <a:avLst/>
                          </a:prstGeom>
                        </wps:spPr>
                        <wps:txbx>
                          <w:txbxContent>
                            <w:p>
                              <w:pPr>
                                <w:spacing w:line="182" w:lineRule="exact" w:before="0"/>
                                <w:ind w:left="0" w:right="56" w:firstLine="0"/>
                                <w:jc w:val="right"/>
                                <w:rPr>
                                  <w:rFonts w:ascii="Arial"/>
                                  <w:b/>
                                  <w:sz w:val="16"/>
                                </w:rPr>
                              </w:pPr>
                              <w:r>
                                <w:rPr>
                                  <w:rFonts w:ascii="Arial"/>
                                  <w:b/>
                                  <w:color w:val="23201D"/>
                                  <w:spacing w:val="-14"/>
                                  <w:w w:val="150"/>
                                  <w:sz w:val="16"/>
                                </w:rPr>
                                <w:t>Inter</w:t>
                              </w:r>
                              <w:r>
                                <w:rPr>
                                  <w:rFonts w:ascii="Arial"/>
                                  <w:b/>
                                  <w:color w:val="23201D"/>
                                  <w:spacing w:val="-37"/>
                                  <w:w w:val="150"/>
                                  <w:sz w:val="16"/>
                                </w:rPr>
                                <w:t> </w:t>
                              </w:r>
                              <w:r>
                                <w:rPr>
                                  <w:rFonts w:ascii="Arial"/>
                                  <w:b/>
                                  <w:color w:val="23201D"/>
                                  <w:spacing w:val="-14"/>
                                  <w:w w:val="150"/>
                                  <w:sz w:val="16"/>
                                </w:rPr>
                                <w:t>nal</w:t>
                              </w:r>
                              <w:r>
                                <w:rPr>
                                  <w:rFonts w:ascii="Arial"/>
                                  <w:b/>
                                  <w:color w:val="23201D"/>
                                  <w:spacing w:val="-6"/>
                                  <w:w w:val="150"/>
                                  <w:sz w:val="16"/>
                                </w:rPr>
                                <w:t> </w:t>
                              </w:r>
                              <w:r>
                                <w:rPr>
                                  <w:rFonts w:ascii="Arial"/>
                                  <w:b/>
                                  <w:color w:val="23201D"/>
                                  <w:spacing w:val="-14"/>
                                  <w:w w:val="150"/>
                                  <w:sz w:val="16"/>
                                </w:rPr>
                                <w:t>Contr</w:t>
                              </w:r>
                              <w:r>
                                <w:rPr>
                                  <w:rFonts w:ascii="Arial"/>
                                  <w:b/>
                                  <w:color w:val="23201D"/>
                                  <w:spacing w:val="-37"/>
                                  <w:w w:val="150"/>
                                  <w:sz w:val="16"/>
                                </w:rPr>
                                <w:t> </w:t>
                              </w:r>
                              <w:r>
                                <w:rPr>
                                  <w:rFonts w:ascii="Arial"/>
                                  <w:b/>
                                  <w:color w:val="23201D"/>
                                  <w:spacing w:val="-14"/>
                                  <w:w w:val="150"/>
                                  <w:sz w:val="16"/>
                                </w:rPr>
                                <w:t>ol</w:t>
                              </w:r>
                            </w:p>
                            <w:p>
                              <w:pPr>
                                <w:spacing w:before="23"/>
                                <w:ind w:left="0" w:right="28" w:firstLine="0"/>
                                <w:jc w:val="right"/>
                                <w:rPr>
                                  <w:rFonts w:ascii="Arial"/>
                                  <w:b/>
                                  <w:sz w:val="16"/>
                                </w:rPr>
                              </w:pPr>
                              <w:r>
                                <w:rPr>
                                  <w:rFonts w:ascii="Arial"/>
                                  <w:b/>
                                  <w:color w:val="23201D"/>
                                  <w:spacing w:val="-5"/>
                                  <w:w w:val="150"/>
                                  <w:sz w:val="16"/>
                                </w:rPr>
                                <w:t>p24</w:t>
                              </w:r>
                            </w:p>
                            <w:p>
                              <w:pPr>
                                <w:spacing w:before="84"/>
                                <w:ind w:left="0" w:right="18" w:firstLine="0"/>
                                <w:jc w:val="right"/>
                                <w:rPr>
                                  <w:rFonts w:ascii="Arial"/>
                                  <w:b/>
                                  <w:sz w:val="16"/>
                                </w:rPr>
                              </w:pPr>
                              <w:r>
                                <w:rPr>
                                  <w:rFonts w:ascii="Arial"/>
                                  <w:b/>
                                  <w:color w:val="23201D"/>
                                  <w:spacing w:val="-5"/>
                                  <w:w w:val="150"/>
                                  <w:sz w:val="16"/>
                                </w:rPr>
                                <w:t>P31</w:t>
                              </w:r>
                            </w:p>
                          </w:txbxContent>
                        </wps:txbx>
                        <wps:bodyPr wrap="square" lIns="0" tIns="0" rIns="0" bIns="0" rtlCol="0">
                          <a:noAutofit/>
                        </wps:bodyPr>
                      </wps:wsp>
                    </wpg:wgp>
                  </a:graphicData>
                </a:graphic>
              </wp:anchor>
            </w:drawing>
          </mc:Choice>
          <mc:Fallback>
            <w:pict>
              <v:group style="position:absolute;margin-left:125.649895pt;margin-top:-95.416046pt;width:308.45pt;height:135.65pt;mso-position-horizontal-relative:page;mso-position-vertical-relative:paragraph;z-index:15741440" id="docshapegroup40" coordorigin="2513,-1908" coordsize="6169,2713">
                <v:shape style="position:absolute;left:2512;top:-1909;width:6169;height:2713" id="docshape41" coordorigin="2513,-1908" coordsize="6169,2713" path="m4989,-1860l4975,-1880,4885,-1809,4810,-1860,4781,-1880,4768,-1880,4768,-1870,4767,-1860,4767,-1870,4768,-1870,4768,-1880,4767,-1880,4477,-1880,4463,-1880,4463,-1870,4477,-1870,4477,-1865,4463,-1870,4399,-1813,4399,-1790,4394,-1791,4394,-1796,4394,-1791,4399,-1790,4399,-1813,4393,-1808,4311,-1870,4297,-1852,4394,-1786,4394,-1776,4408,-1786,4491,-1860,4754,-1860,4878,-1796,4892,-1786,4892,-1796,4989,-1860xm5279,-1880l5265,-1880,4989,-1880,4975,-1880,4989,-1870,4989,-1860,5265,-1860,5265,-1870,5279,-1880xm5390,-1796l5376,-1804,5362,-1796,5390,-1796xm5404,-956l5376,-956,5390,-948,5404,-956xm5487,-1860l5473,-1870,5473,-1870,5473,-1860,5473,-1870,5473,-1870,5473,-1870,5473,-1880,5459,-1880,5375,-1823,5279,-1880,5265,-1860,5362,-1796,5376,-1805,5390,-1796,5487,-1860xm5888,-1804l5860,-1804,5874,-1796,5888,-1804xm6382,-969l6372,-976,6358,-976,6367,-969,6372,-969,6382,-969xm6469,-1870l6455,-1888,6359,-1833,6289,-1880,6275,-1875,6275,-1880,6289,-1880,6275,-1888,5957,-1888,5943,-1888,5957,-1880,5957,-1879,5943,-1888,5873,-1826,5830,-1860,5805,-1880,5791,-1880,5791,-1870,5791,-1860,5791,-1870,5791,-1870,5791,-1880,5791,-1880,5473,-1880,5473,-1870,5487,-1860,5790,-1860,5860,-1804,5874,-1809,5888,-1804,5970,-1870,6275,-1860,6275,-1861,6344,-1814,6353,-1818,6358,-1814,6344,-1814,6358,-1804,6372,-1804,6386,-1814,6469,-1870xm6759,-1888l6745,-1888,6469,-1888,6455,-1888,6469,-1880,6469,-1870,6745,-1870,6745,-1880,6759,-1888xm6773,-62l6759,-70,6636,-13,6510,-80,6510,-70,6510,-80,6497,-872,6496,-892,6387,-966,6372,-966,6365,-966,6358,-976,6247,-892,6261,-63,6149,-12,6026,-57,6026,-62,5999,-872,5888,-956,5874,-966,5860,-956,5763,-910,5779,-900,5777,-900,5763,-910,5763,-892,5777,-62,5777,-62,5777,-52,5777,-62,5659,-9,5528,-64,5528,-70,5528,-872,5528,-882,5514,-882,5404,-956,5390,-947,5376,-956,5265,-892,5272,-882,5265,-882,5265,-892,5252,-892,5252,-878,5279,-71,5166,-3,5030,-56,5030,-62,5017,-872,5016,-892,4906,-948,4892,-956,4878,-948,4892,-938,4892,-938,4878,-948,4781,-900,4768,-892,4768,-882,4781,-52,4781,-52,4781,-42,4781,-52,4669,7,4685,14,4669,7,4657,14,4669,7,4546,-46,4546,-52,4533,-872,4533,-892,4519,-892,4519,-882,4512,-882,4519,-892,4428,-938,4408,-948,4394,-938,4401,-938,4400,-936,4394,-938,4283,-882,4283,-36,4174,8,4173,8,4173,23,4173,23,4173,23,4173,23,4173,23,4173,23,4173,23,4173,23,4173,8,4173,8,4173,23,4172,23,4172,23,4172,23,4172,23,4172,23,4172,23,4173,23,4173,8,4048,-52,4048,-42,4048,-52,4035,-864,4035,-872,4020,-882,4020,-872,4013,-872,4020,-882,3910,-938,3896,-948,3896,-938,3786,-872,3786,-872,3792,-868,3785,-867,3785,-872,3772,-872,3772,-864,3799,-36,3799,-36,3799,-34,3799,-36,3682,19,3568,-34,3564,-36,3564,-42,3537,-854,3536,-861,3536,-872,3426,-938,3398,-938,3288,-872,3288,-872,3294,-864,3288,-864,3288,-872,3274,-864,3274,-861,3301,-36,3301,-36,3301,-34,3301,-36,3184,19,3066,-35,3066,-42,3039,-854,3039,-861,3038,-872,2928,-928,2921,-919,2920,-920,2919,-922,2928,-928,2914,-938,2914,-928,2804,-872,2804,-872,2804,-872,2804,-854,2817,-19,2700,20,2554,-42,2554,-42,2541,-1824,2541,-1825,2816,-1832,2886,-1776,2892,-1779,2894,-1776,2886,-1776,2900,-1768,2914,-1776,3025,-1842,3288,-1842,3398,-1776,3412,-1776,3403,-1783,3412,-1796,3403,-1783,3412,-1776,3509,-1852,3785,-1852,3882,-1786,3896,-1776,3910,-1786,3980,-1842,3980,-1842,4297,-1852,4297,-1860,4311,-1870,4297,-1870,3979,-1870,3965,-1860,3979,-1860,3979,-1856,3965,-1860,3896,-1807,3837,-1852,3813,-1870,3799,-1870,3495,-1870,3495,-1860,3399,-1805,3342,-1842,3315,-1860,3301,-1851,3301,-1842,3301,-1851,3301,-1852,3315,-1860,3301,-1860,3011,-1860,2997,-1860,3011,-1852,3011,-1851,2997,-1860,2901,-1796,2831,-1852,2817,-1852,2817,-1842,2817,-1832,2817,-1842,2817,-1842,2817,-1852,2817,-1852,2527,-1842,2513,-1842,2513,-1818,2527,-34,2549,-34,2541,-24,2693,40,2707,40,2697,35,2699,32,2700,31,2707,40,2845,-6,2845,-24,2831,-854,2831,-861,2817,-854,2831,-861,2831,-864,2831,-861,2921,-906,3011,-861,3038,-36,3038,-24,3177,40,3184,31,3186,35,3177,40,3191,40,3208,32,3329,-24,3343,-34,3342,-42,3302,-854,3302,-854,3320,-864,3412,-913,3509,-861,3522,-42,3523,-24,3536,-24,3536,-34,3544,-34,3536,-24,3675,40,3688,40,3679,35,3681,32,3682,31,3688,40,3827,-24,3819,-34,3827,-34,3827,-24,3841,-24,3841,-36,3840,-42,3813,-864,3813,-872,3813,-872,3903,-924,3993,-872,4020,-46,4020,-34,4159,32,4186,32,4311,-24,4303,-34,4311,-34,4311,-24,4325,-34,4325,-42,4311,-872,4297,-872,4407,-921,4504,-872,4504,-882,4505,-872,4505,-872,4505,-854,4518,-52,4519,-34,4657,32,4685,32,4809,-34,4809,-52,4809,-882,4809,-888,4891,-922,4989,-878,5003,-63,5003,-42,5169,22,5169,32,5183,22,5173,17,5173,16,5183,22,5307,-62,5301,-70,5307,-70,5307,-62,5321,-62,5321,-71,5320,-80,5280,-872,5280,-872,5298,-882,5390,-931,5487,-879,5500,-71,5501,-52,5653,14,5653,22,5667,14,5657,7,5660,4,5667,14,5791,-42,5784,-52,5791,-52,5791,-42,5805,-52,5805,-62,5791,-892,5791,-892,5791,-892,5791,-900,5791,-892,5803,-900,5867,-943,5971,-864,5971,-872,5971,-864,5998,-57,5999,-42,6151,14,6151,22,6164,14,6155,7,6155,7,6164,14,6289,-52,6289,-70,6275,-882,6275,-882,6275,-882,6275,-892,6275,-882,6288,-892,6365,-951,6469,-872,6469,-882,6469,-872,6469,-872,6469,-864,6482,-80,6483,-62,6635,14,6649,14,6639,7,6639,7,6649,14,6773,-62xm6967,-1880l6953,-1898,6861,-1837,6759,-1888,6745,-1870,6842,-1814,6856,-1804,6870,-1814,6967,-1880xm7243,-1898l7229,-1898,6967,-1898,6953,-1898,6967,-1888,6967,-1880,7229,-1880,7229,-1888,7243,-1898xm7755,-1898l7741,-1898,7451,-1898,7437,-1898,7359,-1837,7243,-1898,7229,-1880,7354,-1814,7354,-1804,7368,-1814,7359,-1821,7361,-1823,7361,-1824,7361,-1823,7368,-1814,7464,-1880,7741,-1880,7741,-1888,7755,-1898xm7852,-1824l7838,-1824,7852,-1814,7852,-1824xm8004,-920l7990,-920,7879,-976,7865,-985,7852,-976,7741,-920,7727,-920,7727,-908,7741,-268,7769,-268,7769,-902,7769,-908,7755,-902,7769,-908,7769,-911,7769,-908,7865,-951,7962,-908,7962,-268,7990,-268,8004,-902,8004,-908,8004,-920xm8267,-284l8211,-1880,8211,-1888,8211,-1898,8197,-1898,7949,-1908,7935,-1908,7935,-1898,7949,-1898,7949,-1893,7935,-1898,7845,-1837,7755,-1898,7741,-1880,7838,-1824,7845,-1828,7852,-1824,7962,-1888,8184,-1881,8225,-284,8267,-284xm8681,-258l8668,-258,8668,-257,8640,-257,8640,-249,8640,-249,8640,-240,8640,785,8640,786,7119,786,7119,785,7119,-5,7133,-14,7119,-21,7119,-240,7368,-240,7368,628,7381,618,7381,618,7368,628,7547,711,7554,702,7557,705,7547,711,7561,721,7561,711,7583,702,7755,628,7748,618,7755,618,7755,628,7769,628,7769,618,7769,609,7741,-240,8018,-240,8018,609,8031,618,8211,711,8218,702,8221,705,8211,711,8225,711,8244,702,8433,609,8433,599,8419,-240,8640,-240,8640,-249,8419,-249,8419,-249,8640,-249,8640,-257,8419,-257,8419,-258,8405,-258,8405,600,8219,689,8059,607,8059,599,8045,-240,8378,-240,8405,600,8405,-258,8377,-258,8377,-249,8377,-249,8045,-249,7741,-249,7741,609,7555,689,7414,618,7395,609,7383,617,7395,609,7395,-240,7713,-240,7741,609,7741,-249,7395,-249,7368,-249,7271,-249,7271,-249,8377,-249,8377,-258,8377,-258,8377,-257,7271,-257,7271,-892,7287,-902,7368,-949,7451,-900,7478,-268,7506,-268,7492,-892,7492,-902,7478,-911,7381,-976,7368,-976,7368,-967,7368,-967,7368,-967,7368,-967,7368,-967,7367,-967,7367,-967,7368,-967,7368,-967,7368,-967,7368,-967,7368,-976,7354,-976,7257,-911,7264,-902,7257,-902,7257,-911,7243,-902,7243,-257,7243,-249,7243,-249,7119,-249,7119,-249,7243,-249,7243,-257,7105,-257,7091,-257,7091,-240,7091,-34,6994,-80,7008,-80,6994,-892,6883,-966,6877,-957,6875,-959,6883,-966,6883,-976,6870,-966,6731,-892,6759,-70,6773,-70,6773,-62,6787,-62,6787,-71,6759,-882,6759,-882,6759,-882,6759,-887,6759,-882,6778,-892,6876,-944,6967,-882,6967,-70,6980,-70,7091,-4,7091,785,7091,804,7105,804,8668,804,8668,805,8681,805,8681,786,8668,786,8668,785,8681,785,8681,-240,8681,-240,8681,-258xe" filled="true" fillcolor="#23201d" stroked="false">
                  <v:path arrowok="t"/>
                  <v:fill type="solid"/>
                </v:shape>
                <v:shape style="position:absolute;left:8100;top:95;width:235;height:532" type="#_x0000_t75" id="docshape42" stroked="false">
                  <v:imagedata r:id="rId27" o:title=""/>
                </v:shape>
                <v:shape style="position:absolute;left:7450;top:105;width:222;height:532" type="#_x0000_t75" id="docshape43" stroked="false">
                  <v:imagedata r:id="rId28" o:title=""/>
                </v:shape>
                <v:shape style="position:absolute;left:7187;top:114;width:1453;height:513" id="docshape44" coordorigin="7188,115" coordsize="1453,513" path="m7326,366l7188,366,7188,385,7326,385,7326,366xm7340,581l7326,562,7202,609,7215,628,7340,581xm7340,171l7202,115,7188,134,7326,189,7340,171xm8612,357l8460,357,8460,376,8612,376,8612,357xm8612,134l8599,115,8447,143,8460,171,8612,134xm8640,609l8502,571,8488,590,8626,628,8640,609xe" filled="true" fillcolor="#23201d" stroked="false">
                  <v:path arrowok="t"/>
                  <v:fill type="solid"/>
                </v:shape>
                <v:shape style="position:absolute;left:4425;top:-1758;width:1783;height:191" type="#_x0000_t202" id="docshape45" filled="false" stroked="false">
                  <v:textbox inset="0,0,0,0">
                    <w:txbxContent>
                      <w:p>
                        <w:pPr>
                          <w:spacing w:before="0"/>
                          <w:ind w:left="0" w:right="0" w:firstLine="0"/>
                          <w:jc w:val="left"/>
                          <w:rPr>
                            <w:rFonts w:ascii="Arial"/>
                            <w:b/>
                            <w:sz w:val="16"/>
                          </w:rPr>
                        </w:pPr>
                        <w:r>
                          <w:rPr>
                            <w:rFonts w:ascii="Arial"/>
                            <w:b/>
                            <w:color w:val="23201D"/>
                            <w:spacing w:val="-22"/>
                            <w:w w:val="150"/>
                            <w:sz w:val="16"/>
                          </w:rPr>
                          <w:t>Immun</w:t>
                        </w:r>
                        <w:r>
                          <w:rPr>
                            <w:rFonts w:ascii="Arial"/>
                            <w:b/>
                            <w:color w:val="23201D"/>
                            <w:spacing w:val="-28"/>
                            <w:w w:val="150"/>
                            <w:sz w:val="16"/>
                          </w:rPr>
                          <w:t> </w:t>
                        </w:r>
                        <w:r>
                          <w:rPr>
                            <w:rFonts w:ascii="Arial"/>
                            <w:b/>
                            <w:color w:val="23201D"/>
                            <w:spacing w:val="-22"/>
                            <w:w w:val="150"/>
                            <w:sz w:val="16"/>
                          </w:rPr>
                          <w:t>oCom</w:t>
                        </w:r>
                        <w:r>
                          <w:rPr>
                            <w:rFonts w:ascii="Arial"/>
                            <w:b/>
                            <w:color w:val="23201D"/>
                            <w:spacing w:val="-35"/>
                            <w:w w:val="150"/>
                            <w:sz w:val="16"/>
                          </w:rPr>
                          <w:t> </w:t>
                        </w:r>
                        <w:r>
                          <w:rPr>
                            <w:rFonts w:ascii="Arial"/>
                            <w:b/>
                            <w:color w:val="23201D"/>
                            <w:spacing w:val="-22"/>
                            <w:w w:val="150"/>
                            <w:sz w:val="16"/>
                          </w:rPr>
                          <w:t>b</w:t>
                        </w:r>
                        <w:r>
                          <w:rPr>
                            <w:rFonts w:ascii="Arial"/>
                            <w:b/>
                            <w:color w:val="23201D"/>
                            <w:spacing w:val="-22"/>
                            <w:w w:val="150"/>
                            <w:position w:val="8"/>
                            <w:sz w:val="8"/>
                          </w:rPr>
                          <w:t>(R</w:t>
                        </w:r>
                        <w:r>
                          <w:rPr>
                            <w:rFonts w:ascii="Arial"/>
                            <w:b/>
                            <w:color w:val="23201D"/>
                            <w:spacing w:val="7"/>
                            <w:w w:val="150"/>
                            <w:position w:val="8"/>
                            <w:sz w:val="8"/>
                          </w:rPr>
                          <w:t> </w:t>
                        </w:r>
                        <w:r>
                          <w:rPr>
                            <w:rFonts w:ascii="Arial"/>
                            <w:b/>
                            <w:color w:val="23201D"/>
                            <w:spacing w:val="-22"/>
                            <w:w w:val="150"/>
                            <w:position w:val="8"/>
                            <w:sz w:val="8"/>
                          </w:rPr>
                          <w:t>)</w:t>
                        </w:r>
                        <w:r>
                          <w:rPr>
                            <w:rFonts w:ascii="Arial"/>
                            <w:b/>
                            <w:color w:val="23201D"/>
                            <w:spacing w:val="-12"/>
                            <w:w w:val="150"/>
                            <w:position w:val="8"/>
                            <w:sz w:val="8"/>
                          </w:rPr>
                          <w:t> </w:t>
                        </w:r>
                        <w:r>
                          <w:rPr>
                            <w:rFonts w:ascii="Arial"/>
                            <w:b/>
                            <w:color w:val="23201D"/>
                            <w:spacing w:val="-22"/>
                            <w:w w:val="150"/>
                            <w:sz w:val="16"/>
                          </w:rPr>
                          <w:t>II</w:t>
                        </w:r>
                      </w:p>
                    </w:txbxContent>
                  </v:textbox>
                  <w10:wrap type="none"/>
                </v:shape>
                <v:shape style="position:absolute;left:2580;top:-1213;width:665;height:348" type="#_x0000_t202" id="docshape46" filled="false" stroked="false">
                  <v:textbox inset="0,0,0,0">
                    <w:txbxContent>
                      <w:p>
                        <w:pPr>
                          <w:spacing w:line="173" w:lineRule="exact" w:before="0"/>
                          <w:ind w:left="183" w:right="0" w:firstLine="0"/>
                          <w:jc w:val="left"/>
                          <w:rPr>
                            <w:rFonts w:ascii="Arial"/>
                            <w:b/>
                            <w:sz w:val="16"/>
                          </w:rPr>
                        </w:pPr>
                        <w:r>
                          <w:rPr>
                            <w:rFonts w:ascii="Arial"/>
                            <w:b/>
                            <w:color w:val="23201D"/>
                            <w:spacing w:val="-5"/>
                            <w:w w:val="150"/>
                            <w:sz w:val="16"/>
                          </w:rPr>
                          <w:t>34</w:t>
                        </w:r>
                      </w:p>
                      <w:p>
                        <w:pPr>
                          <w:tabs>
                            <w:tab w:pos="509" w:val="left" w:leader="none"/>
                          </w:tabs>
                          <w:spacing w:line="175" w:lineRule="exact" w:before="0"/>
                          <w:ind w:left="0" w:right="0" w:firstLine="0"/>
                          <w:jc w:val="left"/>
                          <w:rPr>
                            <w:rFonts w:ascii="Arial"/>
                            <w:b/>
                            <w:sz w:val="16"/>
                          </w:rPr>
                        </w:pPr>
                        <w:r>
                          <w:rPr>
                            <w:rFonts w:ascii="Arial"/>
                            <w:b/>
                            <w:color w:val="23201D"/>
                            <w:spacing w:val="-10"/>
                            <w:w w:val="150"/>
                            <w:sz w:val="16"/>
                          </w:rPr>
                          <w:t>1</w:t>
                        </w:r>
                        <w:r>
                          <w:rPr>
                            <w:rFonts w:ascii="Arial"/>
                            <w:b/>
                            <w:color w:val="23201D"/>
                            <w:sz w:val="16"/>
                          </w:rPr>
                          <w:tab/>
                        </w:r>
                        <w:r>
                          <w:rPr>
                            <w:rFonts w:ascii="Arial"/>
                            <w:b/>
                            <w:color w:val="23201D"/>
                            <w:spacing w:val="-10"/>
                            <w:w w:val="150"/>
                            <w:sz w:val="16"/>
                          </w:rPr>
                          <w:t>1</w:t>
                        </w:r>
                      </w:p>
                    </w:txbxContent>
                  </v:textbox>
                  <w10:wrap type="none"/>
                </v:shape>
                <v:shape style="position:absolute;left:3537;top:-1220;width:665;height:355" type="#_x0000_t202" id="docshape47" filled="false" stroked="false">
                  <v:textbox inset="0,0,0,0">
                    <w:txbxContent>
                      <w:p>
                        <w:pPr>
                          <w:spacing w:line="171" w:lineRule="exact" w:before="0"/>
                          <w:ind w:left="203" w:right="0" w:firstLine="0"/>
                          <w:jc w:val="left"/>
                          <w:rPr>
                            <w:rFonts w:ascii="Arial"/>
                            <w:b/>
                            <w:sz w:val="16"/>
                          </w:rPr>
                        </w:pPr>
                        <w:r>
                          <w:rPr>
                            <w:rFonts w:ascii="Arial"/>
                            <w:b/>
                            <w:color w:val="23201D"/>
                            <w:spacing w:val="-5"/>
                            <w:w w:val="150"/>
                            <w:sz w:val="16"/>
                          </w:rPr>
                          <w:t>34</w:t>
                        </w:r>
                      </w:p>
                      <w:p>
                        <w:pPr>
                          <w:tabs>
                            <w:tab w:pos="509" w:val="left" w:leader="none"/>
                          </w:tabs>
                          <w:spacing w:line="183" w:lineRule="exact" w:before="0"/>
                          <w:ind w:left="0" w:right="0" w:firstLine="0"/>
                          <w:jc w:val="left"/>
                          <w:rPr>
                            <w:rFonts w:ascii="Arial"/>
                            <w:b/>
                            <w:sz w:val="16"/>
                          </w:rPr>
                        </w:pPr>
                        <w:r>
                          <w:rPr>
                            <w:rFonts w:ascii="Arial"/>
                            <w:b/>
                            <w:color w:val="23201D"/>
                            <w:spacing w:val="-10"/>
                            <w:w w:val="150"/>
                            <w:sz w:val="16"/>
                          </w:rPr>
                          <w:t>2</w:t>
                        </w:r>
                        <w:r>
                          <w:rPr>
                            <w:rFonts w:ascii="Arial"/>
                            <w:b/>
                            <w:color w:val="23201D"/>
                            <w:sz w:val="16"/>
                          </w:rPr>
                          <w:tab/>
                        </w:r>
                        <w:r>
                          <w:rPr>
                            <w:rFonts w:ascii="Arial"/>
                            <w:b/>
                            <w:color w:val="23201D"/>
                            <w:spacing w:val="-10"/>
                            <w:w w:val="150"/>
                            <w:position w:val="1"/>
                            <w:sz w:val="16"/>
                          </w:rPr>
                          <w:t>2</w:t>
                        </w:r>
                      </w:p>
                    </w:txbxContent>
                  </v:textbox>
                  <w10:wrap type="none"/>
                </v:shape>
                <v:shape style="position:absolute;left:4729;top:-1227;width:264;height:183" type="#_x0000_t202" id="docshape48" filled="false" stroked="false">
                  <v:textbox inset="0,0,0,0">
                    <w:txbxContent>
                      <w:p>
                        <w:pPr>
                          <w:spacing w:line="182" w:lineRule="exact" w:before="0"/>
                          <w:ind w:left="0" w:right="0" w:firstLine="0"/>
                          <w:jc w:val="left"/>
                          <w:rPr>
                            <w:rFonts w:ascii="Arial"/>
                            <w:b/>
                            <w:sz w:val="16"/>
                          </w:rPr>
                        </w:pPr>
                        <w:r>
                          <w:rPr>
                            <w:rFonts w:ascii="Arial"/>
                            <w:b/>
                            <w:color w:val="23201D"/>
                            <w:spacing w:val="-8"/>
                            <w:w w:val="150"/>
                            <w:sz w:val="16"/>
                          </w:rPr>
                          <w:t>34</w:t>
                        </w:r>
                      </w:p>
                    </w:txbxContent>
                  </v:textbox>
                  <w10:wrap type="none"/>
                </v:shape>
                <v:shape style="position:absolute;left:5758;top:-1241;width:264;height:183" type="#_x0000_t202" id="docshape49" filled="false" stroked="false">
                  <v:textbox inset="0,0,0,0">
                    <w:txbxContent>
                      <w:p>
                        <w:pPr>
                          <w:spacing w:line="182" w:lineRule="exact" w:before="0"/>
                          <w:ind w:left="0" w:right="0" w:firstLine="0"/>
                          <w:jc w:val="left"/>
                          <w:rPr>
                            <w:rFonts w:ascii="Arial"/>
                            <w:b/>
                            <w:sz w:val="16"/>
                          </w:rPr>
                        </w:pPr>
                        <w:r>
                          <w:rPr>
                            <w:rFonts w:ascii="Arial"/>
                            <w:b/>
                            <w:color w:val="23201D"/>
                            <w:spacing w:val="-8"/>
                            <w:w w:val="150"/>
                            <w:sz w:val="16"/>
                          </w:rPr>
                          <w:t>34</w:t>
                        </w:r>
                      </w:p>
                    </w:txbxContent>
                  </v:textbox>
                  <w10:wrap type="none"/>
                </v:shape>
                <v:shape style="position:absolute;left:6725;top:-1248;width:263;height:183" type="#_x0000_t202" id="docshape50" filled="false" stroked="false">
                  <v:textbox inset="0,0,0,0">
                    <w:txbxContent>
                      <w:p>
                        <w:pPr>
                          <w:spacing w:line="182" w:lineRule="exact" w:before="0"/>
                          <w:ind w:left="0" w:right="0" w:firstLine="0"/>
                          <w:jc w:val="left"/>
                          <w:rPr>
                            <w:rFonts w:ascii="Arial"/>
                            <w:b/>
                            <w:sz w:val="16"/>
                          </w:rPr>
                        </w:pPr>
                        <w:r>
                          <w:rPr>
                            <w:rFonts w:ascii="Arial"/>
                            <w:b/>
                            <w:color w:val="23201D"/>
                            <w:spacing w:val="-8"/>
                            <w:w w:val="150"/>
                            <w:sz w:val="16"/>
                          </w:rPr>
                          <w:t>34</w:t>
                        </w:r>
                      </w:p>
                    </w:txbxContent>
                  </v:textbox>
                  <w10:wrap type="none"/>
                </v:shape>
                <v:shape style="position:absolute;left:4546;top:-1048;width:155;height:183" type="#_x0000_t202" id="docshape51" filled="false" stroked="false">
                  <v:textbox inset="0,0,0,0">
                    <w:txbxContent>
                      <w:p>
                        <w:pPr>
                          <w:spacing w:line="182" w:lineRule="exact" w:before="0"/>
                          <w:ind w:left="0" w:right="0" w:firstLine="0"/>
                          <w:jc w:val="left"/>
                          <w:rPr>
                            <w:rFonts w:ascii="Arial"/>
                            <w:b/>
                            <w:sz w:val="16"/>
                          </w:rPr>
                        </w:pPr>
                        <w:r>
                          <w:rPr>
                            <w:rFonts w:ascii="Arial"/>
                            <w:b/>
                            <w:color w:val="23201D"/>
                            <w:spacing w:val="-10"/>
                            <w:w w:val="150"/>
                            <w:sz w:val="16"/>
                          </w:rPr>
                          <w:t>3</w:t>
                        </w:r>
                      </w:p>
                    </w:txbxContent>
                  </v:textbox>
                  <w10:wrap type="none"/>
                </v:shape>
                <v:shape style="position:absolute;left:5065;top:-1062;width:155;height:183" type="#_x0000_t202" id="docshape52" filled="false" stroked="false">
                  <v:textbox inset="0,0,0,0">
                    <w:txbxContent>
                      <w:p>
                        <w:pPr>
                          <w:spacing w:line="182" w:lineRule="exact" w:before="0"/>
                          <w:ind w:left="0" w:right="0" w:firstLine="0"/>
                          <w:jc w:val="left"/>
                          <w:rPr>
                            <w:rFonts w:ascii="Arial"/>
                            <w:b/>
                            <w:sz w:val="16"/>
                          </w:rPr>
                        </w:pPr>
                        <w:r>
                          <w:rPr>
                            <w:rFonts w:ascii="Arial"/>
                            <w:b/>
                            <w:color w:val="23201D"/>
                            <w:spacing w:val="-10"/>
                            <w:w w:val="150"/>
                            <w:sz w:val="16"/>
                          </w:rPr>
                          <w:t>3</w:t>
                        </w:r>
                      </w:p>
                    </w:txbxContent>
                  </v:textbox>
                  <w10:wrap type="none"/>
                </v:shape>
                <v:shape style="position:absolute;left:5513;top:-1076;width:155;height:183" type="#_x0000_t202" id="docshape53" filled="false" stroked="false">
                  <v:textbox inset="0,0,0,0">
                    <w:txbxContent>
                      <w:p>
                        <w:pPr>
                          <w:spacing w:line="182" w:lineRule="exact" w:before="0"/>
                          <w:ind w:left="0" w:right="0" w:firstLine="0"/>
                          <w:jc w:val="left"/>
                          <w:rPr>
                            <w:rFonts w:ascii="Arial"/>
                            <w:b/>
                            <w:sz w:val="16"/>
                          </w:rPr>
                        </w:pPr>
                        <w:r>
                          <w:rPr>
                            <w:rFonts w:ascii="Arial"/>
                            <w:b/>
                            <w:color w:val="23201D"/>
                            <w:spacing w:val="-10"/>
                            <w:w w:val="150"/>
                            <w:sz w:val="16"/>
                          </w:rPr>
                          <w:t>4</w:t>
                        </w:r>
                      </w:p>
                    </w:txbxContent>
                  </v:textbox>
                  <w10:wrap type="none"/>
                </v:shape>
                <v:shape style="position:absolute;left:6013;top:-1069;width:155;height:183" type="#_x0000_t202" id="docshape54" filled="false" stroked="false">
                  <v:textbox inset="0,0,0,0">
                    <w:txbxContent>
                      <w:p>
                        <w:pPr>
                          <w:spacing w:line="182" w:lineRule="exact" w:before="0"/>
                          <w:ind w:left="0" w:right="0" w:firstLine="0"/>
                          <w:jc w:val="left"/>
                          <w:rPr>
                            <w:rFonts w:ascii="Arial"/>
                            <w:b/>
                            <w:sz w:val="16"/>
                          </w:rPr>
                        </w:pPr>
                        <w:r>
                          <w:rPr>
                            <w:rFonts w:ascii="Arial"/>
                            <w:b/>
                            <w:color w:val="23201D"/>
                            <w:spacing w:val="-10"/>
                            <w:w w:val="150"/>
                            <w:sz w:val="16"/>
                          </w:rPr>
                          <w:t>4</w:t>
                        </w:r>
                      </w:p>
                    </w:txbxContent>
                  </v:textbox>
                  <w10:wrap type="none"/>
                </v:shape>
                <v:shape style="position:absolute;left:6481;top:-1082;width:155;height:183" type="#_x0000_t202" id="docshape55" filled="false" stroked="false">
                  <v:textbox inset="0,0,0,0">
                    <w:txbxContent>
                      <w:p>
                        <w:pPr>
                          <w:spacing w:line="182" w:lineRule="exact" w:before="0"/>
                          <w:ind w:left="0" w:right="0" w:firstLine="0"/>
                          <w:jc w:val="left"/>
                          <w:rPr>
                            <w:rFonts w:ascii="Arial"/>
                            <w:b/>
                            <w:sz w:val="16"/>
                          </w:rPr>
                        </w:pPr>
                        <w:r>
                          <w:rPr>
                            <w:rFonts w:ascii="Arial"/>
                            <w:b/>
                            <w:color w:val="23201D"/>
                            <w:spacing w:val="-10"/>
                            <w:w w:val="150"/>
                            <w:sz w:val="16"/>
                          </w:rPr>
                          <w:t>5</w:t>
                        </w:r>
                      </w:p>
                    </w:txbxContent>
                  </v:textbox>
                  <w10:wrap type="none"/>
                </v:shape>
                <v:shape style="position:absolute;left:7011;top:-1282;width:1123;height:376" type="#_x0000_t202" id="docshape56" filled="false" stroked="false">
                  <v:textbox inset="0,0,0,0">
                    <w:txbxContent>
                      <w:p>
                        <w:pPr>
                          <w:spacing w:line="176" w:lineRule="exact" w:before="0"/>
                          <w:ind w:left="651" w:right="0" w:firstLine="0"/>
                          <w:jc w:val="left"/>
                          <w:rPr>
                            <w:rFonts w:ascii="Arial"/>
                            <w:b/>
                            <w:sz w:val="16"/>
                          </w:rPr>
                        </w:pPr>
                        <w:r>
                          <w:rPr>
                            <w:rFonts w:ascii="Arial"/>
                            <w:b/>
                            <w:color w:val="23201D"/>
                            <w:spacing w:val="-5"/>
                            <w:w w:val="150"/>
                            <w:sz w:val="16"/>
                          </w:rPr>
                          <w:t>34</w:t>
                        </w:r>
                      </w:p>
                      <w:p>
                        <w:pPr>
                          <w:tabs>
                            <w:tab w:pos="488" w:val="left" w:leader="none"/>
                            <w:tab w:pos="967" w:val="left" w:leader="none"/>
                          </w:tabs>
                          <w:spacing w:line="198" w:lineRule="exact" w:before="0"/>
                          <w:ind w:left="0" w:right="0" w:firstLine="0"/>
                          <w:jc w:val="left"/>
                          <w:rPr>
                            <w:rFonts w:ascii="Arial"/>
                            <w:b/>
                            <w:sz w:val="16"/>
                          </w:rPr>
                        </w:pPr>
                        <w:r>
                          <w:rPr>
                            <w:rFonts w:ascii="Arial"/>
                            <w:b/>
                            <w:color w:val="23201D"/>
                            <w:spacing w:val="-10"/>
                            <w:w w:val="150"/>
                            <w:sz w:val="16"/>
                          </w:rPr>
                          <w:t>5</w:t>
                        </w:r>
                        <w:r>
                          <w:rPr>
                            <w:rFonts w:ascii="Arial"/>
                            <w:b/>
                            <w:color w:val="23201D"/>
                            <w:sz w:val="16"/>
                          </w:rPr>
                          <w:tab/>
                        </w:r>
                        <w:r>
                          <w:rPr>
                            <w:rFonts w:ascii="Arial"/>
                            <w:b/>
                            <w:color w:val="23201D"/>
                            <w:spacing w:val="-10"/>
                            <w:w w:val="150"/>
                            <w:position w:val="1"/>
                            <w:sz w:val="16"/>
                          </w:rPr>
                          <w:t>6</w:t>
                        </w:r>
                        <w:r>
                          <w:rPr>
                            <w:rFonts w:ascii="Arial"/>
                            <w:b/>
                            <w:color w:val="23201D"/>
                            <w:position w:val="1"/>
                            <w:sz w:val="16"/>
                          </w:rPr>
                          <w:tab/>
                        </w:r>
                        <w:r>
                          <w:rPr>
                            <w:rFonts w:ascii="Arial"/>
                            <w:b/>
                            <w:color w:val="23201D"/>
                            <w:spacing w:val="-10"/>
                            <w:w w:val="150"/>
                            <w:position w:val="2"/>
                            <w:sz w:val="16"/>
                          </w:rPr>
                          <w:t>6</w:t>
                        </w:r>
                      </w:p>
                    </w:txbxContent>
                  </v:textbox>
                  <w10:wrap type="none"/>
                </v:shape>
                <v:shape style="position:absolute;left:5345;top:78;width:1701;height:659" type="#_x0000_t202" id="docshape57" filled="false" stroked="false">
                  <v:textbox inset="0,0,0,0">
                    <w:txbxContent>
                      <w:p>
                        <w:pPr>
                          <w:spacing w:line="182" w:lineRule="exact" w:before="0"/>
                          <w:ind w:left="0" w:right="56" w:firstLine="0"/>
                          <w:jc w:val="right"/>
                          <w:rPr>
                            <w:rFonts w:ascii="Arial"/>
                            <w:b/>
                            <w:sz w:val="16"/>
                          </w:rPr>
                        </w:pPr>
                        <w:r>
                          <w:rPr>
                            <w:rFonts w:ascii="Arial"/>
                            <w:b/>
                            <w:color w:val="23201D"/>
                            <w:spacing w:val="-14"/>
                            <w:w w:val="150"/>
                            <w:sz w:val="16"/>
                          </w:rPr>
                          <w:t>Inter</w:t>
                        </w:r>
                        <w:r>
                          <w:rPr>
                            <w:rFonts w:ascii="Arial"/>
                            <w:b/>
                            <w:color w:val="23201D"/>
                            <w:spacing w:val="-37"/>
                            <w:w w:val="150"/>
                            <w:sz w:val="16"/>
                          </w:rPr>
                          <w:t> </w:t>
                        </w:r>
                        <w:r>
                          <w:rPr>
                            <w:rFonts w:ascii="Arial"/>
                            <w:b/>
                            <w:color w:val="23201D"/>
                            <w:spacing w:val="-14"/>
                            <w:w w:val="150"/>
                            <w:sz w:val="16"/>
                          </w:rPr>
                          <w:t>nal</w:t>
                        </w:r>
                        <w:r>
                          <w:rPr>
                            <w:rFonts w:ascii="Arial"/>
                            <w:b/>
                            <w:color w:val="23201D"/>
                            <w:spacing w:val="-6"/>
                            <w:w w:val="150"/>
                            <w:sz w:val="16"/>
                          </w:rPr>
                          <w:t> </w:t>
                        </w:r>
                        <w:r>
                          <w:rPr>
                            <w:rFonts w:ascii="Arial"/>
                            <w:b/>
                            <w:color w:val="23201D"/>
                            <w:spacing w:val="-14"/>
                            <w:w w:val="150"/>
                            <w:sz w:val="16"/>
                          </w:rPr>
                          <w:t>Contr</w:t>
                        </w:r>
                        <w:r>
                          <w:rPr>
                            <w:rFonts w:ascii="Arial"/>
                            <w:b/>
                            <w:color w:val="23201D"/>
                            <w:spacing w:val="-37"/>
                            <w:w w:val="150"/>
                            <w:sz w:val="16"/>
                          </w:rPr>
                          <w:t> </w:t>
                        </w:r>
                        <w:r>
                          <w:rPr>
                            <w:rFonts w:ascii="Arial"/>
                            <w:b/>
                            <w:color w:val="23201D"/>
                            <w:spacing w:val="-14"/>
                            <w:w w:val="150"/>
                            <w:sz w:val="16"/>
                          </w:rPr>
                          <w:t>ol</w:t>
                        </w:r>
                      </w:p>
                      <w:p>
                        <w:pPr>
                          <w:spacing w:before="23"/>
                          <w:ind w:left="0" w:right="28" w:firstLine="0"/>
                          <w:jc w:val="right"/>
                          <w:rPr>
                            <w:rFonts w:ascii="Arial"/>
                            <w:b/>
                            <w:sz w:val="16"/>
                          </w:rPr>
                        </w:pPr>
                        <w:r>
                          <w:rPr>
                            <w:rFonts w:ascii="Arial"/>
                            <w:b/>
                            <w:color w:val="23201D"/>
                            <w:spacing w:val="-5"/>
                            <w:w w:val="150"/>
                            <w:sz w:val="16"/>
                          </w:rPr>
                          <w:t>p24</w:t>
                        </w:r>
                      </w:p>
                      <w:p>
                        <w:pPr>
                          <w:spacing w:before="84"/>
                          <w:ind w:left="0" w:right="18" w:firstLine="0"/>
                          <w:jc w:val="right"/>
                          <w:rPr>
                            <w:rFonts w:ascii="Arial"/>
                            <w:b/>
                            <w:sz w:val="16"/>
                          </w:rPr>
                        </w:pPr>
                        <w:r>
                          <w:rPr>
                            <w:rFonts w:ascii="Arial"/>
                            <w:b/>
                            <w:color w:val="23201D"/>
                            <w:spacing w:val="-5"/>
                            <w:w w:val="150"/>
                            <w:sz w:val="16"/>
                          </w:rPr>
                          <w:t>P31</w:t>
                        </w:r>
                      </w:p>
                    </w:txbxContent>
                  </v:textbox>
                  <w10:wrap type="none"/>
                </v:shape>
                <w10:wrap type="none"/>
              </v:group>
            </w:pict>
          </mc:Fallback>
        </mc:AlternateContent>
      </w:r>
      <w:r>
        <w:rPr>
          <w:rFonts w:ascii="Arial"/>
          <w:b/>
          <w:color w:val="23201D"/>
          <w:spacing w:val="-14"/>
          <w:w w:val="150"/>
          <w:sz w:val="16"/>
        </w:rPr>
        <w:t>gp</w:t>
      </w:r>
      <w:r>
        <w:rPr>
          <w:rFonts w:ascii="Arial"/>
          <w:b/>
          <w:color w:val="23201D"/>
          <w:spacing w:val="-30"/>
          <w:w w:val="150"/>
          <w:sz w:val="16"/>
        </w:rPr>
        <w:t> </w:t>
      </w:r>
      <w:r>
        <w:rPr>
          <w:rFonts w:ascii="Arial"/>
          <w:b/>
          <w:color w:val="23201D"/>
          <w:spacing w:val="-5"/>
          <w:w w:val="150"/>
          <w:sz w:val="16"/>
        </w:rPr>
        <w:t>120</w:t>
      </w:r>
    </w:p>
    <w:p>
      <w:pPr>
        <w:spacing w:before="61"/>
        <w:ind w:left="7823" w:right="0" w:firstLine="0"/>
        <w:jc w:val="left"/>
        <w:rPr>
          <w:rFonts w:ascii="Arial"/>
          <w:b/>
          <w:sz w:val="16"/>
        </w:rPr>
      </w:pPr>
      <w:r>
        <w:rPr>
          <w:rFonts w:ascii="Arial"/>
          <w:b/>
          <w:color w:val="23201D"/>
          <w:spacing w:val="-14"/>
          <w:w w:val="150"/>
          <w:sz w:val="16"/>
        </w:rPr>
        <w:t>gp</w:t>
      </w:r>
      <w:r>
        <w:rPr>
          <w:rFonts w:ascii="Arial"/>
          <w:b/>
          <w:color w:val="23201D"/>
          <w:spacing w:val="-30"/>
          <w:w w:val="150"/>
          <w:sz w:val="16"/>
        </w:rPr>
        <w:t> </w:t>
      </w:r>
      <w:r>
        <w:rPr>
          <w:rFonts w:ascii="Arial"/>
          <w:b/>
          <w:color w:val="23201D"/>
          <w:spacing w:val="-5"/>
          <w:w w:val="150"/>
          <w:sz w:val="16"/>
        </w:rPr>
        <w:t>41</w:t>
      </w:r>
    </w:p>
    <w:p>
      <w:pPr>
        <w:spacing w:before="20"/>
        <w:ind w:left="7823" w:right="0" w:firstLine="0"/>
        <w:jc w:val="left"/>
        <w:rPr>
          <w:rFonts w:ascii="Arial"/>
          <w:b/>
          <w:sz w:val="16"/>
        </w:rPr>
      </w:pPr>
      <w:r>
        <w:rPr/>
        <mc:AlternateContent>
          <mc:Choice Requires="wps">
            <w:drawing>
              <wp:anchor distT="0" distB="0" distL="0" distR="0" allowOverlap="1" layoutInCell="1" locked="0" behindDoc="0" simplePos="0" relativeHeight="15741952">
                <wp:simplePos x="0" y="0"/>
                <wp:positionH relativeFrom="page">
                  <wp:posOffset>1824037</wp:posOffset>
                </wp:positionH>
                <wp:positionV relativeFrom="paragraph">
                  <wp:posOffset>368159</wp:posOffset>
                </wp:positionV>
                <wp:extent cx="3759200" cy="155130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3759200" cy="1551305"/>
                        </a:xfrm>
                        <a:custGeom>
                          <a:avLst/>
                          <a:gdLst/>
                          <a:ahLst/>
                          <a:cxnLst/>
                          <a:rect l="l" t="t" r="r" b="b"/>
                          <a:pathLst>
                            <a:path w="3759200" h="1551305">
                              <a:moveTo>
                                <a:pt x="193243" y="615670"/>
                              </a:moveTo>
                              <a:lnTo>
                                <a:pt x="184480" y="615670"/>
                              </a:lnTo>
                              <a:lnTo>
                                <a:pt x="184480" y="621614"/>
                              </a:lnTo>
                              <a:lnTo>
                                <a:pt x="193243" y="618642"/>
                              </a:lnTo>
                              <a:lnTo>
                                <a:pt x="193243" y="615670"/>
                              </a:lnTo>
                              <a:close/>
                            </a:path>
                            <a:path w="3759200" h="1551305">
                              <a:moveTo>
                                <a:pt x="3539502" y="443928"/>
                              </a:moveTo>
                              <a:lnTo>
                                <a:pt x="3530701" y="438048"/>
                              </a:lnTo>
                              <a:lnTo>
                                <a:pt x="3521900" y="443928"/>
                              </a:lnTo>
                              <a:lnTo>
                                <a:pt x="3521900" y="441007"/>
                              </a:lnTo>
                              <a:lnTo>
                                <a:pt x="3530701" y="438048"/>
                              </a:lnTo>
                              <a:lnTo>
                                <a:pt x="3523081" y="432117"/>
                              </a:lnTo>
                              <a:lnTo>
                                <a:pt x="3502837" y="416344"/>
                              </a:lnTo>
                              <a:lnTo>
                                <a:pt x="3502837" y="435864"/>
                              </a:lnTo>
                              <a:lnTo>
                                <a:pt x="3094507" y="516153"/>
                              </a:lnTo>
                              <a:lnTo>
                                <a:pt x="3074276" y="499846"/>
                              </a:lnTo>
                              <a:lnTo>
                                <a:pt x="3074276" y="520128"/>
                              </a:lnTo>
                              <a:lnTo>
                                <a:pt x="573684" y="1011809"/>
                              </a:lnTo>
                              <a:lnTo>
                                <a:pt x="213093" y="627481"/>
                              </a:lnTo>
                              <a:lnTo>
                                <a:pt x="211455" y="625754"/>
                              </a:lnTo>
                              <a:lnTo>
                                <a:pt x="266382" y="615670"/>
                              </a:lnTo>
                              <a:lnTo>
                                <a:pt x="2417597" y="221018"/>
                              </a:lnTo>
                              <a:lnTo>
                                <a:pt x="2766530" y="526859"/>
                              </a:lnTo>
                              <a:lnTo>
                                <a:pt x="2784233" y="515048"/>
                              </a:lnTo>
                              <a:lnTo>
                                <a:pt x="2437688" y="217335"/>
                              </a:lnTo>
                              <a:lnTo>
                                <a:pt x="2650490" y="178308"/>
                              </a:lnTo>
                              <a:lnTo>
                                <a:pt x="3074276" y="520128"/>
                              </a:lnTo>
                              <a:lnTo>
                                <a:pt x="3074276" y="499846"/>
                              </a:lnTo>
                              <a:lnTo>
                                <a:pt x="2670772" y="174586"/>
                              </a:lnTo>
                              <a:lnTo>
                                <a:pt x="2900629" y="132410"/>
                              </a:lnTo>
                              <a:lnTo>
                                <a:pt x="2889669" y="136118"/>
                              </a:lnTo>
                              <a:lnTo>
                                <a:pt x="3232086" y="432117"/>
                              </a:lnTo>
                              <a:lnTo>
                                <a:pt x="3249599" y="426173"/>
                              </a:lnTo>
                              <a:lnTo>
                                <a:pt x="2908135" y="131025"/>
                              </a:lnTo>
                              <a:lnTo>
                                <a:pt x="3072955" y="100787"/>
                              </a:lnTo>
                              <a:lnTo>
                                <a:pt x="3502837" y="435864"/>
                              </a:lnTo>
                              <a:lnTo>
                                <a:pt x="3502837" y="416344"/>
                              </a:lnTo>
                              <a:lnTo>
                                <a:pt x="3082633" y="88811"/>
                              </a:lnTo>
                              <a:lnTo>
                                <a:pt x="3073831" y="82880"/>
                              </a:lnTo>
                              <a:lnTo>
                                <a:pt x="3073831" y="88811"/>
                              </a:lnTo>
                              <a:lnTo>
                                <a:pt x="2658592" y="164757"/>
                              </a:lnTo>
                              <a:lnTo>
                                <a:pt x="2652382" y="159740"/>
                              </a:lnTo>
                              <a:lnTo>
                                <a:pt x="2634780" y="165620"/>
                              </a:lnTo>
                              <a:lnTo>
                                <a:pt x="2638298" y="168478"/>
                              </a:lnTo>
                              <a:lnTo>
                                <a:pt x="193243" y="615670"/>
                              </a:lnTo>
                              <a:lnTo>
                                <a:pt x="195008" y="618045"/>
                              </a:lnTo>
                              <a:lnTo>
                                <a:pt x="193243" y="618642"/>
                              </a:lnTo>
                              <a:lnTo>
                                <a:pt x="195440" y="618642"/>
                              </a:lnTo>
                              <a:lnTo>
                                <a:pt x="197650" y="621614"/>
                              </a:lnTo>
                              <a:lnTo>
                                <a:pt x="193243" y="621614"/>
                              </a:lnTo>
                              <a:lnTo>
                                <a:pt x="184480" y="621614"/>
                              </a:lnTo>
                              <a:lnTo>
                                <a:pt x="562203" y="1024178"/>
                              </a:lnTo>
                              <a:lnTo>
                                <a:pt x="570966" y="1030084"/>
                              </a:lnTo>
                              <a:lnTo>
                                <a:pt x="3521900" y="449859"/>
                              </a:lnTo>
                              <a:lnTo>
                                <a:pt x="3539502" y="443928"/>
                              </a:lnTo>
                              <a:close/>
                            </a:path>
                            <a:path w="3759200" h="1551305">
                              <a:moveTo>
                                <a:pt x="3758984" y="479552"/>
                              </a:moveTo>
                              <a:lnTo>
                                <a:pt x="3753218" y="483489"/>
                              </a:lnTo>
                              <a:lnTo>
                                <a:pt x="3758984" y="479552"/>
                              </a:lnTo>
                              <a:lnTo>
                                <a:pt x="3741255" y="464896"/>
                              </a:lnTo>
                              <a:lnTo>
                                <a:pt x="3741255" y="494855"/>
                              </a:lnTo>
                              <a:lnTo>
                                <a:pt x="3732758" y="877849"/>
                              </a:lnTo>
                              <a:lnTo>
                                <a:pt x="516420" y="1524850"/>
                              </a:lnTo>
                              <a:lnTo>
                                <a:pt x="483450" y="1134859"/>
                              </a:lnTo>
                              <a:lnTo>
                                <a:pt x="3741255" y="494855"/>
                              </a:lnTo>
                              <a:lnTo>
                                <a:pt x="3741255" y="464896"/>
                              </a:lnTo>
                              <a:lnTo>
                                <a:pt x="3731603" y="456907"/>
                              </a:lnTo>
                              <a:lnTo>
                                <a:pt x="3731603" y="483095"/>
                              </a:lnTo>
                              <a:lnTo>
                                <a:pt x="480618" y="1121867"/>
                              </a:lnTo>
                              <a:lnTo>
                                <a:pt x="26530" y="580047"/>
                              </a:lnTo>
                              <a:lnTo>
                                <a:pt x="26403" y="580097"/>
                              </a:lnTo>
                              <a:lnTo>
                                <a:pt x="26454" y="578485"/>
                              </a:lnTo>
                              <a:lnTo>
                                <a:pt x="50812" y="574103"/>
                              </a:lnTo>
                              <a:lnTo>
                                <a:pt x="3172015" y="13119"/>
                              </a:lnTo>
                              <a:lnTo>
                                <a:pt x="3731603" y="483095"/>
                              </a:lnTo>
                              <a:lnTo>
                                <a:pt x="3731603" y="456907"/>
                              </a:lnTo>
                              <a:lnTo>
                                <a:pt x="3179267" y="0"/>
                              </a:lnTo>
                              <a:lnTo>
                                <a:pt x="3174873" y="5905"/>
                              </a:lnTo>
                              <a:lnTo>
                                <a:pt x="3173387" y="3924"/>
                              </a:lnTo>
                              <a:lnTo>
                                <a:pt x="3179267" y="0"/>
                              </a:lnTo>
                              <a:lnTo>
                                <a:pt x="3170466" y="0"/>
                              </a:lnTo>
                              <a:lnTo>
                                <a:pt x="17767" y="568236"/>
                              </a:lnTo>
                              <a:lnTo>
                                <a:pt x="8763" y="568236"/>
                              </a:lnTo>
                              <a:lnTo>
                                <a:pt x="8648" y="580047"/>
                              </a:lnTo>
                              <a:lnTo>
                                <a:pt x="0" y="1036002"/>
                              </a:lnTo>
                              <a:lnTo>
                                <a:pt x="0" y="1041895"/>
                              </a:lnTo>
                              <a:lnTo>
                                <a:pt x="8763" y="1036002"/>
                              </a:lnTo>
                              <a:lnTo>
                                <a:pt x="17767" y="1036002"/>
                              </a:lnTo>
                              <a:lnTo>
                                <a:pt x="25908" y="606437"/>
                              </a:lnTo>
                              <a:lnTo>
                                <a:pt x="465582" y="1130731"/>
                              </a:lnTo>
                              <a:lnTo>
                                <a:pt x="469087" y="1129550"/>
                              </a:lnTo>
                              <a:lnTo>
                                <a:pt x="469963" y="1130731"/>
                              </a:lnTo>
                              <a:lnTo>
                                <a:pt x="465582" y="1130731"/>
                              </a:lnTo>
                              <a:lnTo>
                                <a:pt x="490905" y="1529981"/>
                              </a:lnTo>
                              <a:lnTo>
                                <a:pt x="477126" y="1532750"/>
                              </a:lnTo>
                              <a:lnTo>
                                <a:pt x="17767" y="1036002"/>
                              </a:lnTo>
                              <a:lnTo>
                                <a:pt x="0" y="1041895"/>
                              </a:lnTo>
                              <a:lnTo>
                                <a:pt x="465582" y="1545132"/>
                              </a:lnTo>
                              <a:lnTo>
                                <a:pt x="474345" y="1551038"/>
                              </a:lnTo>
                              <a:lnTo>
                                <a:pt x="483108" y="1551038"/>
                              </a:lnTo>
                              <a:lnTo>
                                <a:pt x="476097" y="1541589"/>
                              </a:lnTo>
                              <a:lnTo>
                                <a:pt x="478104" y="1540916"/>
                              </a:lnTo>
                              <a:lnTo>
                                <a:pt x="483108" y="1551038"/>
                              </a:lnTo>
                              <a:lnTo>
                                <a:pt x="512191" y="1545132"/>
                              </a:lnTo>
                              <a:lnTo>
                                <a:pt x="518147" y="1545132"/>
                              </a:lnTo>
                              <a:lnTo>
                                <a:pt x="518045" y="1543951"/>
                              </a:lnTo>
                              <a:lnTo>
                                <a:pt x="3750272" y="887907"/>
                              </a:lnTo>
                              <a:lnTo>
                                <a:pt x="3750360" y="877849"/>
                              </a:lnTo>
                              <a:lnTo>
                                <a:pt x="3750399" y="876096"/>
                              </a:lnTo>
                              <a:lnTo>
                                <a:pt x="3758844" y="491388"/>
                              </a:lnTo>
                              <a:lnTo>
                                <a:pt x="3758984" y="491363"/>
                              </a:lnTo>
                              <a:lnTo>
                                <a:pt x="3758857" y="491197"/>
                              </a:lnTo>
                              <a:lnTo>
                                <a:pt x="3758984" y="479552"/>
                              </a:lnTo>
                              <a:close/>
                            </a:path>
                          </a:pathLst>
                        </a:custGeom>
                        <a:solidFill>
                          <a:srgbClr val="23201D"/>
                        </a:solidFill>
                      </wps:spPr>
                      <wps:bodyPr wrap="square" lIns="0" tIns="0" rIns="0" bIns="0" rtlCol="0">
                        <a:prstTxWarp prst="textNoShape">
                          <a:avLst/>
                        </a:prstTxWarp>
                        <a:noAutofit/>
                      </wps:bodyPr>
                    </wps:wsp>
                  </a:graphicData>
                </a:graphic>
              </wp:anchor>
            </w:drawing>
          </mc:Choice>
          <mc:Fallback>
            <w:pict>
              <v:shape style="position:absolute;margin-left:143.625pt;margin-top:28.988907pt;width:296pt;height:122.15pt;mso-position-horizontal-relative:page;mso-position-vertical-relative:paragraph;z-index:15741952" id="docshape58" coordorigin="2873,580" coordsize="5920,2443" path="m3177,1549l3163,1549,3163,1559,3177,1554,3177,1549xm8447,1279l8433,1270,8419,1279,8419,1274,8433,1270,8421,1260,8389,1235,8389,1266,7746,1393,7714,1367,7714,1399,3776,2173,3208,1568,3206,1565,3292,1549,6680,928,7229,1409,7257,1391,6711,922,7047,861,7714,1399,7714,1367,7078,855,7440,788,7423,794,7962,1260,7990,1251,7452,786,7712,738,8389,1266,8389,1235,7727,720,7713,710,7713,720,7059,839,7049,831,7022,841,7027,845,3177,1549,3180,1553,3177,1554,3180,1554,3184,1559,3177,1559,3163,1559,3758,2193,3772,2202,8419,1288,8447,1279xm8792,1335l8783,1341,8783,1341,8792,1335,8764,1312,8764,1359,8751,1962,3686,2981,3634,2367,8764,1359,8764,1312,8749,1299,8749,1341,3629,2346,2914,1493,2914,1493,2914,1493,2914,1491,2953,1484,7868,600,8749,1341,8749,1299,7879,580,7872,589,7872,589,7870,586,7879,580,7865,580,2900,1475,2886,1475,2886,1493,2873,2211,2873,2221,2886,2211,2900,2211,2913,1535,3606,2360,3611,2359,3613,2360,3606,2360,3646,2989,3624,2994,2900,2211,2873,2221,3606,3013,3620,3022,3633,3022,3622,3007,3625,3006,3633,3022,3679,3013,3688,3013,3688,3011,8778,1978,8779,1962,8779,1959,8792,1354,8792,1354,8792,1353,8792,1335xe" filled="true" fillcolor="#23201d" stroked="false">
                <v:path arrowok="t"/>
                <v:fill type="soli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1989780</wp:posOffset>
                </wp:positionH>
                <wp:positionV relativeFrom="paragraph">
                  <wp:posOffset>464965</wp:posOffset>
                </wp:positionV>
                <wp:extent cx="3295015" cy="86233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3295015" cy="862330"/>
                        </a:xfrm>
                        <a:prstGeom prst="rect">
                          <a:avLst/>
                        </a:prstGeom>
                      </wps:spPr>
                      <wps:txbx>
                        <w:txbxContent>
                          <w:p>
                            <w:pPr>
                              <w:spacing w:line="194" w:lineRule="exact" w:before="0"/>
                              <w:ind w:left="0" w:right="0" w:firstLine="0"/>
                              <w:jc w:val="left"/>
                              <w:rPr>
                                <w:rFonts w:ascii="Arial"/>
                                <w:b/>
                                <w:sz w:val="17"/>
                              </w:rPr>
                            </w:pPr>
                            <w:r>
                              <w:rPr>
                                <w:rFonts w:ascii="Arial"/>
                                <w:b/>
                                <w:color w:val="23201D"/>
                                <w:w w:val="150"/>
                                <w:sz w:val="17"/>
                              </w:rPr>
                              <w:t>DEVELOPING</w:t>
                            </w:r>
                            <w:r>
                              <w:rPr>
                                <w:rFonts w:ascii="Arial"/>
                                <w:b/>
                                <w:color w:val="23201D"/>
                                <w:spacing w:val="50"/>
                                <w:w w:val="150"/>
                                <w:sz w:val="17"/>
                              </w:rPr>
                              <w:t> </w:t>
                            </w:r>
                            <w:r>
                              <w:rPr>
                                <w:rFonts w:ascii="Arial"/>
                                <w:b/>
                                <w:color w:val="23201D"/>
                                <w:spacing w:val="-2"/>
                                <w:w w:val="150"/>
                                <w:sz w:val="17"/>
                              </w:rPr>
                              <w:t>PLATE</w:t>
                            </w:r>
                          </w:p>
                        </w:txbxContent>
                      </wps:txbx>
                      <wps:bodyPr wrap="square" lIns="0" tIns="0" rIns="0" bIns="0" rtlCol="0">
                        <a:noAutofit/>
                      </wps:bodyPr>
                    </wps:wsp>
                  </a:graphicData>
                </a:graphic>
              </wp:anchor>
            </w:drawing>
          </mc:Choice>
          <mc:Fallback>
            <w:pict>
              <v:shape style="position:absolute;margin-left:156.675598pt;margin-top:36.611443pt;width:259.45pt;height:67.9pt;mso-position-horizontal-relative:page;mso-position-vertical-relative:paragraph;z-index:15742464" type="#_x0000_t202" id="docshape59" filled="false" stroked="false">
                <v:textbox inset="0,0,0,0">
                  <w:txbxContent>
                    <w:p>
                      <w:pPr>
                        <w:spacing w:line="194" w:lineRule="exact" w:before="0"/>
                        <w:ind w:left="0" w:right="0" w:firstLine="0"/>
                        <w:jc w:val="left"/>
                        <w:rPr>
                          <w:rFonts w:ascii="Arial"/>
                          <w:b/>
                          <w:sz w:val="17"/>
                        </w:rPr>
                      </w:pPr>
                      <w:r>
                        <w:rPr>
                          <w:rFonts w:ascii="Arial"/>
                          <w:b/>
                          <w:color w:val="23201D"/>
                          <w:w w:val="150"/>
                          <w:sz w:val="17"/>
                        </w:rPr>
                        <w:t>DEVELOPING</w:t>
                      </w:r>
                      <w:r>
                        <w:rPr>
                          <w:rFonts w:ascii="Arial"/>
                          <w:b/>
                          <w:color w:val="23201D"/>
                          <w:spacing w:val="50"/>
                          <w:w w:val="150"/>
                          <w:sz w:val="17"/>
                        </w:rPr>
                        <w:t> </w:t>
                      </w:r>
                      <w:r>
                        <w:rPr>
                          <w:rFonts w:ascii="Arial"/>
                          <w:b/>
                          <w:color w:val="23201D"/>
                          <w:spacing w:val="-2"/>
                          <w:w w:val="150"/>
                          <w:sz w:val="17"/>
                        </w:rPr>
                        <w:t>PLATE</w:t>
                      </w:r>
                    </w:p>
                  </w:txbxContent>
                </v:textbox>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1970161</wp:posOffset>
                </wp:positionH>
                <wp:positionV relativeFrom="paragraph">
                  <wp:posOffset>990131</wp:posOffset>
                </wp:positionV>
                <wp:extent cx="60325" cy="104139"/>
                <wp:effectExtent l="0" t="0" r="0" b="0"/>
                <wp:wrapNone/>
                <wp:docPr id="77" name="Textbox 77"/>
                <wp:cNvGraphicFramePr>
                  <a:graphicFrameLocks/>
                </wp:cNvGraphicFramePr>
                <a:graphic>
                  <a:graphicData uri="http://schemas.microsoft.com/office/word/2010/wordprocessingShape">
                    <wps:wsp>
                      <wps:cNvPr id="77" name="Textbox 77"/>
                      <wps:cNvSpPr txBox="1"/>
                      <wps:spPr>
                        <a:xfrm rot="20280000">
                          <a:off x="0" y="0"/>
                          <a:ext cx="60325" cy="104139"/>
                        </a:xfrm>
                        <a:prstGeom prst="rect">
                          <a:avLst/>
                        </a:prstGeom>
                      </wps:spPr>
                      <wps:txbx>
                        <w:txbxContent>
                          <w:p>
                            <w:pPr>
                              <w:spacing w:line="164" w:lineRule="exact" w:before="0"/>
                              <w:ind w:left="0" w:right="0" w:firstLine="0"/>
                              <w:jc w:val="left"/>
                              <w:rPr>
                                <w:rFonts w:ascii="Trebuchet MS"/>
                                <w:b/>
                                <w:sz w:val="16"/>
                              </w:rPr>
                            </w:pPr>
                            <w:r>
                              <w:rPr>
                                <w:rFonts w:ascii="Trebuchet MS"/>
                                <w:b/>
                                <w:color w:val="23201D"/>
                                <w:spacing w:val="-10"/>
                                <w:sz w:val="16"/>
                              </w:rPr>
                              <w:t>F</w:t>
                            </w:r>
                          </w:p>
                        </w:txbxContent>
                      </wps:txbx>
                      <wps:bodyPr wrap="square" lIns="0" tIns="0" rIns="0" bIns="0" rtlCol="0">
                        <a:noAutofit/>
                      </wps:bodyPr>
                    </wps:wsp>
                  </a:graphicData>
                </a:graphic>
              </wp:anchor>
            </w:drawing>
          </mc:Choice>
          <mc:Fallback>
            <w:pict>
              <v:shape style="position:absolute;margin-left:155.130859pt;margin-top:77.963127pt;width:4.75pt;height:8.2pt;mso-position-horizontal-relative:page;mso-position-vertical-relative:paragraph;z-index:15742976;rotation:338" type="#_x0000_t136" fillcolor="#23201d" stroked="f">
                <o:extrusion v:ext="view" autorotationcenter="t"/>
                <v:textpath style="font-family:&quot;Trebuchet MS&quot;;font-size:8pt;v-text-kern:t;mso-text-shadow:auto;font-weight:bold" string="F"/>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2031894</wp:posOffset>
                </wp:positionH>
                <wp:positionV relativeFrom="paragraph">
                  <wp:posOffset>1056880</wp:posOffset>
                </wp:positionV>
                <wp:extent cx="62865" cy="104139"/>
                <wp:effectExtent l="0" t="0" r="0" b="0"/>
                <wp:wrapNone/>
                <wp:docPr id="78" name="Textbox 78"/>
                <wp:cNvGraphicFramePr>
                  <a:graphicFrameLocks/>
                </wp:cNvGraphicFramePr>
                <a:graphic>
                  <a:graphicData uri="http://schemas.microsoft.com/office/word/2010/wordprocessingShape">
                    <wps:wsp>
                      <wps:cNvPr id="78" name="Textbox 78"/>
                      <wps:cNvSpPr txBox="1"/>
                      <wps:spPr>
                        <a:xfrm rot="20280000">
                          <a:off x="0" y="0"/>
                          <a:ext cx="62865" cy="104139"/>
                        </a:xfrm>
                        <a:prstGeom prst="rect">
                          <a:avLst/>
                        </a:prstGeom>
                      </wps:spPr>
                      <wps:txbx>
                        <w:txbxContent>
                          <w:p>
                            <w:pPr>
                              <w:spacing w:line="164" w:lineRule="exact" w:before="0"/>
                              <w:ind w:left="0" w:right="0" w:firstLine="0"/>
                              <w:jc w:val="left"/>
                              <w:rPr>
                                <w:rFonts w:ascii="Trebuchet MS"/>
                                <w:b/>
                                <w:sz w:val="16"/>
                              </w:rPr>
                            </w:pPr>
                            <w:r>
                              <w:rPr>
                                <w:rFonts w:ascii="Trebuchet MS"/>
                                <w:b/>
                                <w:color w:val="23201D"/>
                                <w:spacing w:val="-10"/>
                                <w:w w:val="105"/>
                                <w:sz w:val="16"/>
                              </w:rPr>
                              <w:t>E</w:t>
                            </w:r>
                          </w:p>
                        </w:txbxContent>
                      </wps:txbx>
                      <wps:bodyPr wrap="square" lIns="0" tIns="0" rIns="0" bIns="0" rtlCol="0">
                        <a:noAutofit/>
                      </wps:bodyPr>
                    </wps:wsp>
                  </a:graphicData>
                </a:graphic>
              </wp:anchor>
            </w:drawing>
          </mc:Choice>
          <mc:Fallback>
            <w:pict>
              <v:shape style="position:absolute;margin-left:159.991669pt;margin-top:83.218918pt;width:4.95pt;height:8.2pt;mso-position-horizontal-relative:page;mso-position-vertical-relative:paragraph;z-index:15743488;rotation:338" type="#_x0000_t136" fillcolor="#23201d" stroked="f">
                <o:extrusion v:ext="view" autorotationcenter="t"/>
                <v:textpath style="font-family:&quot;Trebuchet MS&quot;;font-size:8pt;v-text-kern:t;mso-text-shadow:auto;font-weight:bold" string="E"/>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2070443</wp:posOffset>
                </wp:positionH>
                <wp:positionV relativeFrom="paragraph">
                  <wp:posOffset>1122643</wp:posOffset>
                </wp:positionV>
                <wp:extent cx="85725" cy="104139"/>
                <wp:effectExtent l="0" t="0" r="0" b="0"/>
                <wp:wrapNone/>
                <wp:docPr id="79" name="Textbox 79"/>
                <wp:cNvGraphicFramePr>
                  <a:graphicFrameLocks/>
                </wp:cNvGraphicFramePr>
                <a:graphic>
                  <a:graphicData uri="http://schemas.microsoft.com/office/word/2010/wordprocessingShape">
                    <wps:wsp>
                      <wps:cNvPr id="79" name="Textbox 79"/>
                      <wps:cNvSpPr txBox="1"/>
                      <wps:spPr>
                        <a:xfrm rot="20280000">
                          <a:off x="0" y="0"/>
                          <a:ext cx="85725" cy="104139"/>
                        </a:xfrm>
                        <a:prstGeom prst="rect">
                          <a:avLst/>
                        </a:prstGeom>
                      </wps:spPr>
                      <wps:txbx>
                        <w:txbxContent>
                          <w:p>
                            <w:pPr>
                              <w:spacing w:line="164" w:lineRule="exact" w:before="0"/>
                              <w:ind w:left="0" w:right="0" w:firstLine="0"/>
                              <w:jc w:val="left"/>
                              <w:rPr>
                                <w:rFonts w:ascii="Trebuchet MS"/>
                                <w:b/>
                                <w:sz w:val="16"/>
                              </w:rPr>
                            </w:pPr>
                            <w:r>
                              <w:rPr>
                                <w:rFonts w:ascii="Trebuchet MS"/>
                                <w:b/>
                                <w:color w:val="23201D"/>
                                <w:spacing w:val="-10"/>
                                <w:w w:val="130"/>
                                <w:sz w:val="16"/>
                              </w:rPr>
                              <w:t>D</w:t>
                            </w:r>
                          </w:p>
                        </w:txbxContent>
                      </wps:txbx>
                      <wps:bodyPr wrap="square" lIns="0" tIns="0" rIns="0" bIns="0" rtlCol="0">
                        <a:noAutofit/>
                      </wps:bodyPr>
                    </wps:wsp>
                  </a:graphicData>
                </a:graphic>
              </wp:anchor>
            </w:drawing>
          </mc:Choice>
          <mc:Fallback>
            <w:pict>
              <v:shape style="position:absolute;margin-left:163.027039pt;margin-top:88.397095pt;width:6.75pt;height:8.2pt;mso-position-horizontal-relative:page;mso-position-vertical-relative:paragraph;z-index:15744000;rotation:338" type="#_x0000_t136" fillcolor="#23201d" stroked="f">
                <o:extrusion v:ext="view" autorotationcenter="t"/>
                <v:textpath style="font-family:&quot;Trebuchet MS&quot;;font-size:8pt;v-text-kern:t;mso-text-shadow:auto;font-weight:bold" string="D"/>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2127573</wp:posOffset>
                </wp:positionH>
                <wp:positionV relativeFrom="paragraph">
                  <wp:posOffset>1191007</wp:posOffset>
                </wp:positionV>
                <wp:extent cx="93980" cy="104139"/>
                <wp:effectExtent l="0" t="0" r="0" b="0"/>
                <wp:wrapNone/>
                <wp:docPr id="80" name="Textbox 80"/>
                <wp:cNvGraphicFramePr>
                  <a:graphicFrameLocks/>
                </wp:cNvGraphicFramePr>
                <a:graphic>
                  <a:graphicData uri="http://schemas.microsoft.com/office/word/2010/wordprocessingShape">
                    <wps:wsp>
                      <wps:cNvPr id="80" name="Textbox 80"/>
                      <wps:cNvSpPr txBox="1"/>
                      <wps:spPr>
                        <a:xfrm rot="20280000">
                          <a:off x="0" y="0"/>
                          <a:ext cx="93980" cy="104139"/>
                        </a:xfrm>
                        <a:prstGeom prst="rect">
                          <a:avLst/>
                        </a:prstGeom>
                      </wps:spPr>
                      <wps:txbx>
                        <w:txbxContent>
                          <w:p>
                            <w:pPr>
                              <w:spacing w:line="164" w:lineRule="exact" w:before="0"/>
                              <w:ind w:left="0" w:right="0" w:firstLine="0"/>
                              <w:jc w:val="left"/>
                              <w:rPr>
                                <w:rFonts w:ascii="Trebuchet MS"/>
                                <w:b/>
                                <w:sz w:val="16"/>
                              </w:rPr>
                            </w:pPr>
                            <w:r>
                              <w:rPr>
                                <w:rFonts w:ascii="Trebuchet MS"/>
                                <w:b/>
                                <w:color w:val="23201D"/>
                                <w:spacing w:val="-10"/>
                                <w:w w:val="150"/>
                                <w:sz w:val="16"/>
                              </w:rPr>
                              <w:t>C</w:t>
                            </w:r>
                          </w:p>
                        </w:txbxContent>
                      </wps:txbx>
                      <wps:bodyPr wrap="square" lIns="0" tIns="0" rIns="0" bIns="0" rtlCol="0">
                        <a:noAutofit/>
                      </wps:bodyPr>
                    </wps:wsp>
                  </a:graphicData>
                </a:graphic>
              </wp:anchor>
            </w:drawing>
          </mc:Choice>
          <mc:Fallback>
            <w:pict>
              <v:shape style="position:absolute;margin-left:167.525482pt;margin-top:93.780083pt;width:7.4pt;height:8.2pt;mso-position-horizontal-relative:page;mso-position-vertical-relative:paragraph;z-index:15744512;rotation:338" type="#_x0000_t136" fillcolor="#23201d" stroked="f">
                <o:extrusion v:ext="view" autorotationcenter="t"/>
                <v:textpath style="font-family:&quot;Trebuchet MS&quot;;font-size:8pt;v-text-kern:t;mso-text-shadow:auto;font-weight:bold" string="C"/>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2197809</wp:posOffset>
                </wp:positionH>
                <wp:positionV relativeFrom="paragraph">
                  <wp:posOffset>1266680</wp:posOffset>
                </wp:positionV>
                <wp:extent cx="64769" cy="104139"/>
                <wp:effectExtent l="0" t="0" r="0" b="0"/>
                <wp:wrapNone/>
                <wp:docPr id="81" name="Textbox 81"/>
                <wp:cNvGraphicFramePr>
                  <a:graphicFrameLocks/>
                </wp:cNvGraphicFramePr>
                <a:graphic>
                  <a:graphicData uri="http://schemas.microsoft.com/office/word/2010/wordprocessingShape">
                    <wps:wsp>
                      <wps:cNvPr id="81" name="Textbox 81"/>
                      <wps:cNvSpPr txBox="1"/>
                      <wps:spPr>
                        <a:xfrm rot="20280000">
                          <a:off x="0" y="0"/>
                          <a:ext cx="64769" cy="104139"/>
                        </a:xfrm>
                        <a:prstGeom prst="rect">
                          <a:avLst/>
                        </a:prstGeom>
                      </wps:spPr>
                      <wps:txbx>
                        <w:txbxContent>
                          <w:p>
                            <w:pPr>
                              <w:spacing w:line="164" w:lineRule="exact" w:before="0"/>
                              <w:ind w:left="0" w:right="0" w:firstLine="0"/>
                              <w:jc w:val="left"/>
                              <w:rPr>
                                <w:rFonts w:ascii="Trebuchet MS"/>
                                <w:b/>
                                <w:sz w:val="16"/>
                              </w:rPr>
                            </w:pPr>
                            <w:r>
                              <w:rPr>
                                <w:rFonts w:ascii="Trebuchet MS"/>
                                <w:b/>
                                <w:color w:val="23201D"/>
                                <w:spacing w:val="-10"/>
                                <w:w w:val="105"/>
                                <w:sz w:val="16"/>
                              </w:rPr>
                              <w:t>B</w:t>
                            </w:r>
                          </w:p>
                        </w:txbxContent>
                      </wps:txbx>
                      <wps:bodyPr wrap="square" lIns="0" tIns="0" rIns="0" bIns="0" rtlCol="0">
                        <a:noAutofit/>
                      </wps:bodyPr>
                    </wps:wsp>
                  </a:graphicData>
                </a:graphic>
              </wp:anchor>
            </w:drawing>
          </mc:Choice>
          <mc:Fallback>
            <w:pict>
              <v:shape style="position:absolute;margin-left:173.055832pt;margin-top:99.738625pt;width:5.1pt;height:8.2pt;mso-position-horizontal-relative:page;mso-position-vertical-relative:paragraph;z-index:15745024;rotation:338" type="#_x0000_t136" fillcolor="#23201d" stroked="f">
                <o:extrusion v:ext="view" autorotationcenter="t"/>
                <v:textpath style="font-family:&quot;Trebuchet MS&quot;;font-size:8pt;v-text-kern:t;mso-text-shadow:auto;font-weight:bold" string="B"/>
                <w10:wrap type="none"/>
              </v:shape>
            </w:pict>
          </mc:Fallback>
        </mc:AlternateContent>
      </w:r>
      <w:r>
        <w:rPr/>
        <mc:AlternateContent>
          <mc:Choice Requires="wps">
            <w:drawing>
              <wp:anchor distT="0" distB="0" distL="0" distR="0" allowOverlap="1" layoutInCell="1" locked="0" behindDoc="0" simplePos="0" relativeHeight="15745536">
                <wp:simplePos x="0" y="0"/>
                <wp:positionH relativeFrom="page">
                  <wp:posOffset>2280856</wp:posOffset>
                </wp:positionH>
                <wp:positionV relativeFrom="paragraph">
                  <wp:posOffset>1330456</wp:posOffset>
                </wp:positionV>
                <wp:extent cx="75565" cy="104139"/>
                <wp:effectExtent l="0" t="0" r="0" b="0"/>
                <wp:wrapNone/>
                <wp:docPr id="82" name="Textbox 82"/>
                <wp:cNvGraphicFramePr>
                  <a:graphicFrameLocks/>
                </wp:cNvGraphicFramePr>
                <a:graphic>
                  <a:graphicData uri="http://schemas.microsoft.com/office/word/2010/wordprocessingShape">
                    <wps:wsp>
                      <wps:cNvPr id="82" name="Textbox 82"/>
                      <wps:cNvSpPr txBox="1"/>
                      <wps:spPr>
                        <a:xfrm rot="20280000">
                          <a:off x="0" y="0"/>
                          <a:ext cx="75565" cy="104139"/>
                        </a:xfrm>
                        <a:prstGeom prst="rect">
                          <a:avLst/>
                        </a:prstGeom>
                      </wps:spPr>
                      <wps:txbx>
                        <w:txbxContent>
                          <w:p>
                            <w:pPr>
                              <w:spacing w:line="164" w:lineRule="exact" w:before="0"/>
                              <w:ind w:left="0" w:right="0" w:firstLine="0"/>
                              <w:jc w:val="left"/>
                              <w:rPr>
                                <w:rFonts w:ascii="Trebuchet MS"/>
                                <w:b/>
                                <w:sz w:val="16"/>
                              </w:rPr>
                            </w:pPr>
                            <w:r>
                              <w:rPr>
                                <w:rFonts w:ascii="Trebuchet MS"/>
                                <w:b/>
                                <w:color w:val="23201D"/>
                                <w:spacing w:val="-10"/>
                                <w:w w:val="115"/>
                                <w:sz w:val="16"/>
                              </w:rPr>
                              <w:t>A</w:t>
                            </w:r>
                          </w:p>
                        </w:txbxContent>
                      </wps:txbx>
                      <wps:bodyPr wrap="square" lIns="0" tIns="0" rIns="0" bIns="0" rtlCol="0">
                        <a:noAutofit/>
                      </wps:bodyPr>
                    </wps:wsp>
                  </a:graphicData>
                </a:graphic>
              </wp:anchor>
            </w:drawing>
          </mc:Choice>
          <mc:Fallback>
            <w:pict>
              <v:shape style="position:absolute;margin-left:179.595001pt;margin-top:104.760384pt;width:5.95pt;height:8.2pt;mso-position-horizontal-relative:page;mso-position-vertical-relative:paragraph;z-index:15745536;rotation:338" type="#_x0000_t136" fillcolor="#23201d" stroked="f">
                <o:extrusion v:ext="view" autorotationcenter="t"/>
                <v:textpath style="font-family:&quot;Trebuchet MS&quot;;font-size:8pt;v-text-kern:t;mso-text-shadow:auto;font-weight:bold" string="A"/>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2650674</wp:posOffset>
                </wp:positionH>
                <wp:positionV relativeFrom="paragraph">
                  <wp:posOffset>1334022</wp:posOffset>
                </wp:positionV>
                <wp:extent cx="72390" cy="99060"/>
                <wp:effectExtent l="0" t="0" r="0" b="0"/>
                <wp:wrapNone/>
                <wp:docPr id="83" name="Textbox 83"/>
                <wp:cNvGraphicFramePr>
                  <a:graphicFrameLocks/>
                </wp:cNvGraphicFramePr>
                <a:graphic>
                  <a:graphicData uri="http://schemas.microsoft.com/office/word/2010/wordprocessingShape">
                    <wps:wsp>
                      <wps:cNvPr id="83" name="Textbox 83"/>
                      <wps:cNvSpPr txBox="1"/>
                      <wps:spPr>
                        <a:xfrm rot="20640000">
                          <a:off x="0" y="0"/>
                          <a:ext cx="72390" cy="99060"/>
                        </a:xfrm>
                        <a:prstGeom prst="rect">
                          <a:avLst/>
                        </a:prstGeom>
                      </wps:spPr>
                      <wps:txbx>
                        <w:txbxContent>
                          <w:p>
                            <w:pPr>
                              <w:spacing w:line="155" w:lineRule="exact" w:before="0"/>
                              <w:ind w:left="0" w:right="0" w:firstLine="0"/>
                              <w:jc w:val="left"/>
                              <w:rPr>
                                <w:rFonts w:ascii="Arial"/>
                                <w:b/>
                                <w:sz w:val="15"/>
                              </w:rPr>
                            </w:pPr>
                            <w:r>
                              <w:rPr>
                                <w:rFonts w:ascii="Arial"/>
                                <w:b/>
                                <w:color w:val="23201D"/>
                                <w:spacing w:val="-10"/>
                                <w:w w:val="135"/>
                                <w:sz w:val="15"/>
                              </w:rPr>
                              <w:t>1</w:t>
                            </w:r>
                          </w:p>
                        </w:txbxContent>
                      </wps:txbx>
                      <wps:bodyPr wrap="square" lIns="0" tIns="0" rIns="0" bIns="0" rtlCol="0">
                        <a:noAutofit/>
                      </wps:bodyPr>
                    </wps:wsp>
                  </a:graphicData>
                </a:graphic>
              </wp:anchor>
            </w:drawing>
          </mc:Choice>
          <mc:Fallback>
            <w:pict>
              <v:shape style="position:absolute;margin-left:208.714493pt;margin-top:105.041153pt;width:5.7pt;height:7.8pt;mso-position-horizontal-relative:page;mso-position-vertical-relative:paragraph;z-index:15746048;rotation:344" type="#_x0000_t136" fillcolor="#23201d" stroked="f">
                <o:extrusion v:ext="view" autorotationcenter="t"/>
                <v:textpath style="font-family:&quot;Arial&quot;;font-size:7pt;v-text-kern:t;mso-text-shadow:auto;font-weight:bold" string="1"/>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3203200</wp:posOffset>
                </wp:positionH>
                <wp:positionV relativeFrom="paragraph">
                  <wp:posOffset>1222709</wp:posOffset>
                </wp:positionV>
                <wp:extent cx="72390" cy="99060"/>
                <wp:effectExtent l="0" t="0" r="0" b="0"/>
                <wp:wrapNone/>
                <wp:docPr id="84" name="Textbox 84"/>
                <wp:cNvGraphicFramePr>
                  <a:graphicFrameLocks/>
                </wp:cNvGraphicFramePr>
                <a:graphic>
                  <a:graphicData uri="http://schemas.microsoft.com/office/word/2010/wordprocessingShape">
                    <wps:wsp>
                      <wps:cNvPr id="84" name="Textbox 84"/>
                      <wps:cNvSpPr txBox="1"/>
                      <wps:spPr>
                        <a:xfrm rot="20640000">
                          <a:off x="0" y="0"/>
                          <a:ext cx="72390" cy="99060"/>
                        </a:xfrm>
                        <a:prstGeom prst="rect">
                          <a:avLst/>
                        </a:prstGeom>
                      </wps:spPr>
                      <wps:txbx>
                        <w:txbxContent>
                          <w:p>
                            <w:pPr>
                              <w:spacing w:line="155" w:lineRule="exact" w:before="0"/>
                              <w:ind w:left="0" w:right="0" w:firstLine="0"/>
                              <w:jc w:val="left"/>
                              <w:rPr>
                                <w:rFonts w:ascii="Arial"/>
                                <w:b/>
                                <w:sz w:val="15"/>
                              </w:rPr>
                            </w:pPr>
                            <w:r>
                              <w:rPr>
                                <w:rFonts w:ascii="Arial"/>
                                <w:b/>
                                <w:color w:val="23201D"/>
                                <w:spacing w:val="-10"/>
                                <w:w w:val="135"/>
                                <w:sz w:val="15"/>
                              </w:rPr>
                              <w:t>2</w:t>
                            </w:r>
                          </w:p>
                        </w:txbxContent>
                      </wps:txbx>
                      <wps:bodyPr wrap="square" lIns="0" tIns="0" rIns="0" bIns="0" rtlCol="0">
                        <a:noAutofit/>
                      </wps:bodyPr>
                    </wps:wsp>
                  </a:graphicData>
                </a:graphic>
              </wp:anchor>
            </w:drawing>
          </mc:Choice>
          <mc:Fallback>
            <w:pict>
              <v:shape style="position:absolute;margin-left:252.22049pt;margin-top:96.276344pt;width:5.7pt;height:7.8pt;mso-position-horizontal-relative:page;mso-position-vertical-relative:paragraph;z-index:15746560;rotation:344" type="#_x0000_t136" fillcolor="#23201d" stroked="f">
                <o:extrusion v:ext="view" autorotationcenter="t"/>
                <v:textpath style="font-family:&quot;Arial&quot;;font-size:7pt;v-text-kern:t;mso-text-shadow:auto;font-weight:bold" string="2"/>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3701584</wp:posOffset>
                </wp:positionH>
                <wp:positionV relativeFrom="paragraph">
                  <wp:posOffset>1124032</wp:posOffset>
                </wp:positionV>
                <wp:extent cx="72390" cy="99060"/>
                <wp:effectExtent l="0" t="0" r="0" b="0"/>
                <wp:wrapNone/>
                <wp:docPr id="85" name="Textbox 85"/>
                <wp:cNvGraphicFramePr>
                  <a:graphicFrameLocks/>
                </wp:cNvGraphicFramePr>
                <a:graphic>
                  <a:graphicData uri="http://schemas.microsoft.com/office/word/2010/wordprocessingShape">
                    <wps:wsp>
                      <wps:cNvPr id="85" name="Textbox 85"/>
                      <wps:cNvSpPr txBox="1"/>
                      <wps:spPr>
                        <a:xfrm rot="20640000">
                          <a:off x="0" y="0"/>
                          <a:ext cx="72390" cy="99060"/>
                        </a:xfrm>
                        <a:prstGeom prst="rect">
                          <a:avLst/>
                        </a:prstGeom>
                      </wps:spPr>
                      <wps:txbx>
                        <w:txbxContent>
                          <w:p>
                            <w:pPr>
                              <w:spacing w:line="155" w:lineRule="exact" w:before="0"/>
                              <w:ind w:left="0" w:right="0" w:firstLine="0"/>
                              <w:jc w:val="left"/>
                              <w:rPr>
                                <w:rFonts w:ascii="Arial"/>
                                <w:b/>
                                <w:sz w:val="15"/>
                              </w:rPr>
                            </w:pPr>
                            <w:r>
                              <w:rPr>
                                <w:rFonts w:ascii="Arial"/>
                                <w:b/>
                                <w:color w:val="23201D"/>
                                <w:spacing w:val="-10"/>
                                <w:w w:val="135"/>
                                <w:sz w:val="15"/>
                              </w:rPr>
                              <w:t>3</w:t>
                            </w:r>
                          </w:p>
                        </w:txbxContent>
                      </wps:txbx>
                      <wps:bodyPr wrap="square" lIns="0" tIns="0" rIns="0" bIns="0" rtlCol="0">
                        <a:noAutofit/>
                      </wps:bodyPr>
                    </wps:wsp>
                  </a:graphicData>
                </a:graphic>
              </wp:anchor>
            </w:drawing>
          </mc:Choice>
          <mc:Fallback>
            <w:pict>
              <v:shape style="position:absolute;margin-left:291.463348pt;margin-top:88.506508pt;width:5.7pt;height:7.8pt;mso-position-horizontal-relative:page;mso-position-vertical-relative:paragraph;z-index:15747072;rotation:344" type="#_x0000_t136" fillcolor="#23201d" stroked="f">
                <o:extrusion v:ext="view" autorotationcenter="t"/>
                <v:textpath style="font-family:&quot;Arial&quot;;font-size:7pt;v-text-kern:t;mso-text-shadow:auto;font-weight:bold" string="3"/>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4191796</wp:posOffset>
                </wp:positionH>
                <wp:positionV relativeFrom="paragraph">
                  <wp:posOffset>1036520</wp:posOffset>
                </wp:positionV>
                <wp:extent cx="72390" cy="99060"/>
                <wp:effectExtent l="0" t="0" r="0" b="0"/>
                <wp:wrapNone/>
                <wp:docPr id="86" name="Textbox 86"/>
                <wp:cNvGraphicFramePr>
                  <a:graphicFrameLocks/>
                </wp:cNvGraphicFramePr>
                <a:graphic>
                  <a:graphicData uri="http://schemas.microsoft.com/office/word/2010/wordprocessingShape">
                    <wps:wsp>
                      <wps:cNvPr id="86" name="Textbox 86"/>
                      <wps:cNvSpPr txBox="1"/>
                      <wps:spPr>
                        <a:xfrm rot="20640000">
                          <a:off x="0" y="0"/>
                          <a:ext cx="72390" cy="99060"/>
                        </a:xfrm>
                        <a:prstGeom prst="rect">
                          <a:avLst/>
                        </a:prstGeom>
                      </wps:spPr>
                      <wps:txbx>
                        <w:txbxContent>
                          <w:p>
                            <w:pPr>
                              <w:spacing w:line="155" w:lineRule="exact" w:before="0"/>
                              <w:ind w:left="0" w:right="0" w:firstLine="0"/>
                              <w:jc w:val="left"/>
                              <w:rPr>
                                <w:rFonts w:ascii="Arial"/>
                                <w:b/>
                                <w:sz w:val="15"/>
                              </w:rPr>
                            </w:pPr>
                            <w:r>
                              <w:rPr>
                                <w:rFonts w:ascii="Arial"/>
                                <w:b/>
                                <w:color w:val="23201D"/>
                                <w:spacing w:val="-10"/>
                                <w:w w:val="135"/>
                                <w:sz w:val="15"/>
                              </w:rPr>
                              <w:t>4</w:t>
                            </w:r>
                          </w:p>
                        </w:txbxContent>
                      </wps:txbx>
                      <wps:bodyPr wrap="square" lIns="0" tIns="0" rIns="0" bIns="0" rtlCol="0">
                        <a:noAutofit/>
                      </wps:bodyPr>
                    </wps:wsp>
                  </a:graphicData>
                </a:graphic>
              </wp:anchor>
            </w:drawing>
          </mc:Choice>
          <mc:Fallback>
            <w:pict>
              <v:shape style="position:absolute;margin-left:330.062744pt;margin-top:81.615753pt;width:5.7pt;height:7.8pt;mso-position-horizontal-relative:page;mso-position-vertical-relative:paragraph;z-index:15747584;rotation:344" type="#_x0000_t136" fillcolor="#23201d" stroked="f">
                <o:extrusion v:ext="view" autorotationcenter="t"/>
                <v:textpath style="font-family:&quot;Arial&quot;;font-size:7pt;v-text-kern:t;mso-text-shadow:auto;font-weight:bold" string="4"/>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4693861</wp:posOffset>
                </wp:positionH>
                <wp:positionV relativeFrom="paragraph">
                  <wp:posOffset>945240</wp:posOffset>
                </wp:positionV>
                <wp:extent cx="72390" cy="99060"/>
                <wp:effectExtent l="0" t="0" r="0" b="0"/>
                <wp:wrapNone/>
                <wp:docPr id="87" name="Textbox 87"/>
                <wp:cNvGraphicFramePr>
                  <a:graphicFrameLocks/>
                </wp:cNvGraphicFramePr>
                <a:graphic>
                  <a:graphicData uri="http://schemas.microsoft.com/office/word/2010/wordprocessingShape">
                    <wps:wsp>
                      <wps:cNvPr id="87" name="Textbox 87"/>
                      <wps:cNvSpPr txBox="1"/>
                      <wps:spPr>
                        <a:xfrm rot="20640000">
                          <a:off x="0" y="0"/>
                          <a:ext cx="72390" cy="99060"/>
                        </a:xfrm>
                        <a:prstGeom prst="rect">
                          <a:avLst/>
                        </a:prstGeom>
                      </wps:spPr>
                      <wps:txbx>
                        <w:txbxContent>
                          <w:p>
                            <w:pPr>
                              <w:spacing w:line="155" w:lineRule="exact" w:before="0"/>
                              <w:ind w:left="0" w:right="0" w:firstLine="0"/>
                              <w:jc w:val="left"/>
                              <w:rPr>
                                <w:rFonts w:ascii="Arial"/>
                                <w:b/>
                                <w:sz w:val="15"/>
                              </w:rPr>
                            </w:pPr>
                            <w:r>
                              <w:rPr>
                                <w:rFonts w:ascii="Arial"/>
                                <w:b/>
                                <w:color w:val="23201D"/>
                                <w:spacing w:val="-10"/>
                                <w:w w:val="135"/>
                                <w:sz w:val="15"/>
                              </w:rPr>
                              <w:t>5</w:t>
                            </w:r>
                          </w:p>
                        </w:txbxContent>
                      </wps:txbx>
                      <wps:bodyPr wrap="square" lIns="0" tIns="0" rIns="0" bIns="0" rtlCol="0">
                        <a:noAutofit/>
                      </wps:bodyPr>
                    </wps:wsp>
                  </a:graphicData>
                </a:graphic>
              </wp:anchor>
            </w:drawing>
          </mc:Choice>
          <mc:Fallback>
            <w:pict>
              <v:shape style="position:absolute;margin-left:369.595367pt;margin-top:74.428406pt;width:5.7pt;height:7.8pt;mso-position-horizontal-relative:page;mso-position-vertical-relative:paragraph;z-index:15748096;rotation:344" type="#_x0000_t136" fillcolor="#23201d" stroked="f">
                <o:extrusion v:ext="view" autorotationcenter="t"/>
                <v:textpath style="font-family:&quot;Arial&quot;;font-size:7pt;v-text-kern:t;mso-text-shadow:auto;font-weight:bold" string="5"/>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5134400</wp:posOffset>
                </wp:positionH>
                <wp:positionV relativeFrom="paragraph">
                  <wp:posOffset>844418</wp:posOffset>
                </wp:positionV>
                <wp:extent cx="72390" cy="99060"/>
                <wp:effectExtent l="0" t="0" r="0" b="0"/>
                <wp:wrapNone/>
                <wp:docPr id="88" name="Textbox 88"/>
                <wp:cNvGraphicFramePr>
                  <a:graphicFrameLocks/>
                </wp:cNvGraphicFramePr>
                <a:graphic>
                  <a:graphicData uri="http://schemas.microsoft.com/office/word/2010/wordprocessingShape">
                    <wps:wsp>
                      <wps:cNvPr id="88" name="Textbox 88"/>
                      <wps:cNvSpPr txBox="1"/>
                      <wps:spPr>
                        <a:xfrm rot="20640000">
                          <a:off x="0" y="0"/>
                          <a:ext cx="72390" cy="99060"/>
                        </a:xfrm>
                        <a:prstGeom prst="rect">
                          <a:avLst/>
                        </a:prstGeom>
                      </wps:spPr>
                      <wps:txbx>
                        <w:txbxContent>
                          <w:p>
                            <w:pPr>
                              <w:spacing w:line="155" w:lineRule="exact" w:before="0"/>
                              <w:ind w:left="0" w:right="0" w:firstLine="0"/>
                              <w:jc w:val="left"/>
                              <w:rPr>
                                <w:rFonts w:ascii="Arial"/>
                                <w:b/>
                                <w:sz w:val="15"/>
                              </w:rPr>
                            </w:pPr>
                            <w:r>
                              <w:rPr>
                                <w:rFonts w:ascii="Arial"/>
                                <w:b/>
                                <w:color w:val="23201D"/>
                                <w:spacing w:val="-10"/>
                                <w:w w:val="135"/>
                                <w:sz w:val="15"/>
                              </w:rPr>
                              <w:t>6</w:t>
                            </w:r>
                          </w:p>
                        </w:txbxContent>
                      </wps:txbx>
                      <wps:bodyPr wrap="square" lIns="0" tIns="0" rIns="0" bIns="0" rtlCol="0">
                        <a:noAutofit/>
                      </wps:bodyPr>
                    </wps:wsp>
                  </a:graphicData>
                </a:graphic>
              </wp:anchor>
            </w:drawing>
          </mc:Choice>
          <mc:Fallback>
            <w:pict>
              <v:shape style="position:absolute;margin-left:404.283539pt;margin-top:66.489609pt;width:5.7pt;height:7.8pt;mso-position-horizontal-relative:page;mso-position-vertical-relative:paragraph;z-index:15748608;rotation:344" type="#_x0000_t136" fillcolor="#23201d" stroked="f">
                <o:extrusion v:ext="view" autorotationcenter="t"/>
                <v:textpath style="font-family:&quot;Arial&quot;;font-size:7pt;v-text-kern:t;mso-text-shadow:auto;font-weight:bold" string="6"/>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3347127</wp:posOffset>
                </wp:positionH>
                <wp:positionV relativeFrom="paragraph">
                  <wp:posOffset>1263881</wp:posOffset>
                </wp:positionV>
                <wp:extent cx="1099820" cy="108585"/>
                <wp:effectExtent l="0" t="0" r="0" b="0"/>
                <wp:wrapNone/>
                <wp:docPr id="89" name="Textbox 89"/>
                <wp:cNvGraphicFramePr>
                  <a:graphicFrameLocks/>
                </wp:cNvGraphicFramePr>
                <a:graphic>
                  <a:graphicData uri="http://schemas.microsoft.com/office/word/2010/wordprocessingShape">
                    <wps:wsp>
                      <wps:cNvPr id="89" name="Textbox 89"/>
                      <wps:cNvSpPr txBox="1"/>
                      <wps:spPr>
                        <a:xfrm rot="20700000">
                          <a:off x="0" y="0"/>
                          <a:ext cx="1099820" cy="108585"/>
                        </a:xfrm>
                        <a:prstGeom prst="rect">
                          <a:avLst/>
                        </a:prstGeom>
                      </wps:spPr>
                      <wps:txbx>
                        <w:txbxContent>
                          <w:p>
                            <w:pPr>
                              <w:spacing w:line="171" w:lineRule="exact" w:before="0"/>
                              <w:ind w:left="0" w:right="0" w:firstLine="0"/>
                              <w:jc w:val="left"/>
                              <w:rPr>
                                <w:rFonts w:ascii="Arial"/>
                                <w:b/>
                                <w:sz w:val="17"/>
                              </w:rPr>
                            </w:pPr>
                            <w:r>
                              <w:rPr>
                                <w:rFonts w:ascii="Arial"/>
                                <w:b/>
                                <w:color w:val="23201D"/>
                                <w:w w:val="130"/>
                                <w:sz w:val="17"/>
                              </w:rPr>
                              <w:t>ImmunoComb</w:t>
                            </w:r>
                            <w:r>
                              <w:rPr>
                                <w:rFonts w:ascii="Arial"/>
                                <w:b/>
                                <w:color w:val="23201D"/>
                                <w:spacing w:val="40"/>
                                <w:w w:val="130"/>
                                <w:sz w:val="17"/>
                              </w:rPr>
                              <w:t> </w:t>
                            </w:r>
                            <w:r>
                              <w:rPr>
                                <w:rFonts w:ascii="Arial"/>
                                <w:b/>
                                <w:color w:val="23201D"/>
                                <w:spacing w:val="-5"/>
                                <w:w w:val="130"/>
                                <w:sz w:val="17"/>
                              </w:rPr>
                              <w:t>II</w:t>
                            </w:r>
                          </w:p>
                        </w:txbxContent>
                      </wps:txbx>
                      <wps:bodyPr wrap="square" lIns="0" tIns="0" rIns="0" bIns="0" rtlCol="0">
                        <a:noAutofit/>
                      </wps:bodyPr>
                    </wps:wsp>
                  </a:graphicData>
                </a:graphic>
              </wp:anchor>
            </w:drawing>
          </mc:Choice>
          <mc:Fallback>
            <w:pict>
              <v:shape style="position:absolute;margin-left:263.553345pt;margin-top:99.518219pt;width:86.6pt;height:8.550pt;mso-position-horizontal-relative:page;mso-position-vertical-relative:paragraph;z-index:15749120;rotation:345" type="#_x0000_t136" fillcolor="#23201d" stroked="f">
                <o:extrusion v:ext="view" autorotationcenter="t"/>
                <v:textpath style="font-family:&quot;Arial&quot;;font-size:8pt;v-text-kern:t;mso-text-shadow:auto;font-weight:bold" string="ImmunoComb II"/>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3404252</wp:posOffset>
                </wp:positionH>
                <wp:positionV relativeFrom="paragraph">
                  <wp:posOffset>1338467</wp:posOffset>
                </wp:positionV>
                <wp:extent cx="1315720" cy="108585"/>
                <wp:effectExtent l="0" t="0" r="0" b="0"/>
                <wp:wrapNone/>
                <wp:docPr id="90" name="Textbox 90"/>
                <wp:cNvGraphicFramePr>
                  <a:graphicFrameLocks/>
                </wp:cNvGraphicFramePr>
                <a:graphic>
                  <a:graphicData uri="http://schemas.microsoft.com/office/word/2010/wordprocessingShape">
                    <wps:wsp>
                      <wps:cNvPr id="90" name="Textbox 90"/>
                      <wps:cNvSpPr txBox="1"/>
                      <wps:spPr>
                        <a:xfrm rot="20700000">
                          <a:off x="0" y="0"/>
                          <a:ext cx="1315720" cy="108585"/>
                        </a:xfrm>
                        <a:prstGeom prst="rect">
                          <a:avLst/>
                        </a:prstGeom>
                      </wps:spPr>
                      <wps:txbx>
                        <w:txbxContent>
                          <w:p>
                            <w:pPr>
                              <w:spacing w:line="171" w:lineRule="exact" w:before="0"/>
                              <w:ind w:left="0" w:right="0" w:firstLine="0"/>
                              <w:jc w:val="left"/>
                              <w:rPr>
                                <w:rFonts w:ascii="Arial"/>
                                <w:b/>
                                <w:sz w:val="17"/>
                              </w:rPr>
                            </w:pPr>
                            <w:r>
                              <w:rPr>
                                <w:rFonts w:ascii="Arial"/>
                                <w:b/>
                                <w:color w:val="23201D"/>
                                <w:w w:val="130"/>
                                <w:sz w:val="17"/>
                              </w:rPr>
                              <w:t>HIV</w:t>
                            </w:r>
                            <w:r>
                              <w:rPr>
                                <w:rFonts w:ascii="Arial"/>
                                <w:b/>
                                <w:color w:val="23201D"/>
                                <w:spacing w:val="10"/>
                                <w:w w:val="130"/>
                                <w:sz w:val="17"/>
                              </w:rPr>
                              <w:t> </w:t>
                            </w:r>
                            <w:r>
                              <w:rPr>
                                <w:rFonts w:ascii="Arial"/>
                                <w:b/>
                                <w:color w:val="23201D"/>
                                <w:w w:val="130"/>
                                <w:sz w:val="17"/>
                              </w:rPr>
                              <w:t>1&amp;</w:t>
                            </w:r>
                            <w:r>
                              <w:rPr>
                                <w:rFonts w:ascii="Arial"/>
                                <w:b/>
                                <w:color w:val="23201D"/>
                                <w:spacing w:val="22"/>
                                <w:w w:val="130"/>
                                <w:sz w:val="17"/>
                              </w:rPr>
                              <w:t> </w:t>
                            </w:r>
                            <w:r>
                              <w:rPr>
                                <w:rFonts w:ascii="Arial"/>
                                <w:b/>
                                <w:color w:val="23201D"/>
                                <w:w w:val="130"/>
                                <w:sz w:val="17"/>
                              </w:rPr>
                              <w:t>2</w:t>
                            </w:r>
                            <w:r>
                              <w:rPr>
                                <w:rFonts w:ascii="Arial"/>
                                <w:b/>
                                <w:color w:val="23201D"/>
                                <w:spacing w:val="-8"/>
                                <w:w w:val="130"/>
                                <w:sz w:val="17"/>
                              </w:rPr>
                              <w:t> </w:t>
                            </w:r>
                            <w:r>
                              <w:rPr>
                                <w:rFonts w:ascii="Arial"/>
                                <w:b/>
                                <w:color w:val="23201D"/>
                                <w:spacing w:val="-2"/>
                                <w:w w:val="130"/>
                                <w:sz w:val="17"/>
                              </w:rPr>
                              <w:t>Combfirm</w:t>
                            </w:r>
                          </w:p>
                        </w:txbxContent>
                      </wps:txbx>
                      <wps:bodyPr wrap="square" lIns="0" tIns="0" rIns="0" bIns="0" rtlCol="0">
                        <a:noAutofit/>
                      </wps:bodyPr>
                    </wps:wsp>
                  </a:graphicData>
                </a:graphic>
              </wp:anchor>
            </w:drawing>
          </mc:Choice>
          <mc:Fallback>
            <w:pict>
              <v:shape style="position:absolute;margin-left:268.051392pt;margin-top:105.391151pt;width:103.6pt;height:8.550pt;mso-position-horizontal-relative:page;mso-position-vertical-relative:paragraph;z-index:15749632;rotation:345" type="#_x0000_t136" fillcolor="#23201d" stroked="f">
                <o:extrusion v:ext="view" autorotationcenter="t"/>
                <v:textpath style="font-family:&quot;Arial&quot;;font-size:8pt;v-text-kern:t;mso-text-shadow:auto;font-weight:bold" string="HIV 1&amp; 2 Combfirm"/>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2087613</wp:posOffset>
                </wp:positionH>
                <wp:positionV relativeFrom="paragraph">
                  <wp:posOffset>516088</wp:posOffset>
                </wp:positionV>
                <wp:extent cx="3197225" cy="81153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3197225" cy="811530"/>
                        </a:xfrm>
                        <a:custGeom>
                          <a:avLst/>
                          <a:gdLst/>
                          <a:ahLst/>
                          <a:cxnLst/>
                          <a:rect l="l" t="t" r="r" b="b"/>
                          <a:pathLst>
                            <a:path w="3197225" h="811530">
                              <a:moveTo>
                                <a:pt x="3196793" y="242811"/>
                              </a:moveTo>
                              <a:lnTo>
                                <a:pt x="3187992" y="224929"/>
                              </a:lnTo>
                              <a:lnTo>
                                <a:pt x="2277199" y="403796"/>
                              </a:lnTo>
                              <a:lnTo>
                                <a:pt x="2251557" y="382358"/>
                              </a:lnTo>
                              <a:lnTo>
                                <a:pt x="2251557" y="408825"/>
                              </a:lnTo>
                              <a:lnTo>
                                <a:pt x="2019769" y="454342"/>
                              </a:lnTo>
                              <a:lnTo>
                                <a:pt x="2001100" y="438848"/>
                              </a:lnTo>
                              <a:lnTo>
                                <a:pt x="2001100" y="458000"/>
                              </a:lnTo>
                              <a:lnTo>
                                <a:pt x="1789684" y="499516"/>
                              </a:lnTo>
                              <a:lnTo>
                                <a:pt x="1769618" y="483654"/>
                              </a:lnTo>
                              <a:lnTo>
                                <a:pt x="1769618" y="503453"/>
                              </a:lnTo>
                              <a:lnTo>
                                <a:pt x="1547761" y="547027"/>
                              </a:lnTo>
                              <a:lnTo>
                                <a:pt x="1554505" y="544741"/>
                              </a:lnTo>
                              <a:lnTo>
                                <a:pt x="1535417" y="528434"/>
                              </a:lnTo>
                              <a:lnTo>
                                <a:pt x="1535417" y="549452"/>
                              </a:lnTo>
                              <a:lnTo>
                                <a:pt x="1305280" y="594639"/>
                              </a:lnTo>
                              <a:lnTo>
                                <a:pt x="1284211" y="577100"/>
                              </a:lnTo>
                              <a:lnTo>
                                <a:pt x="1284211" y="598779"/>
                              </a:lnTo>
                              <a:lnTo>
                                <a:pt x="1041565" y="646417"/>
                              </a:lnTo>
                              <a:lnTo>
                                <a:pt x="1016292" y="624103"/>
                              </a:lnTo>
                              <a:lnTo>
                                <a:pt x="1016292" y="651383"/>
                              </a:lnTo>
                              <a:lnTo>
                                <a:pt x="782942" y="697204"/>
                              </a:lnTo>
                              <a:lnTo>
                                <a:pt x="759891" y="676910"/>
                              </a:lnTo>
                              <a:lnTo>
                                <a:pt x="759891" y="701738"/>
                              </a:lnTo>
                              <a:lnTo>
                                <a:pt x="503542" y="752068"/>
                              </a:lnTo>
                              <a:lnTo>
                                <a:pt x="438848" y="688314"/>
                              </a:lnTo>
                              <a:lnTo>
                                <a:pt x="693280" y="640930"/>
                              </a:lnTo>
                              <a:lnTo>
                                <a:pt x="759891" y="701738"/>
                              </a:lnTo>
                              <a:lnTo>
                                <a:pt x="759891" y="676910"/>
                              </a:lnTo>
                              <a:lnTo>
                                <a:pt x="714540" y="636968"/>
                              </a:lnTo>
                              <a:lnTo>
                                <a:pt x="950226" y="593077"/>
                              </a:lnTo>
                              <a:lnTo>
                                <a:pt x="1016292" y="651383"/>
                              </a:lnTo>
                              <a:lnTo>
                                <a:pt x="1016292" y="624103"/>
                              </a:lnTo>
                              <a:lnTo>
                                <a:pt x="975791" y="588327"/>
                              </a:lnTo>
                              <a:lnTo>
                                <a:pt x="1216723" y="543445"/>
                              </a:lnTo>
                              <a:lnTo>
                                <a:pt x="1284211" y="598779"/>
                              </a:lnTo>
                              <a:lnTo>
                                <a:pt x="1284211" y="577100"/>
                              </a:lnTo>
                              <a:lnTo>
                                <a:pt x="1238872" y="539330"/>
                              </a:lnTo>
                              <a:lnTo>
                                <a:pt x="1471625" y="495985"/>
                              </a:lnTo>
                              <a:lnTo>
                                <a:pt x="1535417" y="549452"/>
                              </a:lnTo>
                              <a:lnTo>
                                <a:pt x="1535417" y="528434"/>
                              </a:lnTo>
                              <a:lnTo>
                                <a:pt x="1492834" y="492036"/>
                              </a:lnTo>
                              <a:lnTo>
                                <a:pt x="1705178" y="452488"/>
                              </a:lnTo>
                              <a:lnTo>
                                <a:pt x="1769618" y="503453"/>
                              </a:lnTo>
                              <a:lnTo>
                                <a:pt x="1769618" y="483654"/>
                              </a:lnTo>
                              <a:lnTo>
                                <a:pt x="1725460" y="448716"/>
                              </a:lnTo>
                              <a:lnTo>
                                <a:pt x="1941283" y="408533"/>
                              </a:lnTo>
                              <a:lnTo>
                                <a:pt x="2001100" y="458000"/>
                              </a:lnTo>
                              <a:lnTo>
                                <a:pt x="2001100" y="438848"/>
                              </a:lnTo>
                              <a:lnTo>
                                <a:pt x="1960333" y="404977"/>
                              </a:lnTo>
                              <a:lnTo>
                                <a:pt x="2194725" y="361327"/>
                              </a:lnTo>
                              <a:lnTo>
                                <a:pt x="2251557" y="408825"/>
                              </a:lnTo>
                              <a:lnTo>
                                <a:pt x="2251557" y="382358"/>
                              </a:lnTo>
                              <a:lnTo>
                                <a:pt x="2220645" y="356501"/>
                              </a:lnTo>
                              <a:lnTo>
                                <a:pt x="3117672" y="189433"/>
                              </a:lnTo>
                              <a:lnTo>
                                <a:pt x="3108960" y="171754"/>
                              </a:lnTo>
                              <a:lnTo>
                                <a:pt x="2204034" y="342620"/>
                              </a:lnTo>
                              <a:lnTo>
                                <a:pt x="2178177" y="321005"/>
                              </a:lnTo>
                              <a:lnTo>
                                <a:pt x="2178177" y="347497"/>
                              </a:lnTo>
                              <a:lnTo>
                                <a:pt x="1944293" y="391655"/>
                              </a:lnTo>
                              <a:lnTo>
                                <a:pt x="1925231" y="375831"/>
                              </a:lnTo>
                              <a:lnTo>
                                <a:pt x="1925231" y="395249"/>
                              </a:lnTo>
                              <a:lnTo>
                                <a:pt x="1709381" y="436003"/>
                              </a:lnTo>
                              <a:lnTo>
                                <a:pt x="1689150" y="420001"/>
                              </a:lnTo>
                              <a:lnTo>
                                <a:pt x="1689150" y="439813"/>
                              </a:lnTo>
                              <a:lnTo>
                                <a:pt x="1478318" y="479628"/>
                              </a:lnTo>
                              <a:lnTo>
                                <a:pt x="1456931" y="461340"/>
                              </a:lnTo>
                              <a:lnTo>
                                <a:pt x="1456931" y="483666"/>
                              </a:lnTo>
                              <a:lnTo>
                                <a:pt x="1224686" y="527507"/>
                              </a:lnTo>
                              <a:lnTo>
                                <a:pt x="1202410" y="508965"/>
                              </a:lnTo>
                              <a:lnTo>
                                <a:pt x="1202410" y="531710"/>
                              </a:lnTo>
                              <a:lnTo>
                                <a:pt x="962901" y="576935"/>
                              </a:lnTo>
                              <a:lnTo>
                                <a:pt x="937387" y="554405"/>
                              </a:lnTo>
                              <a:lnTo>
                                <a:pt x="937387" y="581748"/>
                              </a:lnTo>
                              <a:lnTo>
                                <a:pt x="702233" y="626148"/>
                              </a:lnTo>
                              <a:lnTo>
                                <a:pt x="681393" y="607796"/>
                              </a:lnTo>
                              <a:lnTo>
                                <a:pt x="681393" y="630085"/>
                              </a:lnTo>
                              <a:lnTo>
                                <a:pt x="428256" y="677875"/>
                              </a:lnTo>
                              <a:lnTo>
                                <a:pt x="372948" y="623366"/>
                              </a:lnTo>
                              <a:lnTo>
                                <a:pt x="623836" y="577532"/>
                              </a:lnTo>
                              <a:lnTo>
                                <a:pt x="681393" y="630085"/>
                              </a:lnTo>
                              <a:lnTo>
                                <a:pt x="681393" y="607796"/>
                              </a:lnTo>
                              <a:lnTo>
                                <a:pt x="643039" y="574014"/>
                              </a:lnTo>
                              <a:lnTo>
                                <a:pt x="879640" y="530783"/>
                              </a:lnTo>
                              <a:lnTo>
                                <a:pt x="937387" y="581748"/>
                              </a:lnTo>
                              <a:lnTo>
                                <a:pt x="937387" y="554405"/>
                              </a:lnTo>
                              <a:lnTo>
                                <a:pt x="905344" y="526084"/>
                              </a:lnTo>
                              <a:lnTo>
                                <a:pt x="1142669" y="482727"/>
                              </a:lnTo>
                              <a:lnTo>
                                <a:pt x="1202410" y="531710"/>
                              </a:lnTo>
                              <a:lnTo>
                                <a:pt x="1202410" y="508965"/>
                              </a:lnTo>
                              <a:lnTo>
                                <a:pt x="1165834" y="478497"/>
                              </a:lnTo>
                              <a:lnTo>
                                <a:pt x="1399781" y="435749"/>
                              </a:lnTo>
                              <a:lnTo>
                                <a:pt x="1456931" y="483666"/>
                              </a:lnTo>
                              <a:lnTo>
                                <a:pt x="1456931" y="461340"/>
                              </a:lnTo>
                              <a:lnTo>
                                <a:pt x="1422222" y="431647"/>
                              </a:lnTo>
                              <a:lnTo>
                                <a:pt x="1630667" y="393560"/>
                              </a:lnTo>
                              <a:lnTo>
                                <a:pt x="1689150" y="439813"/>
                              </a:lnTo>
                              <a:lnTo>
                                <a:pt x="1689150" y="420001"/>
                              </a:lnTo>
                              <a:lnTo>
                                <a:pt x="1651038" y="389839"/>
                              </a:lnTo>
                              <a:lnTo>
                                <a:pt x="1870252" y="349783"/>
                              </a:lnTo>
                              <a:lnTo>
                                <a:pt x="1925231" y="395249"/>
                              </a:lnTo>
                              <a:lnTo>
                                <a:pt x="1925231" y="375831"/>
                              </a:lnTo>
                              <a:lnTo>
                                <a:pt x="1889633" y="346252"/>
                              </a:lnTo>
                              <a:lnTo>
                                <a:pt x="2125192" y="303212"/>
                              </a:lnTo>
                              <a:lnTo>
                                <a:pt x="2178177" y="347497"/>
                              </a:lnTo>
                              <a:lnTo>
                                <a:pt x="2178177" y="321005"/>
                              </a:lnTo>
                              <a:lnTo>
                                <a:pt x="2151227" y="298462"/>
                              </a:lnTo>
                              <a:lnTo>
                                <a:pt x="3038843" y="136258"/>
                              </a:lnTo>
                              <a:lnTo>
                                <a:pt x="3030042" y="118376"/>
                              </a:lnTo>
                              <a:lnTo>
                                <a:pt x="2133930" y="283997"/>
                              </a:lnTo>
                              <a:lnTo>
                                <a:pt x="2107946" y="262280"/>
                              </a:lnTo>
                              <a:lnTo>
                                <a:pt x="2107946" y="288798"/>
                              </a:lnTo>
                              <a:lnTo>
                                <a:pt x="1872780" y="332257"/>
                              </a:lnTo>
                              <a:lnTo>
                                <a:pt x="1853387" y="316153"/>
                              </a:lnTo>
                              <a:lnTo>
                                <a:pt x="1853387" y="335838"/>
                              </a:lnTo>
                              <a:lnTo>
                                <a:pt x="1634020" y="376377"/>
                              </a:lnTo>
                              <a:lnTo>
                                <a:pt x="1613687" y="360299"/>
                              </a:lnTo>
                              <a:lnTo>
                                <a:pt x="1613687" y="380136"/>
                              </a:lnTo>
                              <a:lnTo>
                                <a:pt x="1406702" y="418388"/>
                              </a:lnTo>
                              <a:lnTo>
                                <a:pt x="1384058" y="399034"/>
                              </a:lnTo>
                              <a:lnTo>
                                <a:pt x="1384058" y="422567"/>
                              </a:lnTo>
                              <a:lnTo>
                                <a:pt x="1150518" y="465734"/>
                              </a:lnTo>
                              <a:lnTo>
                                <a:pt x="1127188" y="446303"/>
                              </a:lnTo>
                              <a:lnTo>
                                <a:pt x="1127188" y="470039"/>
                              </a:lnTo>
                              <a:lnTo>
                                <a:pt x="891247" y="513638"/>
                              </a:lnTo>
                              <a:lnTo>
                                <a:pt x="865581" y="490969"/>
                              </a:lnTo>
                              <a:lnTo>
                                <a:pt x="865581" y="518388"/>
                              </a:lnTo>
                              <a:lnTo>
                                <a:pt x="629424" y="562025"/>
                              </a:lnTo>
                              <a:lnTo>
                                <a:pt x="610654" y="545503"/>
                              </a:lnTo>
                              <a:lnTo>
                                <a:pt x="610654" y="565492"/>
                              </a:lnTo>
                              <a:lnTo>
                                <a:pt x="361048" y="611632"/>
                              </a:lnTo>
                              <a:lnTo>
                                <a:pt x="305028" y="556412"/>
                              </a:lnTo>
                              <a:lnTo>
                                <a:pt x="551649" y="511619"/>
                              </a:lnTo>
                              <a:lnTo>
                                <a:pt x="610654" y="565492"/>
                              </a:lnTo>
                              <a:lnTo>
                                <a:pt x="610654" y="545503"/>
                              </a:lnTo>
                              <a:lnTo>
                                <a:pt x="568680" y="508533"/>
                              </a:lnTo>
                              <a:lnTo>
                                <a:pt x="805662" y="465493"/>
                              </a:lnTo>
                              <a:lnTo>
                                <a:pt x="865581" y="518388"/>
                              </a:lnTo>
                              <a:lnTo>
                                <a:pt x="865581" y="490969"/>
                              </a:lnTo>
                              <a:lnTo>
                                <a:pt x="831456" y="460806"/>
                              </a:lnTo>
                              <a:lnTo>
                                <a:pt x="1064348" y="418503"/>
                              </a:lnTo>
                              <a:lnTo>
                                <a:pt x="1127188" y="470039"/>
                              </a:lnTo>
                              <a:lnTo>
                                <a:pt x="1127188" y="446303"/>
                              </a:lnTo>
                              <a:lnTo>
                                <a:pt x="1088542" y="414108"/>
                              </a:lnTo>
                              <a:lnTo>
                                <a:pt x="1323149" y="371500"/>
                              </a:lnTo>
                              <a:lnTo>
                                <a:pt x="1384058" y="422567"/>
                              </a:lnTo>
                              <a:lnTo>
                                <a:pt x="1384058" y="399034"/>
                              </a:lnTo>
                              <a:lnTo>
                                <a:pt x="1346847" y="367195"/>
                              </a:lnTo>
                              <a:lnTo>
                                <a:pt x="1550568" y="330200"/>
                              </a:lnTo>
                              <a:lnTo>
                                <a:pt x="1613687" y="380136"/>
                              </a:lnTo>
                              <a:lnTo>
                                <a:pt x="1613687" y="360299"/>
                              </a:lnTo>
                              <a:lnTo>
                                <a:pt x="1570964" y="326491"/>
                              </a:lnTo>
                              <a:lnTo>
                                <a:pt x="1793265" y="286118"/>
                              </a:lnTo>
                              <a:lnTo>
                                <a:pt x="1853387" y="335838"/>
                              </a:lnTo>
                              <a:lnTo>
                                <a:pt x="1853387" y="316153"/>
                              </a:lnTo>
                              <a:lnTo>
                                <a:pt x="1812937" y="282549"/>
                              </a:lnTo>
                              <a:lnTo>
                                <a:pt x="2049132" y="239649"/>
                              </a:lnTo>
                              <a:lnTo>
                                <a:pt x="2107946" y="288798"/>
                              </a:lnTo>
                              <a:lnTo>
                                <a:pt x="2107946" y="262280"/>
                              </a:lnTo>
                              <a:lnTo>
                                <a:pt x="2075230" y="234911"/>
                              </a:lnTo>
                              <a:lnTo>
                                <a:pt x="2977223" y="71069"/>
                              </a:lnTo>
                              <a:lnTo>
                                <a:pt x="2977223" y="59258"/>
                              </a:lnTo>
                              <a:lnTo>
                                <a:pt x="2063127" y="224790"/>
                              </a:lnTo>
                              <a:lnTo>
                                <a:pt x="2037016" y="202971"/>
                              </a:lnTo>
                              <a:lnTo>
                                <a:pt x="2037016" y="229527"/>
                              </a:lnTo>
                              <a:lnTo>
                                <a:pt x="1800631" y="272326"/>
                              </a:lnTo>
                              <a:lnTo>
                                <a:pt x="1780921" y="255968"/>
                              </a:lnTo>
                              <a:lnTo>
                                <a:pt x="1780921" y="275894"/>
                              </a:lnTo>
                              <a:lnTo>
                                <a:pt x="1558036" y="316255"/>
                              </a:lnTo>
                              <a:lnTo>
                                <a:pt x="1537627" y="300113"/>
                              </a:lnTo>
                              <a:lnTo>
                                <a:pt x="1537627" y="319951"/>
                              </a:lnTo>
                              <a:lnTo>
                                <a:pt x="1334592" y="356717"/>
                              </a:lnTo>
                              <a:lnTo>
                                <a:pt x="1310678" y="336270"/>
                              </a:lnTo>
                              <a:lnTo>
                                <a:pt x="1310678" y="361048"/>
                              </a:lnTo>
                              <a:lnTo>
                                <a:pt x="1075880" y="403567"/>
                              </a:lnTo>
                              <a:lnTo>
                                <a:pt x="1051509" y="383273"/>
                              </a:lnTo>
                              <a:lnTo>
                                <a:pt x="1051509" y="407987"/>
                              </a:lnTo>
                              <a:lnTo>
                                <a:pt x="819264" y="450037"/>
                              </a:lnTo>
                              <a:lnTo>
                                <a:pt x="793457" y="427240"/>
                              </a:lnTo>
                              <a:lnTo>
                                <a:pt x="793457" y="454710"/>
                              </a:lnTo>
                              <a:lnTo>
                                <a:pt x="556336" y="497649"/>
                              </a:lnTo>
                              <a:lnTo>
                                <a:pt x="539661" y="482968"/>
                              </a:lnTo>
                              <a:lnTo>
                                <a:pt x="539661" y="500672"/>
                              </a:lnTo>
                              <a:lnTo>
                                <a:pt x="293662" y="545223"/>
                              </a:lnTo>
                              <a:lnTo>
                                <a:pt x="243700" y="495960"/>
                              </a:lnTo>
                              <a:lnTo>
                                <a:pt x="486219" y="451878"/>
                              </a:lnTo>
                              <a:lnTo>
                                <a:pt x="539661" y="500672"/>
                              </a:lnTo>
                              <a:lnTo>
                                <a:pt x="539661" y="482968"/>
                              </a:lnTo>
                              <a:lnTo>
                                <a:pt x="501256" y="449148"/>
                              </a:lnTo>
                              <a:lnTo>
                                <a:pt x="738327" y="406044"/>
                              </a:lnTo>
                              <a:lnTo>
                                <a:pt x="793457" y="454710"/>
                              </a:lnTo>
                              <a:lnTo>
                                <a:pt x="793457" y="427240"/>
                              </a:lnTo>
                              <a:lnTo>
                                <a:pt x="764159" y="401345"/>
                              </a:lnTo>
                              <a:lnTo>
                                <a:pt x="992746" y="359791"/>
                              </a:lnTo>
                              <a:lnTo>
                                <a:pt x="1051509" y="407987"/>
                              </a:lnTo>
                              <a:lnTo>
                                <a:pt x="1051509" y="383273"/>
                              </a:lnTo>
                              <a:lnTo>
                                <a:pt x="1017854" y="355231"/>
                              </a:lnTo>
                              <a:lnTo>
                                <a:pt x="1252804" y="312521"/>
                              </a:lnTo>
                              <a:lnTo>
                                <a:pt x="1310678" y="361048"/>
                              </a:lnTo>
                              <a:lnTo>
                                <a:pt x="1310678" y="336270"/>
                              </a:lnTo>
                              <a:lnTo>
                                <a:pt x="1277632" y="308000"/>
                              </a:lnTo>
                              <a:lnTo>
                                <a:pt x="1476756" y="271805"/>
                              </a:lnTo>
                              <a:lnTo>
                                <a:pt x="1537627" y="319951"/>
                              </a:lnTo>
                              <a:lnTo>
                                <a:pt x="1537627" y="300113"/>
                              </a:lnTo>
                              <a:lnTo>
                                <a:pt x="1497164" y="268097"/>
                              </a:lnTo>
                              <a:lnTo>
                                <a:pt x="1722056" y="227215"/>
                              </a:lnTo>
                              <a:lnTo>
                                <a:pt x="1780921" y="275894"/>
                              </a:lnTo>
                              <a:lnTo>
                                <a:pt x="1780921" y="255968"/>
                              </a:lnTo>
                              <a:lnTo>
                                <a:pt x="1741957" y="223596"/>
                              </a:lnTo>
                              <a:lnTo>
                                <a:pt x="1978482" y="180606"/>
                              </a:lnTo>
                              <a:lnTo>
                                <a:pt x="2037016" y="229527"/>
                              </a:lnTo>
                              <a:lnTo>
                                <a:pt x="2037016" y="202971"/>
                              </a:lnTo>
                              <a:lnTo>
                                <a:pt x="2004593" y="175856"/>
                              </a:lnTo>
                              <a:lnTo>
                                <a:pt x="2906890" y="11811"/>
                              </a:lnTo>
                              <a:lnTo>
                                <a:pt x="2898190" y="0"/>
                              </a:lnTo>
                              <a:lnTo>
                                <a:pt x="1991436" y="164858"/>
                              </a:lnTo>
                              <a:lnTo>
                                <a:pt x="1914639" y="100622"/>
                              </a:lnTo>
                              <a:lnTo>
                                <a:pt x="1896935" y="112433"/>
                              </a:lnTo>
                              <a:lnTo>
                                <a:pt x="1965325" y="169595"/>
                              </a:lnTo>
                              <a:lnTo>
                                <a:pt x="1728724" y="212610"/>
                              </a:lnTo>
                              <a:lnTo>
                                <a:pt x="1651038" y="148069"/>
                              </a:lnTo>
                              <a:lnTo>
                                <a:pt x="1633537" y="154000"/>
                              </a:lnTo>
                              <a:lnTo>
                                <a:pt x="1708772" y="216230"/>
                              </a:lnTo>
                              <a:lnTo>
                                <a:pt x="1483398" y="257200"/>
                              </a:lnTo>
                              <a:lnTo>
                                <a:pt x="1405255" y="195376"/>
                              </a:lnTo>
                              <a:lnTo>
                                <a:pt x="1387551" y="201244"/>
                              </a:lnTo>
                              <a:lnTo>
                                <a:pt x="1462976" y="260908"/>
                              </a:lnTo>
                              <a:lnTo>
                                <a:pt x="1264716" y="296951"/>
                              </a:lnTo>
                              <a:lnTo>
                                <a:pt x="1194473" y="236880"/>
                              </a:lnTo>
                              <a:lnTo>
                                <a:pt x="1176769" y="248754"/>
                              </a:lnTo>
                              <a:lnTo>
                                <a:pt x="1239672" y="301510"/>
                              </a:lnTo>
                              <a:lnTo>
                                <a:pt x="1004646" y="344233"/>
                              </a:lnTo>
                              <a:lnTo>
                                <a:pt x="939685" y="290118"/>
                              </a:lnTo>
                              <a:lnTo>
                                <a:pt x="922185" y="301929"/>
                              </a:lnTo>
                              <a:lnTo>
                                <a:pt x="979373" y="348830"/>
                              </a:lnTo>
                              <a:lnTo>
                                <a:pt x="751573" y="390232"/>
                              </a:lnTo>
                              <a:lnTo>
                                <a:pt x="685101" y="331495"/>
                              </a:lnTo>
                              <a:lnTo>
                                <a:pt x="667397" y="343433"/>
                              </a:lnTo>
                              <a:lnTo>
                                <a:pt x="725728" y="394931"/>
                              </a:lnTo>
                              <a:lnTo>
                                <a:pt x="488645" y="438035"/>
                              </a:lnTo>
                              <a:lnTo>
                                <a:pt x="421538" y="378929"/>
                              </a:lnTo>
                              <a:lnTo>
                                <a:pt x="412775" y="384810"/>
                              </a:lnTo>
                              <a:lnTo>
                                <a:pt x="473976" y="440702"/>
                              </a:lnTo>
                              <a:lnTo>
                                <a:pt x="232219" y="484644"/>
                              </a:lnTo>
                              <a:lnTo>
                                <a:pt x="166954" y="420306"/>
                              </a:lnTo>
                              <a:lnTo>
                                <a:pt x="149199" y="432117"/>
                              </a:lnTo>
                              <a:lnTo>
                                <a:pt x="208000" y="489051"/>
                              </a:lnTo>
                              <a:lnTo>
                                <a:pt x="0" y="526859"/>
                              </a:lnTo>
                              <a:lnTo>
                                <a:pt x="8763" y="538670"/>
                              </a:lnTo>
                              <a:lnTo>
                                <a:pt x="219659" y="500341"/>
                              </a:lnTo>
                              <a:lnTo>
                                <a:pt x="270370" y="549440"/>
                              </a:lnTo>
                              <a:lnTo>
                                <a:pt x="35039" y="592048"/>
                              </a:lnTo>
                              <a:lnTo>
                                <a:pt x="43802" y="603859"/>
                              </a:lnTo>
                              <a:lnTo>
                                <a:pt x="281914" y="560616"/>
                              </a:lnTo>
                              <a:lnTo>
                                <a:pt x="338848" y="615734"/>
                              </a:lnTo>
                              <a:lnTo>
                                <a:pt x="114147" y="657250"/>
                              </a:lnTo>
                              <a:lnTo>
                                <a:pt x="122910" y="669048"/>
                              </a:lnTo>
                              <a:lnTo>
                                <a:pt x="350901" y="627392"/>
                              </a:lnTo>
                              <a:lnTo>
                                <a:pt x="407162" y="681850"/>
                              </a:lnTo>
                              <a:lnTo>
                                <a:pt x="193255" y="722236"/>
                              </a:lnTo>
                              <a:lnTo>
                                <a:pt x="193255" y="734047"/>
                              </a:lnTo>
                              <a:lnTo>
                                <a:pt x="417880" y="692226"/>
                              </a:lnTo>
                              <a:lnTo>
                                <a:pt x="483743" y="755954"/>
                              </a:lnTo>
                              <a:lnTo>
                                <a:pt x="263334" y="799236"/>
                              </a:lnTo>
                              <a:lnTo>
                                <a:pt x="263334" y="811060"/>
                              </a:lnTo>
                              <a:lnTo>
                                <a:pt x="771766" y="712571"/>
                              </a:lnTo>
                              <a:lnTo>
                                <a:pt x="834351" y="769683"/>
                              </a:lnTo>
                              <a:lnTo>
                                <a:pt x="851852" y="757859"/>
                              </a:lnTo>
                              <a:lnTo>
                                <a:pt x="795235" y="708025"/>
                              </a:lnTo>
                              <a:lnTo>
                                <a:pt x="1029131" y="662724"/>
                              </a:lnTo>
                              <a:lnTo>
                                <a:pt x="1036320" y="669048"/>
                              </a:lnTo>
                              <a:lnTo>
                                <a:pt x="1052410" y="658215"/>
                              </a:lnTo>
                              <a:lnTo>
                                <a:pt x="1298549" y="610527"/>
                              </a:lnTo>
                              <a:lnTo>
                                <a:pt x="1369949" y="669048"/>
                              </a:lnTo>
                              <a:lnTo>
                                <a:pt x="1387551" y="663117"/>
                              </a:lnTo>
                              <a:lnTo>
                                <a:pt x="1319504" y="606475"/>
                              </a:lnTo>
                              <a:lnTo>
                                <a:pt x="1785696" y="516166"/>
                              </a:lnTo>
                              <a:lnTo>
                                <a:pt x="1844306" y="562495"/>
                              </a:lnTo>
                              <a:lnTo>
                                <a:pt x="1861820" y="556552"/>
                              </a:lnTo>
                              <a:lnTo>
                                <a:pt x="1805813" y="512267"/>
                              </a:lnTo>
                              <a:lnTo>
                                <a:pt x="2017204" y="471322"/>
                              </a:lnTo>
                              <a:lnTo>
                                <a:pt x="2020074" y="473684"/>
                              </a:lnTo>
                              <a:lnTo>
                                <a:pt x="2022563" y="470281"/>
                              </a:lnTo>
                              <a:lnTo>
                                <a:pt x="2268169" y="422706"/>
                              </a:lnTo>
                              <a:lnTo>
                                <a:pt x="2336190" y="479552"/>
                              </a:lnTo>
                              <a:lnTo>
                                <a:pt x="2353691" y="467741"/>
                              </a:lnTo>
                              <a:lnTo>
                                <a:pt x="2293861" y="417728"/>
                              </a:lnTo>
                              <a:lnTo>
                                <a:pt x="3196793" y="242811"/>
                              </a:lnTo>
                              <a:close/>
                            </a:path>
                          </a:pathLst>
                        </a:custGeom>
                        <a:solidFill>
                          <a:srgbClr val="23201D"/>
                        </a:solidFill>
                      </wps:spPr>
                      <wps:bodyPr wrap="square" lIns="0" tIns="0" rIns="0" bIns="0" rtlCol="0">
                        <a:prstTxWarp prst="textNoShape">
                          <a:avLst/>
                        </a:prstTxWarp>
                        <a:noAutofit/>
                      </wps:bodyPr>
                    </wps:wsp>
                  </a:graphicData>
                </a:graphic>
              </wp:anchor>
            </w:drawing>
          </mc:Choice>
          <mc:Fallback>
            <w:pict>
              <v:shape style="position:absolute;margin-left:164.379013pt;margin-top:40.636906pt;width:251.75pt;height:63.9pt;mso-position-horizontal-relative:page;mso-position-vertical-relative:paragraph;z-index:15750144" id="docshape60" coordorigin="3288,813" coordsize="5035,1278" path="m8322,1195l8308,1167,6874,1449,6833,1415,6833,1457,6468,1528,6439,1504,6439,1534,6106,1599,6074,1574,6074,1606,5725,1674,5736,1671,5706,1645,5706,1678,5343,1749,5310,1722,5310,1756,4928,1831,4888,1796,4888,1839,4521,1911,4484,1879,4484,1918,4081,1997,3979,1897,4379,1822,4484,1918,4484,1879,4413,1816,4784,1747,4888,1839,4888,1796,4824,1739,5204,1669,5310,1756,5310,1722,5239,1662,5605,1594,5706,1678,5706,1645,5639,1588,5973,1525,6074,1606,6074,1574,6005,1519,6345,1456,6439,1534,6439,1504,6375,1450,6744,1382,6833,1457,6833,1415,6785,1374,8197,1111,8184,1083,6759,1352,6718,1318,6718,1360,6349,1430,6319,1405,6319,1435,5980,1499,5948,1474,5948,1505,5616,1568,5582,1539,5582,1574,5216,1643,5181,1614,5181,1650,4804,1721,4764,1686,4764,1729,4393,1799,4361,1770,4361,1805,3962,1880,3875,1794,4270,1722,4361,1805,4361,1770,4300,1717,4673,1649,4764,1729,4764,1686,4713,1641,5087,1573,5181,1650,5181,1614,5124,1566,5492,1499,5582,1574,5582,1539,5527,1492,5856,1433,5948,1505,5948,1474,5888,1427,6233,1364,6319,1435,6319,1405,6263,1358,6634,1290,6718,1360,6718,1318,6675,1283,8073,1027,8059,999,6648,1260,6607,1226,6607,1268,6237,1336,6206,1311,6206,1342,5861,1405,5829,1380,5829,1411,5503,1472,5467,1441,5467,1478,5099,1546,5063,1516,5063,1553,4691,1622,4651,1586,4651,1629,4279,1698,4249,1672,4249,1703,3856,1776,3768,1689,4156,1618,4249,1703,4249,1672,4183,1614,4556,1546,4651,1629,4651,1586,4597,1538,4964,1472,5063,1553,5063,1516,5002,1465,5371,1398,5467,1478,5467,1441,5409,1391,5729,1333,5829,1411,5829,1380,5762,1327,6112,1263,6206,1342,6206,1311,6143,1258,6515,1190,6607,1268,6607,1226,6556,1183,7976,925,7976,906,6537,1167,6495,1132,6495,1174,6123,1242,6092,1216,6092,1247,5741,1311,5709,1285,5709,1317,5389,1374,5352,1342,5352,1381,4982,1448,4944,1416,4944,1455,4578,1521,4537,1486,4537,1529,4164,1596,4137,1573,4137,1601,3750,1671,3671,1594,4053,1524,4137,1601,4137,1573,4077,1520,4450,1452,4537,1529,4537,1486,4491,1445,4851,1379,4944,1455,4944,1416,4891,1372,5261,1305,5352,1381,5352,1342,5300,1298,5613,1241,5709,1317,5709,1285,5645,1235,5999,1171,6092,1247,6092,1216,6031,1165,6403,1097,6495,1174,6495,1132,6444,1090,7865,831,7852,813,6424,1072,6303,971,6275,990,6383,1080,6010,1148,5888,1046,5860,1055,5979,1153,5624,1218,5501,1120,5473,1130,5591,1224,5279,1280,5169,1186,5141,1204,5240,1288,4870,1355,4767,1270,4740,1288,4830,1362,4471,1427,4366,1335,4339,1354,4430,1435,4057,1503,3951,1409,3938,1419,4034,1507,3653,1576,3551,1475,3523,1493,3615,1583,3288,1642,3301,1661,3634,1601,3713,1678,3343,1745,3357,1764,3732,1696,3821,1782,3467,1848,3481,1866,3840,1801,3929,1887,3592,1950,3592,1969,3946,1903,4049,2003,3702,2071,3702,2090,4503,1935,4602,2025,4629,2006,4540,1928,4908,1856,4920,1866,4945,1849,5333,1774,5445,1866,5473,1857,5366,1768,6100,1626,6192,1699,6220,1689,6131,1619,6464,1555,6469,1559,6473,1553,6860,1478,6967,1568,6994,1549,6900,1471,8322,1195xe" filled="true" fillcolor="#23201d" stroked="false">
                <v:path arrowok="t"/>
                <v:fill type="solid"/>
                <w10:wrap type="none"/>
              </v:shape>
            </w:pict>
          </mc:Fallback>
        </mc:AlternateContent>
      </w:r>
      <w:r>
        <w:rPr>
          <w:rFonts w:ascii="Arial"/>
          <w:b/>
          <w:color w:val="23201D"/>
          <w:spacing w:val="-14"/>
          <w:w w:val="150"/>
          <w:sz w:val="16"/>
        </w:rPr>
        <w:t>gp</w:t>
      </w:r>
      <w:r>
        <w:rPr>
          <w:rFonts w:ascii="Arial"/>
          <w:b/>
          <w:color w:val="23201D"/>
          <w:spacing w:val="-30"/>
          <w:w w:val="150"/>
          <w:sz w:val="16"/>
        </w:rPr>
        <w:t> </w:t>
      </w:r>
      <w:r>
        <w:rPr>
          <w:rFonts w:ascii="Arial"/>
          <w:b/>
          <w:color w:val="23201D"/>
          <w:spacing w:val="-5"/>
          <w:w w:val="150"/>
          <w:sz w:val="16"/>
        </w:rPr>
        <w:t>36</w:t>
      </w:r>
    </w:p>
    <w:p>
      <w:pPr>
        <w:spacing w:after="0"/>
        <w:jc w:val="left"/>
        <w:rPr>
          <w:rFonts w:ascii="Arial"/>
          <w:sz w:val="16"/>
        </w:rPr>
        <w:sectPr>
          <w:pgSz w:w="11910" w:h="16840"/>
          <w:pgMar w:header="0" w:footer="1067" w:top="1060" w:bottom="1260" w:left="880" w:right="640"/>
        </w:sectPr>
      </w:pPr>
    </w:p>
    <w:p>
      <w:pPr>
        <w:pStyle w:val="BodyText"/>
        <w:spacing w:before="70"/>
        <w:ind w:right="238"/>
        <w:jc w:val="center"/>
      </w:pPr>
      <w:r>
        <w:rPr/>
        <w:t>Appendix</w:t>
      </w:r>
      <w:r>
        <w:rPr>
          <w:spacing w:val="-2"/>
        </w:rPr>
        <w:t> </w:t>
      </w:r>
      <w:r>
        <w:rPr>
          <w:spacing w:val="-10"/>
        </w:rPr>
        <w:t>V</w:t>
      </w:r>
    </w:p>
    <w:p>
      <w:pPr>
        <w:pStyle w:val="BodyText"/>
        <w:ind w:right="1424"/>
        <w:jc w:val="center"/>
      </w:pPr>
      <w:r>
        <w:rPr/>
        <w:t>Diagram</w:t>
      </w:r>
      <w:r>
        <w:rPr>
          <w:spacing w:val="-1"/>
        </w:rPr>
        <w:t> </w:t>
      </w:r>
      <w:r>
        <w:rPr/>
        <w:t>showing</w:t>
      </w:r>
      <w:r>
        <w:rPr>
          <w:spacing w:val="-1"/>
        </w:rPr>
        <w:t> </w:t>
      </w:r>
      <w:r>
        <w:rPr/>
        <w:t>the</w:t>
      </w:r>
      <w:r>
        <w:rPr>
          <w:spacing w:val="-1"/>
        </w:rPr>
        <w:t> </w:t>
      </w:r>
      <w:r>
        <w:rPr/>
        <w:t>working mechanism</w:t>
      </w:r>
      <w:r>
        <w:rPr>
          <w:spacing w:val="-1"/>
        </w:rPr>
        <w:t> </w:t>
      </w:r>
      <w:r>
        <w:rPr/>
        <w:t>of</w:t>
      </w:r>
      <w:r>
        <w:rPr>
          <w:spacing w:val="-1"/>
        </w:rPr>
        <w:t> </w:t>
      </w:r>
      <w:r>
        <w:rPr/>
        <w:t>the Immunocomb</w:t>
      </w:r>
      <w:r>
        <w:rPr>
          <w:spacing w:val="-1"/>
        </w:rPr>
        <w:t> </w:t>
      </w:r>
      <w:r>
        <w:rPr/>
        <w:t>kit</w:t>
      </w:r>
      <w:r>
        <w:rPr>
          <w:spacing w:val="-1"/>
        </w:rPr>
        <w:t> </w:t>
      </w:r>
      <w:r>
        <w:rPr/>
        <w:t>for</w:t>
      </w:r>
      <w:r>
        <w:rPr>
          <w:spacing w:val="-1"/>
        </w:rPr>
        <w:t> </w:t>
      </w:r>
      <w:r>
        <w:rPr/>
        <w:t>HIV</w:t>
      </w:r>
      <w:r>
        <w:rPr>
          <w:spacing w:val="2"/>
        </w:rPr>
        <w:t> </w:t>
      </w:r>
      <w:r>
        <w:rPr/>
        <w:t>I</w:t>
      </w:r>
      <w:r>
        <w:rPr>
          <w:spacing w:val="-5"/>
        </w:rPr>
        <w:t> </w:t>
      </w:r>
      <w:r>
        <w:rPr/>
        <w:t>&amp; </w:t>
      </w:r>
      <w:r>
        <w:rPr>
          <w:spacing w:val="-5"/>
        </w:rPr>
        <w:t>II</w:t>
      </w:r>
    </w:p>
    <w:p>
      <w:pPr>
        <w:pStyle w:val="BodyText"/>
        <w:spacing w:before="51"/>
        <w:rPr>
          <w:sz w:val="20"/>
        </w:rPr>
      </w:pPr>
      <w:r>
        <w:rPr/>
        <mc:AlternateContent>
          <mc:Choice Requires="wps">
            <w:drawing>
              <wp:anchor distT="0" distB="0" distL="0" distR="0" allowOverlap="1" layoutInCell="1" locked="0" behindDoc="1" simplePos="0" relativeHeight="487609856">
                <wp:simplePos x="0" y="0"/>
                <wp:positionH relativeFrom="page">
                  <wp:posOffset>931483</wp:posOffset>
                </wp:positionH>
                <wp:positionV relativeFrom="paragraph">
                  <wp:posOffset>193668</wp:posOffset>
                </wp:positionV>
                <wp:extent cx="5323840" cy="2797810"/>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5323840" cy="2797810"/>
                          <a:chExt cx="5323840" cy="2797810"/>
                        </a:xfrm>
                      </wpg:grpSpPr>
                      <pic:pic>
                        <pic:nvPicPr>
                          <pic:cNvPr id="93" name="Image 93"/>
                          <pic:cNvPicPr/>
                        </pic:nvPicPr>
                        <pic:blipFill>
                          <a:blip r:embed="rId29" cstate="print"/>
                          <a:stretch>
                            <a:fillRect/>
                          </a:stretch>
                        </pic:blipFill>
                        <pic:spPr>
                          <a:xfrm>
                            <a:off x="1215331" y="593245"/>
                            <a:ext cx="222557" cy="151539"/>
                          </a:xfrm>
                          <a:prstGeom prst="rect">
                            <a:avLst/>
                          </a:prstGeom>
                        </pic:spPr>
                      </pic:pic>
                      <wps:wsp>
                        <wps:cNvPr id="94" name="Graphic 94"/>
                        <wps:cNvSpPr/>
                        <wps:spPr>
                          <a:xfrm>
                            <a:off x="992744" y="634629"/>
                            <a:ext cx="120650" cy="109855"/>
                          </a:xfrm>
                          <a:custGeom>
                            <a:avLst/>
                            <a:gdLst/>
                            <a:ahLst/>
                            <a:cxnLst/>
                            <a:rect l="l" t="t" r="r" b="b"/>
                            <a:pathLst>
                              <a:path w="120650" h="109855">
                                <a:moveTo>
                                  <a:pt x="120065" y="27330"/>
                                </a:moveTo>
                                <a:lnTo>
                                  <a:pt x="85902" y="27330"/>
                                </a:lnTo>
                                <a:lnTo>
                                  <a:pt x="85902" y="0"/>
                                </a:lnTo>
                                <a:lnTo>
                                  <a:pt x="34175" y="0"/>
                                </a:lnTo>
                                <a:lnTo>
                                  <a:pt x="34175" y="27330"/>
                                </a:lnTo>
                                <a:lnTo>
                                  <a:pt x="0" y="27330"/>
                                </a:lnTo>
                                <a:lnTo>
                                  <a:pt x="0" y="68757"/>
                                </a:lnTo>
                                <a:lnTo>
                                  <a:pt x="34175" y="68757"/>
                                </a:lnTo>
                                <a:lnTo>
                                  <a:pt x="34175" y="109855"/>
                                </a:lnTo>
                                <a:lnTo>
                                  <a:pt x="85902" y="109855"/>
                                </a:lnTo>
                                <a:lnTo>
                                  <a:pt x="85902" y="68757"/>
                                </a:lnTo>
                                <a:lnTo>
                                  <a:pt x="120065" y="68757"/>
                                </a:lnTo>
                                <a:lnTo>
                                  <a:pt x="120065" y="27330"/>
                                </a:lnTo>
                                <a:close/>
                              </a:path>
                            </a:pathLst>
                          </a:custGeom>
                          <a:solidFill>
                            <a:srgbClr val="828180"/>
                          </a:solidFill>
                        </wps:spPr>
                        <wps:bodyPr wrap="square" lIns="0" tIns="0" rIns="0" bIns="0" rtlCol="0">
                          <a:prstTxWarp prst="textNoShape">
                            <a:avLst/>
                          </a:prstTxWarp>
                          <a:noAutofit/>
                        </wps:bodyPr>
                      </wps:wsp>
                      <wps:wsp>
                        <wps:cNvPr id="95" name="Graphic 95"/>
                        <wps:cNvSpPr/>
                        <wps:spPr>
                          <a:xfrm>
                            <a:off x="1454975" y="1309673"/>
                            <a:ext cx="154305" cy="124460"/>
                          </a:xfrm>
                          <a:custGeom>
                            <a:avLst/>
                            <a:gdLst/>
                            <a:ahLst/>
                            <a:cxnLst/>
                            <a:rect l="l" t="t" r="r" b="b"/>
                            <a:pathLst>
                              <a:path w="154305" h="124460">
                                <a:moveTo>
                                  <a:pt x="154227" y="0"/>
                                </a:moveTo>
                                <a:lnTo>
                                  <a:pt x="0" y="0"/>
                                </a:lnTo>
                                <a:lnTo>
                                  <a:pt x="0" y="123915"/>
                                </a:lnTo>
                                <a:lnTo>
                                  <a:pt x="154227" y="123915"/>
                                </a:lnTo>
                                <a:lnTo>
                                  <a:pt x="154227" y="0"/>
                                </a:lnTo>
                                <a:close/>
                              </a:path>
                            </a:pathLst>
                          </a:custGeom>
                          <a:solidFill>
                            <a:srgbClr val="A9A8A7"/>
                          </a:solidFill>
                        </wps:spPr>
                        <wps:bodyPr wrap="square" lIns="0" tIns="0" rIns="0" bIns="0" rtlCol="0">
                          <a:prstTxWarp prst="textNoShape">
                            <a:avLst/>
                          </a:prstTxWarp>
                          <a:noAutofit/>
                        </wps:bodyPr>
                      </wps:wsp>
                      <wps:wsp>
                        <wps:cNvPr id="96" name="Graphic 96"/>
                        <wps:cNvSpPr/>
                        <wps:spPr>
                          <a:xfrm>
                            <a:off x="1454975" y="1309673"/>
                            <a:ext cx="154305" cy="124460"/>
                          </a:xfrm>
                          <a:custGeom>
                            <a:avLst/>
                            <a:gdLst/>
                            <a:ahLst/>
                            <a:cxnLst/>
                            <a:rect l="l" t="t" r="r" b="b"/>
                            <a:pathLst>
                              <a:path w="154305" h="124460">
                                <a:moveTo>
                                  <a:pt x="0" y="123915"/>
                                </a:moveTo>
                                <a:lnTo>
                                  <a:pt x="154227" y="123915"/>
                                </a:lnTo>
                                <a:lnTo>
                                  <a:pt x="154227" y="0"/>
                                </a:lnTo>
                                <a:lnTo>
                                  <a:pt x="0" y="0"/>
                                </a:lnTo>
                                <a:lnTo>
                                  <a:pt x="0" y="123915"/>
                                </a:lnTo>
                                <a:close/>
                              </a:path>
                            </a:pathLst>
                          </a:custGeom>
                          <a:ln w="15017">
                            <a:solidFill>
                              <a:srgbClr val="23201D"/>
                            </a:solidFill>
                            <a:prstDash val="solid"/>
                          </a:ln>
                        </wps:spPr>
                        <wps:bodyPr wrap="square" lIns="0" tIns="0" rIns="0" bIns="0" rtlCol="0">
                          <a:prstTxWarp prst="textNoShape">
                            <a:avLst/>
                          </a:prstTxWarp>
                          <a:noAutofit/>
                        </wps:bodyPr>
                      </wps:wsp>
                      <wps:wsp>
                        <wps:cNvPr id="97" name="Graphic 97"/>
                        <wps:cNvSpPr/>
                        <wps:spPr>
                          <a:xfrm>
                            <a:off x="1780512" y="1323362"/>
                            <a:ext cx="325120" cy="82550"/>
                          </a:xfrm>
                          <a:custGeom>
                            <a:avLst/>
                            <a:gdLst/>
                            <a:ahLst/>
                            <a:cxnLst/>
                            <a:rect l="l" t="t" r="r" b="b"/>
                            <a:pathLst>
                              <a:path w="325120" h="82550">
                                <a:moveTo>
                                  <a:pt x="324980" y="41427"/>
                                </a:moveTo>
                                <a:lnTo>
                                  <a:pt x="221996" y="0"/>
                                </a:lnTo>
                                <a:lnTo>
                                  <a:pt x="221996" y="27368"/>
                                </a:lnTo>
                                <a:lnTo>
                                  <a:pt x="0" y="27368"/>
                                </a:lnTo>
                                <a:lnTo>
                                  <a:pt x="0" y="41427"/>
                                </a:lnTo>
                                <a:lnTo>
                                  <a:pt x="221996" y="41427"/>
                                </a:lnTo>
                                <a:lnTo>
                                  <a:pt x="221996" y="82486"/>
                                </a:lnTo>
                                <a:lnTo>
                                  <a:pt x="324980" y="41427"/>
                                </a:lnTo>
                                <a:close/>
                              </a:path>
                            </a:pathLst>
                          </a:custGeom>
                          <a:solidFill>
                            <a:srgbClr val="23201D"/>
                          </a:solidFill>
                        </wps:spPr>
                        <wps:bodyPr wrap="square" lIns="0" tIns="0" rIns="0" bIns="0" rtlCol="0">
                          <a:prstTxWarp prst="textNoShape">
                            <a:avLst/>
                          </a:prstTxWarp>
                          <a:noAutofit/>
                        </wps:bodyPr>
                      </wps:wsp>
                      <pic:pic>
                        <pic:nvPicPr>
                          <pic:cNvPr id="98" name="Image 98"/>
                          <pic:cNvPicPr/>
                        </pic:nvPicPr>
                        <pic:blipFill>
                          <a:blip r:embed="rId30" cstate="print"/>
                          <a:stretch>
                            <a:fillRect/>
                          </a:stretch>
                        </pic:blipFill>
                        <pic:spPr>
                          <a:xfrm>
                            <a:off x="1797605" y="620588"/>
                            <a:ext cx="290925" cy="82798"/>
                          </a:xfrm>
                          <a:prstGeom prst="rect">
                            <a:avLst/>
                          </a:prstGeom>
                        </pic:spPr>
                      </pic:pic>
                      <wps:wsp>
                        <wps:cNvPr id="99" name="Graphic 99"/>
                        <wps:cNvSpPr/>
                        <wps:spPr>
                          <a:xfrm>
                            <a:off x="2704516" y="1281929"/>
                            <a:ext cx="171450" cy="124460"/>
                          </a:xfrm>
                          <a:custGeom>
                            <a:avLst/>
                            <a:gdLst/>
                            <a:ahLst/>
                            <a:cxnLst/>
                            <a:rect l="l" t="t" r="r" b="b"/>
                            <a:pathLst>
                              <a:path w="171450" h="124460">
                                <a:moveTo>
                                  <a:pt x="171313" y="0"/>
                                </a:moveTo>
                                <a:lnTo>
                                  <a:pt x="0" y="0"/>
                                </a:lnTo>
                                <a:lnTo>
                                  <a:pt x="0" y="123915"/>
                                </a:lnTo>
                                <a:lnTo>
                                  <a:pt x="171313" y="123915"/>
                                </a:lnTo>
                                <a:lnTo>
                                  <a:pt x="171313" y="0"/>
                                </a:lnTo>
                                <a:close/>
                              </a:path>
                            </a:pathLst>
                          </a:custGeom>
                          <a:solidFill>
                            <a:srgbClr val="A9A8A7"/>
                          </a:solidFill>
                        </wps:spPr>
                        <wps:bodyPr wrap="square" lIns="0" tIns="0" rIns="0" bIns="0" rtlCol="0">
                          <a:prstTxWarp prst="textNoShape">
                            <a:avLst/>
                          </a:prstTxWarp>
                          <a:noAutofit/>
                        </wps:bodyPr>
                      </wps:wsp>
                      <wps:wsp>
                        <wps:cNvPr id="100" name="Graphic 100"/>
                        <wps:cNvSpPr/>
                        <wps:spPr>
                          <a:xfrm>
                            <a:off x="2704516" y="1281929"/>
                            <a:ext cx="171450" cy="124460"/>
                          </a:xfrm>
                          <a:custGeom>
                            <a:avLst/>
                            <a:gdLst/>
                            <a:ahLst/>
                            <a:cxnLst/>
                            <a:rect l="l" t="t" r="r" b="b"/>
                            <a:pathLst>
                              <a:path w="171450" h="124460">
                                <a:moveTo>
                                  <a:pt x="0" y="123915"/>
                                </a:moveTo>
                                <a:lnTo>
                                  <a:pt x="171313" y="123915"/>
                                </a:lnTo>
                                <a:lnTo>
                                  <a:pt x="171313" y="0"/>
                                </a:lnTo>
                                <a:lnTo>
                                  <a:pt x="0" y="0"/>
                                </a:lnTo>
                                <a:lnTo>
                                  <a:pt x="0" y="123915"/>
                                </a:lnTo>
                                <a:close/>
                              </a:path>
                            </a:pathLst>
                          </a:custGeom>
                          <a:ln w="14851">
                            <a:solidFill>
                              <a:srgbClr val="23201D"/>
                            </a:solidFill>
                            <a:prstDash val="solid"/>
                          </a:ln>
                        </wps:spPr>
                        <wps:bodyPr wrap="square" lIns="0" tIns="0" rIns="0" bIns="0" rtlCol="0">
                          <a:prstTxWarp prst="textNoShape">
                            <a:avLst/>
                          </a:prstTxWarp>
                          <a:noAutofit/>
                        </wps:bodyPr>
                      </wps:wsp>
                      <wps:wsp>
                        <wps:cNvPr id="101" name="Graphic 101"/>
                        <wps:cNvSpPr/>
                        <wps:spPr>
                          <a:xfrm>
                            <a:off x="2225063" y="2122332"/>
                            <a:ext cx="342900" cy="69215"/>
                          </a:xfrm>
                          <a:custGeom>
                            <a:avLst/>
                            <a:gdLst/>
                            <a:ahLst/>
                            <a:cxnLst/>
                            <a:rect l="l" t="t" r="r" b="b"/>
                            <a:pathLst>
                              <a:path w="342900" h="69215">
                                <a:moveTo>
                                  <a:pt x="256730" y="27368"/>
                                </a:moveTo>
                                <a:lnTo>
                                  <a:pt x="0" y="27368"/>
                                </a:lnTo>
                                <a:lnTo>
                                  <a:pt x="0" y="41427"/>
                                </a:lnTo>
                                <a:lnTo>
                                  <a:pt x="256730" y="41427"/>
                                </a:lnTo>
                                <a:lnTo>
                                  <a:pt x="256730" y="27368"/>
                                </a:lnTo>
                                <a:close/>
                              </a:path>
                              <a:path w="342900" h="69215">
                                <a:moveTo>
                                  <a:pt x="342709" y="41427"/>
                                </a:moveTo>
                                <a:lnTo>
                                  <a:pt x="256895" y="0"/>
                                </a:lnTo>
                                <a:lnTo>
                                  <a:pt x="256895" y="68808"/>
                                </a:lnTo>
                                <a:lnTo>
                                  <a:pt x="342709" y="41427"/>
                                </a:lnTo>
                                <a:close/>
                              </a:path>
                            </a:pathLst>
                          </a:custGeom>
                          <a:solidFill>
                            <a:srgbClr val="23201D"/>
                          </a:solidFill>
                        </wps:spPr>
                        <wps:bodyPr wrap="square" lIns="0" tIns="0" rIns="0" bIns="0" rtlCol="0">
                          <a:prstTxWarp prst="textNoShape">
                            <a:avLst/>
                          </a:prstTxWarp>
                          <a:noAutofit/>
                        </wps:bodyPr>
                      </wps:wsp>
                      <pic:pic>
                        <pic:nvPicPr>
                          <pic:cNvPr id="102" name="Image 102"/>
                          <pic:cNvPicPr/>
                        </pic:nvPicPr>
                        <pic:blipFill>
                          <a:blip r:embed="rId31" cstate="print"/>
                          <a:stretch>
                            <a:fillRect/>
                          </a:stretch>
                        </pic:blipFill>
                        <pic:spPr>
                          <a:xfrm>
                            <a:off x="1711707" y="1984739"/>
                            <a:ext cx="102966" cy="96160"/>
                          </a:xfrm>
                          <a:prstGeom prst="rect">
                            <a:avLst/>
                          </a:prstGeom>
                        </pic:spPr>
                      </pic:pic>
                      <wps:wsp>
                        <wps:cNvPr id="103" name="Graphic 103"/>
                        <wps:cNvSpPr/>
                        <wps:spPr>
                          <a:xfrm>
                            <a:off x="-2" y="10"/>
                            <a:ext cx="5323840" cy="2797810"/>
                          </a:xfrm>
                          <a:custGeom>
                            <a:avLst/>
                            <a:gdLst/>
                            <a:ahLst/>
                            <a:cxnLst/>
                            <a:rect l="l" t="t" r="r" b="b"/>
                            <a:pathLst>
                              <a:path w="5323840" h="2797810">
                                <a:moveTo>
                                  <a:pt x="5323510" y="520"/>
                                </a:moveTo>
                                <a:lnTo>
                                  <a:pt x="5306352" y="520"/>
                                </a:lnTo>
                                <a:lnTo>
                                  <a:pt x="5306352" y="0"/>
                                </a:lnTo>
                                <a:lnTo>
                                  <a:pt x="5289372" y="0"/>
                                </a:lnTo>
                                <a:lnTo>
                                  <a:pt x="5289372" y="28333"/>
                                </a:lnTo>
                                <a:lnTo>
                                  <a:pt x="5289372" y="2769908"/>
                                </a:lnTo>
                                <a:lnTo>
                                  <a:pt x="5289372" y="2770035"/>
                                </a:lnTo>
                                <a:lnTo>
                                  <a:pt x="34163" y="2770035"/>
                                </a:lnTo>
                                <a:lnTo>
                                  <a:pt x="34163" y="2769908"/>
                                </a:lnTo>
                                <a:lnTo>
                                  <a:pt x="34163" y="28333"/>
                                </a:lnTo>
                                <a:lnTo>
                                  <a:pt x="5289372" y="28333"/>
                                </a:lnTo>
                                <a:lnTo>
                                  <a:pt x="5289372" y="0"/>
                                </a:lnTo>
                                <a:lnTo>
                                  <a:pt x="17081" y="0"/>
                                </a:lnTo>
                                <a:lnTo>
                                  <a:pt x="0" y="0"/>
                                </a:lnTo>
                                <a:lnTo>
                                  <a:pt x="0" y="28232"/>
                                </a:lnTo>
                                <a:lnTo>
                                  <a:pt x="0" y="2769908"/>
                                </a:lnTo>
                                <a:lnTo>
                                  <a:pt x="0" y="2797022"/>
                                </a:lnTo>
                                <a:lnTo>
                                  <a:pt x="17081" y="2797022"/>
                                </a:lnTo>
                                <a:lnTo>
                                  <a:pt x="5306352" y="2797022"/>
                                </a:lnTo>
                                <a:lnTo>
                                  <a:pt x="5306352" y="2797403"/>
                                </a:lnTo>
                                <a:lnTo>
                                  <a:pt x="5323510" y="2797403"/>
                                </a:lnTo>
                                <a:lnTo>
                                  <a:pt x="5323510" y="2770035"/>
                                </a:lnTo>
                                <a:lnTo>
                                  <a:pt x="5306352" y="2770035"/>
                                </a:lnTo>
                                <a:lnTo>
                                  <a:pt x="5306352" y="2769908"/>
                                </a:lnTo>
                                <a:lnTo>
                                  <a:pt x="5323510" y="2769908"/>
                                </a:lnTo>
                                <a:lnTo>
                                  <a:pt x="5323510" y="28333"/>
                                </a:lnTo>
                                <a:lnTo>
                                  <a:pt x="5323510" y="520"/>
                                </a:lnTo>
                                <a:close/>
                              </a:path>
                            </a:pathLst>
                          </a:custGeom>
                          <a:solidFill>
                            <a:srgbClr val="23201D"/>
                          </a:solidFill>
                        </wps:spPr>
                        <wps:bodyPr wrap="square" lIns="0" tIns="0" rIns="0" bIns="0" rtlCol="0">
                          <a:prstTxWarp prst="textNoShape">
                            <a:avLst/>
                          </a:prstTxWarp>
                          <a:noAutofit/>
                        </wps:bodyPr>
                      </wps:wsp>
                      <pic:pic>
                        <pic:nvPicPr>
                          <pic:cNvPr id="104" name="Image 104"/>
                          <pic:cNvPicPr/>
                        </pic:nvPicPr>
                        <pic:blipFill>
                          <a:blip r:embed="rId32" cstate="print"/>
                          <a:stretch>
                            <a:fillRect/>
                          </a:stretch>
                        </pic:blipFill>
                        <pic:spPr>
                          <a:xfrm>
                            <a:off x="1207778" y="571944"/>
                            <a:ext cx="237663" cy="166337"/>
                          </a:xfrm>
                          <a:prstGeom prst="rect">
                            <a:avLst/>
                          </a:prstGeom>
                        </pic:spPr>
                      </pic:pic>
                      <wps:wsp>
                        <wps:cNvPr id="105" name="Graphic 105"/>
                        <wps:cNvSpPr/>
                        <wps:spPr>
                          <a:xfrm>
                            <a:off x="1026919" y="1309672"/>
                            <a:ext cx="531495" cy="909319"/>
                          </a:xfrm>
                          <a:custGeom>
                            <a:avLst/>
                            <a:gdLst/>
                            <a:ahLst/>
                            <a:cxnLst/>
                            <a:rect l="l" t="t" r="r" b="b"/>
                            <a:pathLst>
                              <a:path w="531495" h="909319">
                                <a:moveTo>
                                  <a:pt x="120065" y="41059"/>
                                </a:moveTo>
                                <a:lnTo>
                                  <a:pt x="85890" y="41059"/>
                                </a:lnTo>
                                <a:lnTo>
                                  <a:pt x="85890" y="0"/>
                                </a:lnTo>
                                <a:lnTo>
                                  <a:pt x="34645" y="0"/>
                                </a:lnTo>
                                <a:lnTo>
                                  <a:pt x="34645" y="41059"/>
                                </a:lnTo>
                                <a:lnTo>
                                  <a:pt x="0" y="41059"/>
                                </a:lnTo>
                                <a:lnTo>
                                  <a:pt x="0" y="82486"/>
                                </a:lnTo>
                                <a:lnTo>
                                  <a:pt x="34645" y="82486"/>
                                </a:lnTo>
                                <a:lnTo>
                                  <a:pt x="34645" y="109855"/>
                                </a:lnTo>
                                <a:lnTo>
                                  <a:pt x="85890" y="109855"/>
                                </a:lnTo>
                                <a:lnTo>
                                  <a:pt x="85890" y="82486"/>
                                </a:lnTo>
                                <a:lnTo>
                                  <a:pt x="120065" y="82486"/>
                                </a:lnTo>
                                <a:lnTo>
                                  <a:pt x="120065" y="41059"/>
                                </a:lnTo>
                                <a:close/>
                              </a:path>
                              <a:path w="531495" h="909319">
                                <a:moveTo>
                                  <a:pt x="531025" y="840028"/>
                                </a:moveTo>
                                <a:lnTo>
                                  <a:pt x="496392" y="840028"/>
                                </a:lnTo>
                                <a:lnTo>
                                  <a:pt x="496392" y="798982"/>
                                </a:lnTo>
                                <a:lnTo>
                                  <a:pt x="445135" y="798982"/>
                                </a:lnTo>
                                <a:lnTo>
                                  <a:pt x="445135" y="840028"/>
                                </a:lnTo>
                                <a:lnTo>
                                  <a:pt x="410959" y="840028"/>
                                </a:lnTo>
                                <a:lnTo>
                                  <a:pt x="410959" y="867778"/>
                                </a:lnTo>
                                <a:lnTo>
                                  <a:pt x="445135" y="867778"/>
                                </a:lnTo>
                                <a:lnTo>
                                  <a:pt x="445135" y="909205"/>
                                </a:lnTo>
                                <a:lnTo>
                                  <a:pt x="496392" y="909205"/>
                                </a:lnTo>
                                <a:lnTo>
                                  <a:pt x="496392" y="867778"/>
                                </a:lnTo>
                                <a:lnTo>
                                  <a:pt x="531025" y="867778"/>
                                </a:lnTo>
                                <a:lnTo>
                                  <a:pt x="531025" y="840028"/>
                                </a:lnTo>
                                <a:close/>
                              </a:path>
                            </a:pathLst>
                          </a:custGeom>
                          <a:solidFill>
                            <a:srgbClr val="828180"/>
                          </a:solidFill>
                        </wps:spPr>
                        <wps:bodyPr wrap="square" lIns="0" tIns="0" rIns="0" bIns="0" rtlCol="0">
                          <a:prstTxWarp prst="textNoShape">
                            <a:avLst/>
                          </a:prstTxWarp>
                          <a:noAutofit/>
                        </wps:bodyPr>
                      </wps:wsp>
                      <wps:wsp>
                        <wps:cNvPr id="106" name="Graphic 106"/>
                        <wps:cNvSpPr/>
                        <wps:spPr>
                          <a:xfrm>
                            <a:off x="1848848" y="1984739"/>
                            <a:ext cx="120014" cy="82550"/>
                          </a:xfrm>
                          <a:custGeom>
                            <a:avLst/>
                            <a:gdLst/>
                            <a:ahLst/>
                            <a:cxnLst/>
                            <a:rect l="l" t="t" r="r" b="b"/>
                            <a:pathLst>
                              <a:path w="120014" h="82550">
                                <a:moveTo>
                                  <a:pt x="68425" y="0"/>
                                </a:moveTo>
                                <a:lnTo>
                                  <a:pt x="43284" y="2565"/>
                                </a:lnTo>
                                <a:lnTo>
                                  <a:pt x="21368" y="10262"/>
                                </a:lnTo>
                                <a:lnTo>
                                  <a:pt x="5874" y="23089"/>
                                </a:lnTo>
                                <a:lnTo>
                                  <a:pt x="0" y="41043"/>
                                </a:lnTo>
                                <a:lnTo>
                                  <a:pt x="5874" y="59228"/>
                                </a:lnTo>
                                <a:lnTo>
                                  <a:pt x="21368" y="72168"/>
                                </a:lnTo>
                                <a:lnTo>
                                  <a:pt x="43284" y="79904"/>
                                </a:lnTo>
                                <a:lnTo>
                                  <a:pt x="68425" y="82474"/>
                                </a:lnTo>
                                <a:lnTo>
                                  <a:pt x="90812" y="79904"/>
                                </a:lnTo>
                                <a:lnTo>
                                  <a:pt x="106780" y="72168"/>
                                </a:lnTo>
                                <a:lnTo>
                                  <a:pt x="116347" y="59228"/>
                                </a:lnTo>
                                <a:lnTo>
                                  <a:pt x="119532" y="41043"/>
                                </a:lnTo>
                                <a:lnTo>
                                  <a:pt x="116347" y="23089"/>
                                </a:lnTo>
                                <a:lnTo>
                                  <a:pt x="106780" y="10262"/>
                                </a:lnTo>
                                <a:lnTo>
                                  <a:pt x="90812" y="2565"/>
                                </a:lnTo>
                                <a:lnTo>
                                  <a:pt x="68425" y="0"/>
                                </a:lnTo>
                                <a:close/>
                              </a:path>
                            </a:pathLst>
                          </a:custGeom>
                          <a:solidFill>
                            <a:srgbClr val="23201D"/>
                          </a:solidFill>
                        </wps:spPr>
                        <wps:bodyPr wrap="square" lIns="0" tIns="0" rIns="0" bIns="0" rtlCol="0">
                          <a:prstTxWarp prst="textNoShape">
                            <a:avLst/>
                          </a:prstTxWarp>
                          <a:noAutofit/>
                        </wps:bodyPr>
                      </wps:wsp>
                      <wps:wsp>
                        <wps:cNvPr id="107" name="Graphic 107"/>
                        <wps:cNvSpPr/>
                        <wps:spPr>
                          <a:xfrm>
                            <a:off x="1865935" y="1984739"/>
                            <a:ext cx="85725" cy="82550"/>
                          </a:xfrm>
                          <a:custGeom>
                            <a:avLst/>
                            <a:gdLst/>
                            <a:ahLst/>
                            <a:cxnLst/>
                            <a:rect l="l" t="t" r="r" b="b"/>
                            <a:pathLst>
                              <a:path w="85725" h="82550">
                                <a:moveTo>
                                  <a:pt x="34155" y="0"/>
                                </a:moveTo>
                                <a:lnTo>
                                  <a:pt x="21617" y="2565"/>
                                </a:lnTo>
                                <a:lnTo>
                                  <a:pt x="10677" y="10262"/>
                                </a:lnTo>
                                <a:lnTo>
                                  <a:pt x="2936" y="23089"/>
                                </a:lnTo>
                                <a:lnTo>
                                  <a:pt x="0" y="41043"/>
                                </a:lnTo>
                                <a:lnTo>
                                  <a:pt x="2936" y="53454"/>
                                </a:lnTo>
                                <a:lnTo>
                                  <a:pt x="10677" y="67036"/>
                                </a:lnTo>
                                <a:lnTo>
                                  <a:pt x="21617" y="77979"/>
                                </a:lnTo>
                                <a:lnTo>
                                  <a:pt x="34155" y="82474"/>
                                </a:lnTo>
                                <a:lnTo>
                                  <a:pt x="56582" y="77979"/>
                                </a:lnTo>
                                <a:lnTo>
                                  <a:pt x="72622" y="67036"/>
                                </a:lnTo>
                                <a:lnTo>
                                  <a:pt x="82258" y="53454"/>
                                </a:lnTo>
                                <a:lnTo>
                                  <a:pt x="85474" y="41043"/>
                                </a:lnTo>
                                <a:lnTo>
                                  <a:pt x="82258" y="23089"/>
                                </a:lnTo>
                                <a:lnTo>
                                  <a:pt x="72622" y="10262"/>
                                </a:lnTo>
                                <a:lnTo>
                                  <a:pt x="56582" y="2565"/>
                                </a:lnTo>
                                <a:lnTo>
                                  <a:pt x="34155" y="0"/>
                                </a:lnTo>
                                <a:close/>
                              </a:path>
                            </a:pathLst>
                          </a:custGeom>
                          <a:solidFill>
                            <a:srgbClr val="FFFFFF"/>
                          </a:solidFill>
                        </wps:spPr>
                        <wps:bodyPr wrap="square" lIns="0" tIns="0" rIns="0" bIns="0" rtlCol="0">
                          <a:prstTxWarp prst="textNoShape">
                            <a:avLst/>
                          </a:prstTxWarp>
                          <a:noAutofit/>
                        </wps:bodyPr>
                      </wps:wsp>
                      <wps:wsp>
                        <wps:cNvPr id="108" name="Graphic 108"/>
                        <wps:cNvSpPr/>
                        <wps:spPr>
                          <a:xfrm>
                            <a:off x="2002516" y="1984739"/>
                            <a:ext cx="120650" cy="82550"/>
                          </a:xfrm>
                          <a:custGeom>
                            <a:avLst/>
                            <a:gdLst/>
                            <a:ahLst/>
                            <a:cxnLst/>
                            <a:rect l="l" t="t" r="r" b="b"/>
                            <a:pathLst>
                              <a:path w="120650" h="82550">
                                <a:moveTo>
                                  <a:pt x="51878" y="0"/>
                                </a:moveTo>
                                <a:lnTo>
                                  <a:pt x="29290" y="2565"/>
                                </a:lnTo>
                                <a:lnTo>
                                  <a:pt x="13066" y="10262"/>
                                </a:lnTo>
                                <a:lnTo>
                                  <a:pt x="3278" y="23089"/>
                                </a:lnTo>
                                <a:lnTo>
                                  <a:pt x="0" y="41043"/>
                                </a:lnTo>
                                <a:lnTo>
                                  <a:pt x="3278" y="59228"/>
                                </a:lnTo>
                                <a:lnTo>
                                  <a:pt x="13066" y="72168"/>
                                </a:lnTo>
                                <a:lnTo>
                                  <a:pt x="29290" y="79904"/>
                                </a:lnTo>
                                <a:lnTo>
                                  <a:pt x="51878" y="82474"/>
                                </a:lnTo>
                                <a:lnTo>
                                  <a:pt x="76947" y="79904"/>
                                </a:lnTo>
                                <a:lnTo>
                                  <a:pt x="98815" y="72168"/>
                                </a:lnTo>
                                <a:lnTo>
                                  <a:pt x="114282" y="59228"/>
                                </a:lnTo>
                                <a:lnTo>
                                  <a:pt x="120150" y="41043"/>
                                </a:lnTo>
                                <a:lnTo>
                                  <a:pt x="114282" y="23089"/>
                                </a:lnTo>
                                <a:lnTo>
                                  <a:pt x="98815" y="10262"/>
                                </a:lnTo>
                                <a:lnTo>
                                  <a:pt x="76947" y="2565"/>
                                </a:lnTo>
                                <a:lnTo>
                                  <a:pt x="51878" y="0"/>
                                </a:lnTo>
                                <a:close/>
                              </a:path>
                            </a:pathLst>
                          </a:custGeom>
                          <a:solidFill>
                            <a:srgbClr val="23201D"/>
                          </a:solidFill>
                        </wps:spPr>
                        <wps:bodyPr wrap="square" lIns="0" tIns="0" rIns="0" bIns="0" rtlCol="0">
                          <a:prstTxWarp prst="textNoShape">
                            <a:avLst/>
                          </a:prstTxWarp>
                          <a:noAutofit/>
                        </wps:bodyPr>
                      </wps:wsp>
                      <wps:wsp>
                        <wps:cNvPr id="109" name="Graphic 109"/>
                        <wps:cNvSpPr/>
                        <wps:spPr>
                          <a:xfrm>
                            <a:off x="2002516" y="1984739"/>
                            <a:ext cx="103505" cy="82550"/>
                          </a:xfrm>
                          <a:custGeom>
                            <a:avLst/>
                            <a:gdLst/>
                            <a:ahLst/>
                            <a:cxnLst/>
                            <a:rect l="l" t="t" r="r" b="b"/>
                            <a:pathLst>
                              <a:path w="103505" h="82550">
                                <a:moveTo>
                                  <a:pt x="51878" y="0"/>
                                </a:moveTo>
                                <a:lnTo>
                                  <a:pt x="36531" y="2565"/>
                                </a:lnTo>
                                <a:lnTo>
                                  <a:pt x="19502" y="10262"/>
                                </a:lnTo>
                                <a:lnTo>
                                  <a:pt x="5692" y="23089"/>
                                </a:lnTo>
                                <a:lnTo>
                                  <a:pt x="0" y="41043"/>
                                </a:lnTo>
                                <a:lnTo>
                                  <a:pt x="5692" y="53454"/>
                                </a:lnTo>
                                <a:lnTo>
                                  <a:pt x="19502" y="67036"/>
                                </a:lnTo>
                                <a:lnTo>
                                  <a:pt x="36531" y="77979"/>
                                </a:lnTo>
                                <a:lnTo>
                                  <a:pt x="51878" y="82474"/>
                                </a:lnTo>
                                <a:lnTo>
                                  <a:pt x="74265" y="77979"/>
                                </a:lnTo>
                                <a:lnTo>
                                  <a:pt x="90233" y="67036"/>
                                </a:lnTo>
                                <a:lnTo>
                                  <a:pt x="99800" y="53454"/>
                                </a:lnTo>
                                <a:lnTo>
                                  <a:pt x="102985" y="41043"/>
                                </a:lnTo>
                                <a:lnTo>
                                  <a:pt x="99800" y="23089"/>
                                </a:lnTo>
                                <a:lnTo>
                                  <a:pt x="90233" y="10262"/>
                                </a:lnTo>
                                <a:lnTo>
                                  <a:pt x="74265" y="2565"/>
                                </a:lnTo>
                                <a:lnTo>
                                  <a:pt x="51878"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2156802" y="1970666"/>
                            <a:ext cx="103505" cy="97155"/>
                          </a:xfrm>
                          <a:custGeom>
                            <a:avLst/>
                            <a:gdLst/>
                            <a:ahLst/>
                            <a:cxnLst/>
                            <a:rect l="l" t="t" r="r" b="b"/>
                            <a:pathLst>
                              <a:path w="103505" h="97155">
                                <a:moveTo>
                                  <a:pt x="51300" y="0"/>
                                </a:moveTo>
                                <a:lnTo>
                                  <a:pt x="28883" y="4551"/>
                                </a:lnTo>
                                <a:lnTo>
                                  <a:pt x="12849" y="15590"/>
                                </a:lnTo>
                                <a:lnTo>
                                  <a:pt x="3215" y="29195"/>
                                </a:lnTo>
                                <a:lnTo>
                                  <a:pt x="0" y="41445"/>
                                </a:lnTo>
                                <a:lnTo>
                                  <a:pt x="3215" y="61759"/>
                                </a:lnTo>
                                <a:lnTo>
                                  <a:pt x="12849" y="79400"/>
                                </a:lnTo>
                                <a:lnTo>
                                  <a:pt x="28883" y="91838"/>
                                </a:lnTo>
                                <a:lnTo>
                                  <a:pt x="51300" y="96546"/>
                                </a:lnTo>
                                <a:lnTo>
                                  <a:pt x="73776" y="91838"/>
                                </a:lnTo>
                                <a:lnTo>
                                  <a:pt x="89943" y="79400"/>
                                </a:lnTo>
                                <a:lnTo>
                                  <a:pt x="99710" y="61759"/>
                                </a:lnTo>
                                <a:lnTo>
                                  <a:pt x="102985" y="41445"/>
                                </a:lnTo>
                                <a:lnTo>
                                  <a:pt x="99710" y="29195"/>
                                </a:lnTo>
                                <a:lnTo>
                                  <a:pt x="89943" y="15590"/>
                                </a:lnTo>
                                <a:lnTo>
                                  <a:pt x="73776" y="4551"/>
                                </a:lnTo>
                                <a:lnTo>
                                  <a:pt x="51300" y="0"/>
                                </a:lnTo>
                                <a:close/>
                              </a:path>
                            </a:pathLst>
                          </a:custGeom>
                          <a:solidFill>
                            <a:srgbClr val="23201D"/>
                          </a:solidFill>
                        </wps:spPr>
                        <wps:bodyPr wrap="square" lIns="0" tIns="0" rIns="0" bIns="0" rtlCol="0">
                          <a:prstTxWarp prst="textNoShape">
                            <a:avLst/>
                          </a:prstTxWarp>
                          <a:noAutofit/>
                        </wps:bodyPr>
                      </wps:wsp>
                      <wps:wsp>
                        <wps:cNvPr id="111" name="Graphic 111"/>
                        <wps:cNvSpPr/>
                        <wps:spPr>
                          <a:xfrm>
                            <a:off x="2156802" y="1970666"/>
                            <a:ext cx="85725" cy="83185"/>
                          </a:xfrm>
                          <a:custGeom>
                            <a:avLst/>
                            <a:gdLst/>
                            <a:ahLst/>
                            <a:cxnLst/>
                            <a:rect l="l" t="t" r="r" b="b"/>
                            <a:pathLst>
                              <a:path w="85725" h="83185">
                                <a:moveTo>
                                  <a:pt x="51300" y="0"/>
                                </a:moveTo>
                                <a:lnTo>
                                  <a:pt x="28883" y="4551"/>
                                </a:lnTo>
                                <a:lnTo>
                                  <a:pt x="12849" y="15590"/>
                                </a:lnTo>
                                <a:lnTo>
                                  <a:pt x="3215" y="29195"/>
                                </a:lnTo>
                                <a:lnTo>
                                  <a:pt x="0" y="41445"/>
                                </a:lnTo>
                                <a:lnTo>
                                  <a:pt x="3215" y="59623"/>
                                </a:lnTo>
                                <a:lnTo>
                                  <a:pt x="12849" y="72564"/>
                                </a:lnTo>
                                <a:lnTo>
                                  <a:pt x="28883" y="80303"/>
                                </a:lnTo>
                                <a:lnTo>
                                  <a:pt x="51300" y="82875"/>
                                </a:lnTo>
                                <a:lnTo>
                                  <a:pt x="63793" y="80303"/>
                                </a:lnTo>
                                <a:lnTo>
                                  <a:pt x="74732" y="72564"/>
                                </a:lnTo>
                                <a:lnTo>
                                  <a:pt x="82488" y="59623"/>
                                </a:lnTo>
                                <a:lnTo>
                                  <a:pt x="85435" y="41445"/>
                                </a:lnTo>
                                <a:lnTo>
                                  <a:pt x="82488" y="29195"/>
                                </a:lnTo>
                                <a:lnTo>
                                  <a:pt x="74732" y="15590"/>
                                </a:lnTo>
                                <a:lnTo>
                                  <a:pt x="63793" y="4551"/>
                                </a:lnTo>
                                <a:lnTo>
                                  <a:pt x="51300"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1660445" y="2094972"/>
                            <a:ext cx="120650" cy="96520"/>
                          </a:xfrm>
                          <a:custGeom>
                            <a:avLst/>
                            <a:gdLst/>
                            <a:ahLst/>
                            <a:cxnLst/>
                            <a:rect l="l" t="t" r="r" b="b"/>
                            <a:pathLst>
                              <a:path w="120650" h="96520">
                                <a:moveTo>
                                  <a:pt x="68348" y="0"/>
                                </a:moveTo>
                                <a:lnTo>
                                  <a:pt x="43251" y="4488"/>
                                </a:lnTo>
                                <a:lnTo>
                                  <a:pt x="21358" y="15389"/>
                                </a:lnTo>
                                <a:lnTo>
                                  <a:pt x="5873" y="28856"/>
                                </a:lnTo>
                                <a:lnTo>
                                  <a:pt x="0" y="41043"/>
                                </a:lnTo>
                                <a:lnTo>
                                  <a:pt x="5873" y="61360"/>
                                </a:lnTo>
                                <a:lnTo>
                                  <a:pt x="21358" y="79006"/>
                                </a:lnTo>
                                <a:lnTo>
                                  <a:pt x="43251" y="91450"/>
                                </a:lnTo>
                                <a:lnTo>
                                  <a:pt x="68348" y="96160"/>
                                </a:lnTo>
                                <a:lnTo>
                                  <a:pt x="90839" y="91450"/>
                                </a:lnTo>
                                <a:lnTo>
                                  <a:pt x="107018" y="79006"/>
                                </a:lnTo>
                                <a:lnTo>
                                  <a:pt x="116794" y="61360"/>
                                </a:lnTo>
                                <a:lnTo>
                                  <a:pt x="120072" y="41043"/>
                                </a:lnTo>
                                <a:lnTo>
                                  <a:pt x="116794" y="28856"/>
                                </a:lnTo>
                                <a:lnTo>
                                  <a:pt x="107018" y="15389"/>
                                </a:lnTo>
                                <a:lnTo>
                                  <a:pt x="90839" y="4488"/>
                                </a:lnTo>
                                <a:lnTo>
                                  <a:pt x="68348" y="0"/>
                                </a:lnTo>
                                <a:close/>
                              </a:path>
                            </a:pathLst>
                          </a:custGeom>
                          <a:solidFill>
                            <a:srgbClr val="23201D"/>
                          </a:solidFill>
                        </wps:spPr>
                        <wps:bodyPr wrap="square" lIns="0" tIns="0" rIns="0" bIns="0" rtlCol="0">
                          <a:prstTxWarp prst="textNoShape">
                            <a:avLst/>
                          </a:prstTxWarp>
                          <a:noAutofit/>
                        </wps:bodyPr>
                      </wps:wsp>
                      <wps:wsp>
                        <wps:cNvPr id="113" name="Graphic 113"/>
                        <wps:cNvSpPr/>
                        <wps:spPr>
                          <a:xfrm>
                            <a:off x="1677532" y="2094972"/>
                            <a:ext cx="85725" cy="82550"/>
                          </a:xfrm>
                          <a:custGeom>
                            <a:avLst/>
                            <a:gdLst/>
                            <a:ahLst/>
                            <a:cxnLst/>
                            <a:rect l="l" t="t" r="r" b="b"/>
                            <a:pathLst>
                              <a:path w="85725" h="82550">
                                <a:moveTo>
                                  <a:pt x="51261" y="0"/>
                                </a:moveTo>
                                <a:lnTo>
                                  <a:pt x="28834" y="2565"/>
                                </a:lnTo>
                                <a:lnTo>
                                  <a:pt x="12815" y="10262"/>
                                </a:lnTo>
                                <a:lnTo>
                                  <a:pt x="3203" y="23089"/>
                                </a:lnTo>
                                <a:lnTo>
                                  <a:pt x="0" y="41043"/>
                                </a:lnTo>
                                <a:lnTo>
                                  <a:pt x="3203" y="59221"/>
                                </a:lnTo>
                                <a:lnTo>
                                  <a:pt x="12815" y="72162"/>
                                </a:lnTo>
                                <a:lnTo>
                                  <a:pt x="28834" y="79902"/>
                                </a:lnTo>
                                <a:lnTo>
                                  <a:pt x="51261" y="82474"/>
                                </a:lnTo>
                                <a:lnTo>
                                  <a:pt x="63798" y="79902"/>
                                </a:lnTo>
                                <a:lnTo>
                                  <a:pt x="74739" y="72162"/>
                                </a:lnTo>
                                <a:lnTo>
                                  <a:pt x="82479" y="59221"/>
                                </a:lnTo>
                                <a:lnTo>
                                  <a:pt x="85416" y="41043"/>
                                </a:lnTo>
                                <a:lnTo>
                                  <a:pt x="82479" y="23089"/>
                                </a:lnTo>
                                <a:lnTo>
                                  <a:pt x="74739" y="10262"/>
                                </a:lnTo>
                                <a:lnTo>
                                  <a:pt x="63798" y="2565"/>
                                </a:lnTo>
                                <a:lnTo>
                                  <a:pt x="51261"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814673" y="2080899"/>
                            <a:ext cx="137160" cy="97155"/>
                          </a:xfrm>
                          <a:custGeom>
                            <a:avLst/>
                            <a:gdLst/>
                            <a:ahLst/>
                            <a:cxnLst/>
                            <a:rect l="l" t="t" r="r" b="b"/>
                            <a:pathLst>
                              <a:path w="137160" h="97155">
                                <a:moveTo>
                                  <a:pt x="68348" y="0"/>
                                </a:moveTo>
                                <a:lnTo>
                                  <a:pt x="43251" y="2626"/>
                                </a:lnTo>
                                <a:lnTo>
                                  <a:pt x="21358" y="10456"/>
                                </a:lnTo>
                                <a:lnTo>
                                  <a:pt x="5873" y="23415"/>
                                </a:lnTo>
                                <a:lnTo>
                                  <a:pt x="0" y="41430"/>
                                </a:lnTo>
                                <a:lnTo>
                                  <a:pt x="5873" y="61590"/>
                                </a:lnTo>
                                <a:lnTo>
                                  <a:pt x="21358" y="79253"/>
                                </a:lnTo>
                                <a:lnTo>
                                  <a:pt x="43251" y="91784"/>
                                </a:lnTo>
                                <a:lnTo>
                                  <a:pt x="68348" y="96546"/>
                                </a:lnTo>
                                <a:lnTo>
                                  <a:pt x="93483" y="91784"/>
                                </a:lnTo>
                                <a:lnTo>
                                  <a:pt x="115386" y="79253"/>
                                </a:lnTo>
                                <a:lnTo>
                                  <a:pt x="130866" y="61590"/>
                                </a:lnTo>
                                <a:lnTo>
                                  <a:pt x="136735" y="41430"/>
                                </a:lnTo>
                                <a:lnTo>
                                  <a:pt x="130866" y="23415"/>
                                </a:lnTo>
                                <a:lnTo>
                                  <a:pt x="115386" y="10456"/>
                                </a:lnTo>
                                <a:lnTo>
                                  <a:pt x="93483" y="2626"/>
                                </a:lnTo>
                                <a:lnTo>
                                  <a:pt x="68348" y="0"/>
                                </a:lnTo>
                                <a:close/>
                              </a:path>
                            </a:pathLst>
                          </a:custGeom>
                          <a:solidFill>
                            <a:srgbClr val="23201D"/>
                          </a:solidFill>
                        </wps:spPr>
                        <wps:bodyPr wrap="square" lIns="0" tIns="0" rIns="0" bIns="0" rtlCol="0">
                          <a:prstTxWarp prst="textNoShape">
                            <a:avLst/>
                          </a:prstTxWarp>
                          <a:noAutofit/>
                        </wps:bodyPr>
                      </wps:wsp>
                      <wps:wsp>
                        <wps:cNvPr id="115" name="Graphic 115"/>
                        <wps:cNvSpPr/>
                        <wps:spPr>
                          <a:xfrm>
                            <a:off x="1831760" y="2080899"/>
                            <a:ext cx="102870" cy="83185"/>
                          </a:xfrm>
                          <a:custGeom>
                            <a:avLst/>
                            <a:gdLst/>
                            <a:ahLst/>
                            <a:cxnLst/>
                            <a:rect l="l" t="t" r="r" b="b"/>
                            <a:pathLst>
                              <a:path w="102870" h="83185">
                                <a:moveTo>
                                  <a:pt x="51261" y="0"/>
                                </a:moveTo>
                                <a:lnTo>
                                  <a:pt x="28834" y="2626"/>
                                </a:lnTo>
                                <a:lnTo>
                                  <a:pt x="12815" y="10456"/>
                                </a:lnTo>
                                <a:lnTo>
                                  <a:pt x="3203" y="23415"/>
                                </a:lnTo>
                                <a:lnTo>
                                  <a:pt x="0" y="41430"/>
                                </a:lnTo>
                                <a:lnTo>
                                  <a:pt x="3203" y="59451"/>
                                </a:lnTo>
                                <a:lnTo>
                                  <a:pt x="12815" y="72410"/>
                                </a:lnTo>
                                <a:lnTo>
                                  <a:pt x="28834" y="80236"/>
                                </a:lnTo>
                                <a:lnTo>
                                  <a:pt x="51261" y="82860"/>
                                </a:lnTo>
                                <a:lnTo>
                                  <a:pt x="66465" y="80236"/>
                                </a:lnTo>
                                <a:lnTo>
                                  <a:pt x="83273" y="72410"/>
                                </a:lnTo>
                                <a:lnTo>
                                  <a:pt x="96880" y="59451"/>
                                </a:lnTo>
                                <a:lnTo>
                                  <a:pt x="102484" y="41430"/>
                                </a:lnTo>
                                <a:lnTo>
                                  <a:pt x="96880" y="23415"/>
                                </a:lnTo>
                                <a:lnTo>
                                  <a:pt x="83273" y="10456"/>
                                </a:lnTo>
                                <a:lnTo>
                                  <a:pt x="66465" y="2626"/>
                                </a:lnTo>
                                <a:lnTo>
                                  <a:pt x="51261"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2054395" y="2080899"/>
                            <a:ext cx="120014" cy="83185"/>
                          </a:xfrm>
                          <a:custGeom>
                            <a:avLst/>
                            <a:gdLst/>
                            <a:ahLst/>
                            <a:cxnLst/>
                            <a:rect l="l" t="t" r="r" b="b"/>
                            <a:pathLst>
                              <a:path w="120014" h="83185">
                                <a:moveTo>
                                  <a:pt x="68271" y="0"/>
                                </a:moveTo>
                                <a:lnTo>
                                  <a:pt x="43203" y="2626"/>
                                </a:lnTo>
                                <a:lnTo>
                                  <a:pt x="21334" y="10456"/>
                                </a:lnTo>
                                <a:lnTo>
                                  <a:pt x="5867" y="23415"/>
                                </a:lnTo>
                                <a:lnTo>
                                  <a:pt x="0" y="41430"/>
                                </a:lnTo>
                                <a:lnTo>
                                  <a:pt x="5867" y="59451"/>
                                </a:lnTo>
                                <a:lnTo>
                                  <a:pt x="21334" y="72410"/>
                                </a:lnTo>
                                <a:lnTo>
                                  <a:pt x="43203" y="80236"/>
                                </a:lnTo>
                                <a:lnTo>
                                  <a:pt x="68271" y="82860"/>
                                </a:lnTo>
                                <a:lnTo>
                                  <a:pt x="83528" y="80236"/>
                                </a:lnTo>
                                <a:lnTo>
                                  <a:pt x="100358" y="72410"/>
                                </a:lnTo>
                                <a:lnTo>
                                  <a:pt x="113969" y="59451"/>
                                </a:lnTo>
                                <a:lnTo>
                                  <a:pt x="119571" y="41430"/>
                                </a:lnTo>
                                <a:lnTo>
                                  <a:pt x="113969" y="23415"/>
                                </a:lnTo>
                                <a:lnTo>
                                  <a:pt x="100358" y="10456"/>
                                </a:lnTo>
                                <a:lnTo>
                                  <a:pt x="83528" y="2626"/>
                                </a:lnTo>
                                <a:lnTo>
                                  <a:pt x="68271" y="0"/>
                                </a:lnTo>
                                <a:close/>
                              </a:path>
                            </a:pathLst>
                          </a:custGeom>
                          <a:solidFill>
                            <a:srgbClr val="23201D"/>
                          </a:solidFill>
                        </wps:spPr>
                        <wps:bodyPr wrap="square" lIns="0" tIns="0" rIns="0" bIns="0" rtlCol="0">
                          <a:prstTxWarp prst="textNoShape">
                            <a:avLst/>
                          </a:prstTxWarp>
                          <a:noAutofit/>
                        </wps:bodyPr>
                      </wps:wsp>
                      <wps:wsp>
                        <wps:cNvPr id="117" name="Graphic 117"/>
                        <wps:cNvSpPr/>
                        <wps:spPr>
                          <a:xfrm>
                            <a:off x="2071366" y="2080899"/>
                            <a:ext cx="85725" cy="69215"/>
                          </a:xfrm>
                          <a:custGeom>
                            <a:avLst/>
                            <a:gdLst/>
                            <a:ahLst/>
                            <a:cxnLst/>
                            <a:rect l="l" t="t" r="r" b="b"/>
                            <a:pathLst>
                              <a:path w="85725" h="69215">
                                <a:moveTo>
                                  <a:pt x="34135" y="0"/>
                                </a:moveTo>
                                <a:lnTo>
                                  <a:pt x="21642" y="2626"/>
                                </a:lnTo>
                                <a:lnTo>
                                  <a:pt x="10703" y="10456"/>
                                </a:lnTo>
                                <a:lnTo>
                                  <a:pt x="2947" y="23415"/>
                                </a:lnTo>
                                <a:lnTo>
                                  <a:pt x="0" y="41430"/>
                                </a:lnTo>
                                <a:lnTo>
                                  <a:pt x="2947" y="51481"/>
                                </a:lnTo>
                                <a:lnTo>
                                  <a:pt x="10703" y="60249"/>
                                </a:lnTo>
                                <a:lnTo>
                                  <a:pt x="21642" y="66450"/>
                                </a:lnTo>
                                <a:lnTo>
                                  <a:pt x="34135" y="68803"/>
                                </a:lnTo>
                                <a:lnTo>
                                  <a:pt x="56633" y="66450"/>
                                </a:lnTo>
                                <a:lnTo>
                                  <a:pt x="72658" y="60249"/>
                                </a:lnTo>
                                <a:lnTo>
                                  <a:pt x="82247" y="51481"/>
                                </a:lnTo>
                                <a:lnTo>
                                  <a:pt x="85435" y="41430"/>
                                </a:lnTo>
                                <a:lnTo>
                                  <a:pt x="82247" y="23415"/>
                                </a:lnTo>
                                <a:lnTo>
                                  <a:pt x="72658" y="10456"/>
                                </a:lnTo>
                                <a:lnTo>
                                  <a:pt x="56633" y="2626"/>
                                </a:lnTo>
                                <a:lnTo>
                                  <a:pt x="34135"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1677532" y="2204819"/>
                            <a:ext cx="120650" cy="97155"/>
                          </a:xfrm>
                          <a:custGeom>
                            <a:avLst/>
                            <a:gdLst/>
                            <a:ahLst/>
                            <a:cxnLst/>
                            <a:rect l="l" t="t" r="r" b="b"/>
                            <a:pathLst>
                              <a:path w="120650" h="97155">
                                <a:moveTo>
                                  <a:pt x="51261" y="0"/>
                                </a:moveTo>
                                <a:lnTo>
                                  <a:pt x="28834" y="4762"/>
                                </a:lnTo>
                                <a:lnTo>
                                  <a:pt x="12815" y="17293"/>
                                </a:lnTo>
                                <a:lnTo>
                                  <a:pt x="3203" y="34956"/>
                                </a:lnTo>
                                <a:lnTo>
                                  <a:pt x="0" y="55116"/>
                                </a:lnTo>
                                <a:lnTo>
                                  <a:pt x="3203" y="73294"/>
                                </a:lnTo>
                                <a:lnTo>
                                  <a:pt x="12815" y="86235"/>
                                </a:lnTo>
                                <a:lnTo>
                                  <a:pt x="28834" y="93974"/>
                                </a:lnTo>
                                <a:lnTo>
                                  <a:pt x="51261" y="96546"/>
                                </a:lnTo>
                                <a:lnTo>
                                  <a:pt x="76422" y="93974"/>
                                </a:lnTo>
                                <a:lnTo>
                                  <a:pt x="98475" y="86235"/>
                                </a:lnTo>
                                <a:lnTo>
                                  <a:pt x="114124" y="73294"/>
                                </a:lnTo>
                                <a:lnTo>
                                  <a:pt x="120072" y="55116"/>
                                </a:lnTo>
                                <a:lnTo>
                                  <a:pt x="114124" y="34956"/>
                                </a:lnTo>
                                <a:lnTo>
                                  <a:pt x="98475" y="17293"/>
                                </a:lnTo>
                                <a:lnTo>
                                  <a:pt x="76422" y="4762"/>
                                </a:lnTo>
                                <a:lnTo>
                                  <a:pt x="51261" y="0"/>
                                </a:lnTo>
                                <a:close/>
                              </a:path>
                            </a:pathLst>
                          </a:custGeom>
                          <a:solidFill>
                            <a:srgbClr val="23201D"/>
                          </a:solidFill>
                        </wps:spPr>
                        <wps:bodyPr wrap="square" lIns="0" tIns="0" rIns="0" bIns="0" rtlCol="0">
                          <a:prstTxWarp prst="textNoShape">
                            <a:avLst/>
                          </a:prstTxWarp>
                          <a:noAutofit/>
                        </wps:bodyPr>
                      </wps:wsp>
                      <wps:wsp>
                        <wps:cNvPr id="119" name="Graphic 119"/>
                        <wps:cNvSpPr/>
                        <wps:spPr>
                          <a:xfrm>
                            <a:off x="1677532" y="2204819"/>
                            <a:ext cx="103505" cy="97155"/>
                          </a:xfrm>
                          <a:custGeom>
                            <a:avLst/>
                            <a:gdLst/>
                            <a:ahLst/>
                            <a:cxnLst/>
                            <a:rect l="l" t="t" r="r" b="b"/>
                            <a:pathLst>
                              <a:path w="103505" h="97155">
                                <a:moveTo>
                                  <a:pt x="51261" y="0"/>
                                </a:moveTo>
                                <a:lnTo>
                                  <a:pt x="36043" y="4762"/>
                                </a:lnTo>
                                <a:lnTo>
                                  <a:pt x="19223" y="17293"/>
                                </a:lnTo>
                                <a:lnTo>
                                  <a:pt x="5606" y="34956"/>
                                </a:lnTo>
                                <a:lnTo>
                                  <a:pt x="0" y="55116"/>
                                </a:lnTo>
                                <a:lnTo>
                                  <a:pt x="5606" y="67520"/>
                                </a:lnTo>
                                <a:lnTo>
                                  <a:pt x="19223" y="81103"/>
                                </a:lnTo>
                                <a:lnTo>
                                  <a:pt x="36043" y="92050"/>
                                </a:lnTo>
                                <a:lnTo>
                                  <a:pt x="51261" y="96546"/>
                                </a:lnTo>
                                <a:lnTo>
                                  <a:pt x="73752" y="92050"/>
                                </a:lnTo>
                                <a:lnTo>
                                  <a:pt x="89931" y="81103"/>
                                </a:lnTo>
                                <a:lnTo>
                                  <a:pt x="99706" y="67520"/>
                                </a:lnTo>
                                <a:lnTo>
                                  <a:pt x="102985" y="55116"/>
                                </a:lnTo>
                                <a:lnTo>
                                  <a:pt x="99706" y="34956"/>
                                </a:lnTo>
                                <a:lnTo>
                                  <a:pt x="89931" y="17293"/>
                                </a:lnTo>
                                <a:lnTo>
                                  <a:pt x="73752" y="4762"/>
                                </a:lnTo>
                                <a:lnTo>
                                  <a:pt x="51261" y="0"/>
                                </a:lnTo>
                                <a:close/>
                              </a:path>
                            </a:pathLst>
                          </a:custGeom>
                          <a:solidFill>
                            <a:srgbClr val="FFFFFF"/>
                          </a:solidFill>
                        </wps:spPr>
                        <wps:bodyPr wrap="square" lIns="0" tIns="0" rIns="0" bIns="0" rtlCol="0">
                          <a:prstTxWarp prst="textNoShape">
                            <a:avLst/>
                          </a:prstTxWarp>
                          <a:noAutofit/>
                        </wps:bodyPr>
                      </wps:wsp>
                      <pic:pic>
                        <pic:nvPicPr>
                          <pic:cNvPr id="120" name="Image 120"/>
                          <pic:cNvPicPr/>
                        </pic:nvPicPr>
                        <pic:blipFill>
                          <a:blip r:embed="rId33" cstate="print"/>
                          <a:stretch>
                            <a:fillRect/>
                          </a:stretch>
                        </pic:blipFill>
                        <pic:spPr>
                          <a:xfrm>
                            <a:off x="1848848" y="2204819"/>
                            <a:ext cx="119532" cy="82860"/>
                          </a:xfrm>
                          <a:prstGeom prst="rect">
                            <a:avLst/>
                          </a:prstGeom>
                        </pic:spPr>
                      </pic:pic>
                      <wps:wsp>
                        <wps:cNvPr id="121" name="Graphic 121"/>
                        <wps:cNvSpPr/>
                        <wps:spPr>
                          <a:xfrm>
                            <a:off x="2020066" y="2163759"/>
                            <a:ext cx="120014" cy="96520"/>
                          </a:xfrm>
                          <a:custGeom>
                            <a:avLst/>
                            <a:gdLst/>
                            <a:ahLst/>
                            <a:cxnLst/>
                            <a:rect l="l" t="t" r="r" b="b"/>
                            <a:pathLst>
                              <a:path w="120014" h="96520">
                                <a:moveTo>
                                  <a:pt x="68464" y="0"/>
                                </a:moveTo>
                                <a:lnTo>
                                  <a:pt x="43365" y="4710"/>
                                </a:lnTo>
                                <a:lnTo>
                                  <a:pt x="21431" y="17154"/>
                                </a:lnTo>
                                <a:lnTo>
                                  <a:pt x="5897" y="34800"/>
                                </a:lnTo>
                                <a:lnTo>
                                  <a:pt x="0" y="55116"/>
                                </a:lnTo>
                                <a:lnTo>
                                  <a:pt x="5897" y="73080"/>
                                </a:lnTo>
                                <a:lnTo>
                                  <a:pt x="21431" y="85911"/>
                                </a:lnTo>
                                <a:lnTo>
                                  <a:pt x="43365" y="93609"/>
                                </a:lnTo>
                                <a:lnTo>
                                  <a:pt x="68464" y="96175"/>
                                </a:lnTo>
                                <a:lnTo>
                                  <a:pt x="90880" y="93609"/>
                                </a:lnTo>
                                <a:lnTo>
                                  <a:pt x="106915" y="85911"/>
                                </a:lnTo>
                                <a:lnTo>
                                  <a:pt x="116549" y="73080"/>
                                </a:lnTo>
                                <a:lnTo>
                                  <a:pt x="119764" y="55116"/>
                                </a:lnTo>
                                <a:lnTo>
                                  <a:pt x="116549" y="34800"/>
                                </a:lnTo>
                                <a:lnTo>
                                  <a:pt x="106915" y="17154"/>
                                </a:lnTo>
                                <a:lnTo>
                                  <a:pt x="90880" y="4710"/>
                                </a:lnTo>
                                <a:lnTo>
                                  <a:pt x="68464" y="0"/>
                                </a:lnTo>
                                <a:close/>
                              </a:path>
                            </a:pathLst>
                          </a:custGeom>
                          <a:solidFill>
                            <a:srgbClr val="23201D"/>
                          </a:solidFill>
                        </wps:spPr>
                        <wps:bodyPr wrap="square" lIns="0" tIns="0" rIns="0" bIns="0" rtlCol="0">
                          <a:prstTxWarp prst="textNoShape">
                            <a:avLst/>
                          </a:prstTxWarp>
                          <a:noAutofit/>
                        </wps:bodyPr>
                      </wps:wsp>
                      <wps:wsp>
                        <wps:cNvPr id="122" name="Graphic 122"/>
                        <wps:cNvSpPr/>
                        <wps:spPr>
                          <a:xfrm>
                            <a:off x="2037230" y="2163759"/>
                            <a:ext cx="85725" cy="96520"/>
                          </a:xfrm>
                          <a:custGeom>
                            <a:avLst/>
                            <a:gdLst/>
                            <a:ahLst/>
                            <a:cxnLst/>
                            <a:rect l="l" t="t" r="r" b="b"/>
                            <a:pathLst>
                              <a:path w="85725" h="96520">
                                <a:moveTo>
                                  <a:pt x="34135" y="0"/>
                                </a:moveTo>
                                <a:lnTo>
                                  <a:pt x="21642" y="4490"/>
                                </a:lnTo>
                                <a:lnTo>
                                  <a:pt x="10703" y="15397"/>
                                </a:lnTo>
                                <a:lnTo>
                                  <a:pt x="2947" y="28869"/>
                                </a:lnTo>
                                <a:lnTo>
                                  <a:pt x="0" y="41059"/>
                                </a:lnTo>
                                <a:lnTo>
                                  <a:pt x="2947" y="61375"/>
                                </a:lnTo>
                                <a:lnTo>
                                  <a:pt x="10703" y="79021"/>
                                </a:lnTo>
                                <a:lnTo>
                                  <a:pt x="21642" y="91465"/>
                                </a:lnTo>
                                <a:lnTo>
                                  <a:pt x="34135" y="96175"/>
                                </a:lnTo>
                                <a:lnTo>
                                  <a:pt x="56552" y="91465"/>
                                </a:lnTo>
                                <a:lnTo>
                                  <a:pt x="72586" y="79021"/>
                                </a:lnTo>
                                <a:lnTo>
                                  <a:pt x="82220" y="61375"/>
                                </a:lnTo>
                                <a:lnTo>
                                  <a:pt x="85435" y="41059"/>
                                </a:lnTo>
                                <a:lnTo>
                                  <a:pt x="82220" y="28869"/>
                                </a:lnTo>
                                <a:lnTo>
                                  <a:pt x="72586" y="15397"/>
                                </a:lnTo>
                                <a:lnTo>
                                  <a:pt x="56552" y="4490"/>
                                </a:lnTo>
                                <a:lnTo>
                                  <a:pt x="34135"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564708" y="1144257"/>
                            <a:ext cx="137160" cy="358140"/>
                          </a:xfrm>
                          <a:custGeom>
                            <a:avLst/>
                            <a:gdLst/>
                            <a:ahLst/>
                            <a:cxnLst/>
                            <a:rect l="l" t="t" r="r" b="b"/>
                            <a:pathLst>
                              <a:path w="137160" h="358140">
                                <a:moveTo>
                                  <a:pt x="137160" y="0"/>
                                </a:moveTo>
                                <a:lnTo>
                                  <a:pt x="0" y="0"/>
                                </a:lnTo>
                                <a:lnTo>
                                  <a:pt x="0" y="247901"/>
                                </a:lnTo>
                                <a:lnTo>
                                  <a:pt x="68811" y="358134"/>
                                </a:lnTo>
                                <a:lnTo>
                                  <a:pt x="137160" y="261587"/>
                                </a:lnTo>
                                <a:lnTo>
                                  <a:pt x="137160" y="0"/>
                                </a:lnTo>
                                <a:close/>
                              </a:path>
                            </a:pathLst>
                          </a:custGeom>
                          <a:solidFill>
                            <a:srgbClr val="23201D"/>
                          </a:solidFill>
                        </wps:spPr>
                        <wps:bodyPr wrap="square" lIns="0" tIns="0" rIns="0" bIns="0" rtlCol="0">
                          <a:prstTxWarp prst="textNoShape">
                            <a:avLst/>
                          </a:prstTxWarp>
                          <a:noAutofit/>
                        </wps:bodyPr>
                      </wps:wsp>
                      <pic:pic>
                        <pic:nvPicPr>
                          <pic:cNvPr id="124" name="Image 124"/>
                          <pic:cNvPicPr/>
                        </pic:nvPicPr>
                        <pic:blipFill>
                          <a:blip r:embed="rId34" cstate="print"/>
                          <a:stretch>
                            <a:fillRect/>
                          </a:stretch>
                        </pic:blipFill>
                        <pic:spPr>
                          <a:xfrm>
                            <a:off x="574580" y="1329345"/>
                            <a:ext cx="100809" cy="84196"/>
                          </a:xfrm>
                          <a:prstGeom prst="rect">
                            <a:avLst/>
                          </a:prstGeom>
                        </pic:spPr>
                      </pic:pic>
                      <wps:wsp>
                        <wps:cNvPr id="125" name="Graphic 125"/>
                        <wps:cNvSpPr/>
                        <wps:spPr>
                          <a:xfrm>
                            <a:off x="530553" y="1144257"/>
                            <a:ext cx="137160" cy="358140"/>
                          </a:xfrm>
                          <a:custGeom>
                            <a:avLst/>
                            <a:gdLst/>
                            <a:ahLst/>
                            <a:cxnLst/>
                            <a:rect l="l" t="t" r="r" b="b"/>
                            <a:pathLst>
                              <a:path w="137160" h="358140">
                                <a:moveTo>
                                  <a:pt x="137140" y="0"/>
                                </a:moveTo>
                                <a:lnTo>
                                  <a:pt x="0" y="0"/>
                                </a:lnTo>
                                <a:lnTo>
                                  <a:pt x="0" y="261587"/>
                                </a:lnTo>
                                <a:lnTo>
                                  <a:pt x="85879" y="358134"/>
                                </a:lnTo>
                                <a:lnTo>
                                  <a:pt x="137140" y="261587"/>
                                </a:lnTo>
                                <a:lnTo>
                                  <a:pt x="137140"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530553" y="1144257"/>
                            <a:ext cx="137160" cy="358140"/>
                          </a:xfrm>
                          <a:custGeom>
                            <a:avLst/>
                            <a:gdLst/>
                            <a:ahLst/>
                            <a:cxnLst/>
                            <a:rect l="l" t="t" r="r" b="b"/>
                            <a:pathLst>
                              <a:path w="137160" h="358140">
                                <a:moveTo>
                                  <a:pt x="0" y="0"/>
                                </a:moveTo>
                                <a:lnTo>
                                  <a:pt x="0" y="261587"/>
                                </a:lnTo>
                                <a:lnTo>
                                  <a:pt x="85879" y="358134"/>
                                </a:lnTo>
                                <a:lnTo>
                                  <a:pt x="137140" y="261587"/>
                                </a:lnTo>
                                <a:lnTo>
                                  <a:pt x="137140" y="0"/>
                                </a:lnTo>
                                <a:lnTo>
                                  <a:pt x="0" y="0"/>
                                </a:lnTo>
                                <a:close/>
                              </a:path>
                            </a:pathLst>
                          </a:custGeom>
                          <a:ln w="16649">
                            <a:solidFill>
                              <a:srgbClr val="23201D"/>
                            </a:solidFill>
                            <a:prstDash val="solid"/>
                          </a:ln>
                        </wps:spPr>
                        <wps:bodyPr wrap="square" lIns="0" tIns="0" rIns="0" bIns="0" rtlCol="0">
                          <a:prstTxWarp prst="textNoShape">
                            <a:avLst/>
                          </a:prstTxWarp>
                          <a:noAutofit/>
                        </wps:bodyPr>
                      </wps:wsp>
                      <pic:pic>
                        <pic:nvPicPr>
                          <pic:cNvPr id="127" name="Image 127"/>
                          <pic:cNvPicPr/>
                        </pic:nvPicPr>
                        <pic:blipFill>
                          <a:blip r:embed="rId35" cstate="print"/>
                          <a:stretch>
                            <a:fillRect/>
                          </a:stretch>
                        </pic:blipFill>
                        <pic:spPr>
                          <a:xfrm>
                            <a:off x="557016" y="1274369"/>
                            <a:ext cx="306635" cy="166774"/>
                          </a:xfrm>
                          <a:prstGeom prst="rect">
                            <a:avLst/>
                          </a:prstGeom>
                        </pic:spPr>
                      </pic:pic>
                      <pic:pic>
                        <pic:nvPicPr>
                          <pic:cNvPr id="128" name="Image 128"/>
                          <pic:cNvPicPr/>
                        </pic:nvPicPr>
                        <pic:blipFill>
                          <a:blip r:embed="rId36" cstate="print"/>
                          <a:stretch>
                            <a:fillRect/>
                          </a:stretch>
                        </pic:blipFill>
                        <pic:spPr>
                          <a:xfrm>
                            <a:off x="1207854" y="1302192"/>
                            <a:ext cx="237510" cy="158753"/>
                          </a:xfrm>
                          <a:prstGeom prst="rect">
                            <a:avLst/>
                          </a:prstGeom>
                        </pic:spPr>
                      </pic:pic>
                      <wps:wsp>
                        <wps:cNvPr id="129" name="Graphic 129"/>
                        <wps:cNvSpPr/>
                        <wps:spPr>
                          <a:xfrm>
                            <a:off x="2156802" y="1171753"/>
                            <a:ext cx="137160" cy="344805"/>
                          </a:xfrm>
                          <a:custGeom>
                            <a:avLst/>
                            <a:gdLst/>
                            <a:ahLst/>
                            <a:cxnLst/>
                            <a:rect l="l" t="t" r="r" b="b"/>
                            <a:pathLst>
                              <a:path w="137160" h="344805">
                                <a:moveTo>
                                  <a:pt x="137121" y="0"/>
                                </a:moveTo>
                                <a:lnTo>
                                  <a:pt x="0" y="0"/>
                                </a:lnTo>
                                <a:lnTo>
                                  <a:pt x="0" y="248148"/>
                                </a:lnTo>
                                <a:lnTo>
                                  <a:pt x="68271" y="344308"/>
                                </a:lnTo>
                                <a:lnTo>
                                  <a:pt x="137121" y="248148"/>
                                </a:lnTo>
                                <a:lnTo>
                                  <a:pt x="137121" y="0"/>
                                </a:lnTo>
                                <a:close/>
                              </a:path>
                            </a:pathLst>
                          </a:custGeom>
                          <a:solidFill>
                            <a:srgbClr val="23201D"/>
                          </a:solidFill>
                        </wps:spPr>
                        <wps:bodyPr wrap="square" lIns="0" tIns="0" rIns="0" bIns="0" rtlCol="0">
                          <a:prstTxWarp prst="textNoShape">
                            <a:avLst/>
                          </a:prstTxWarp>
                          <a:noAutofit/>
                        </wps:bodyPr>
                      </wps:wsp>
                      <pic:pic>
                        <pic:nvPicPr>
                          <pic:cNvPr id="130" name="Image 130"/>
                          <pic:cNvPicPr/>
                        </pic:nvPicPr>
                        <pic:blipFill>
                          <a:blip r:embed="rId37" cstate="print"/>
                          <a:stretch>
                            <a:fillRect/>
                          </a:stretch>
                        </pic:blipFill>
                        <pic:spPr>
                          <a:xfrm>
                            <a:off x="2166274" y="1343035"/>
                            <a:ext cx="101206" cy="84172"/>
                          </a:xfrm>
                          <a:prstGeom prst="rect">
                            <a:avLst/>
                          </a:prstGeom>
                        </pic:spPr>
                      </pic:pic>
                      <wps:wsp>
                        <wps:cNvPr id="131" name="Graphic 131"/>
                        <wps:cNvSpPr/>
                        <wps:spPr>
                          <a:xfrm>
                            <a:off x="2122666" y="1171753"/>
                            <a:ext cx="137160" cy="344805"/>
                          </a:xfrm>
                          <a:custGeom>
                            <a:avLst/>
                            <a:gdLst/>
                            <a:ahLst/>
                            <a:cxnLst/>
                            <a:rect l="l" t="t" r="r" b="b"/>
                            <a:pathLst>
                              <a:path w="137160" h="344805">
                                <a:moveTo>
                                  <a:pt x="137121" y="0"/>
                                </a:moveTo>
                                <a:lnTo>
                                  <a:pt x="0" y="0"/>
                                </a:lnTo>
                                <a:lnTo>
                                  <a:pt x="0" y="247762"/>
                                </a:lnTo>
                                <a:lnTo>
                                  <a:pt x="85435" y="344308"/>
                                </a:lnTo>
                                <a:lnTo>
                                  <a:pt x="137121" y="261834"/>
                                </a:lnTo>
                                <a:lnTo>
                                  <a:pt x="137121"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2122666" y="1171753"/>
                            <a:ext cx="137160" cy="344805"/>
                          </a:xfrm>
                          <a:custGeom>
                            <a:avLst/>
                            <a:gdLst/>
                            <a:ahLst/>
                            <a:cxnLst/>
                            <a:rect l="l" t="t" r="r" b="b"/>
                            <a:pathLst>
                              <a:path w="137160" h="344805">
                                <a:moveTo>
                                  <a:pt x="0" y="0"/>
                                </a:moveTo>
                                <a:lnTo>
                                  <a:pt x="0" y="247762"/>
                                </a:lnTo>
                                <a:lnTo>
                                  <a:pt x="85435" y="344308"/>
                                </a:lnTo>
                                <a:lnTo>
                                  <a:pt x="137121" y="261834"/>
                                </a:lnTo>
                                <a:lnTo>
                                  <a:pt x="137121" y="0"/>
                                </a:lnTo>
                                <a:lnTo>
                                  <a:pt x="0" y="0"/>
                                </a:lnTo>
                                <a:close/>
                              </a:path>
                            </a:pathLst>
                          </a:custGeom>
                          <a:ln w="16618">
                            <a:solidFill>
                              <a:srgbClr val="23201D"/>
                            </a:solidFill>
                            <a:prstDash val="solid"/>
                          </a:ln>
                        </wps:spPr>
                        <wps:bodyPr wrap="square" lIns="0" tIns="0" rIns="0" bIns="0" rtlCol="0">
                          <a:prstTxWarp prst="textNoShape">
                            <a:avLst/>
                          </a:prstTxWarp>
                          <a:noAutofit/>
                        </wps:bodyPr>
                      </wps:wsp>
                      <wps:wsp>
                        <wps:cNvPr id="133" name="Graphic 133"/>
                        <wps:cNvSpPr/>
                        <wps:spPr>
                          <a:xfrm>
                            <a:off x="2156802" y="1350728"/>
                            <a:ext cx="85725" cy="69215"/>
                          </a:xfrm>
                          <a:custGeom>
                            <a:avLst/>
                            <a:gdLst/>
                            <a:ahLst/>
                            <a:cxnLst/>
                            <a:rect l="l" t="t" r="r" b="b"/>
                            <a:pathLst>
                              <a:path w="85725" h="69215">
                                <a:moveTo>
                                  <a:pt x="34135" y="0"/>
                                </a:moveTo>
                                <a:lnTo>
                                  <a:pt x="21642" y="4548"/>
                                </a:lnTo>
                                <a:lnTo>
                                  <a:pt x="10703" y="15582"/>
                                </a:lnTo>
                                <a:lnTo>
                                  <a:pt x="2947" y="29182"/>
                                </a:lnTo>
                                <a:lnTo>
                                  <a:pt x="0" y="41430"/>
                                </a:lnTo>
                                <a:lnTo>
                                  <a:pt x="2947" y="51478"/>
                                </a:lnTo>
                                <a:lnTo>
                                  <a:pt x="10703" y="60241"/>
                                </a:lnTo>
                                <a:lnTo>
                                  <a:pt x="21642" y="66437"/>
                                </a:lnTo>
                                <a:lnTo>
                                  <a:pt x="34135" y="68787"/>
                                </a:lnTo>
                                <a:lnTo>
                                  <a:pt x="56552" y="66437"/>
                                </a:lnTo>
                                <a:lnTo>
                                  <a:pt x="72586" y="60241"/>
                                </a:lnTo>
                                <a:lnTo>
                                  <a:pt x="82220" y="51478"/>
                                </a:lnTo>
                                <a:lnTo>
                                  <a:pt x="85435" y="41430"/>
                                </a:lnTo>
                                <a:lnTo>
                                  <a:pt x="82220" y="29182"/>
                                </a:lnTo>
                                <a:lnTo>
                                  <a:pt x="72586" y="15582"/>
                                </a:lnTo>
                                <a:lnTo>
                                  <a:pt x="56552" y="4548"/>
                                </a:lnTo>
                                <a:lnTo>
                                  <a:pt x="34135"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2156802" y="1350728"/>
                            <a:ext cx="85725" cy="69215"/>
                          </a:xfrm>
                          <a:custGeom>
                            <a:avLst/>
                            <a:gdLst/>
                            <a:ahLst/>
                            <a:cxnLst/>
                            <a:rect l="l" t="t" r="r" b="b"/>
                            <a:pathLst>
                              <a:path w="85725" h="69215">
                                <a:moveTo>
                                  <a:pt x="34135" y="0"/>
                                </a:moveTo>
                                <a:lnTo>
                                  <a:pt x="56552" y="4548"/>
                                </a:lnTo>
                                <a:lnTo>
                                  <a:pt x="72586" y="15582"/>
                                </a:lnTo>
                                <a:lnTo>
                                  <a:pt x="82220" y="29182"/>
                                </a:lnTo>
                                <a:lnTo>
                                  <a:pt x="85435" y="41430"/>
                                </a:lnTo>
                                <a:lnTo>
                                  <a:pt x="82220" y="51478"/>
                                </a:lnTo>
                                <a:lnTo>
                                  <a:pt x="72586" y="60241"/>
                                </a:lnTo>
                                <a:lnTo>
                                  <a:pt x="56552" y="66437"/>
                                </a:lnTo>
                                <a:lnTo>
                                  <a:pt x="34135" y="68787"/>
                                </a:lnTo>
                                <a:lnTo>
                                  <a:pt x="21642" y="66437"/>
                                </a:lnTo>
                                <a:lnTo>
                                  <a:pt x="10703" y="60241"/>
                                </a:lnTo>
                                <a:lnTo>
                                  <a:pt x="2947" y="51478"/>
                                </a:lnTo>
                                <a:lnTo>
                                  <a:pt x="0" y="41430"/>
                                </a:lnTo>
                                <a:lnTo>
                                  <a:pt x="2947" y="29182"/>
                                </a:lnTo>
                                <a:lnTo>
                                  <a:pt x="10703" y="15582"/>
                                </a:lnTo>
                                <a:lnTo>
                                  <a:pt x="21642" y="4548"/>
                                </a:lnTo>
                                <a:lnTo>
                                  <a:pt x="34135" y="0"/>
                                </a:lnTo>
                                <a:close/>
                              </a:path>
                            </a:pathLst>
                          </a:custGeom>
                          <a:ln w="15021">
                            <a:solidFill>
                              <a:srgbClr val="23201D"/>
                            </a:solidFill>
                            <a:prstDash val="solid"/>
                          </a:ln>
                        </wps:spPr>
                        <wps:bodyPr wrap="square" lIns="0" tIns="0" rIns="0" bIns="0" rtlCol="0">
                          <a:prstTxWarp prst="textNoShape">
                            <a:avLst/>
                          </a:prstTxWarp>
                          <a:noAutofit/>
                        </wps:bodyPr>
                      </wps:wsp>
                      <wps:wsp>
                        <wps:cNvPr id="135" name="Graphic 135"/>
                        <wps:cNvSpPr/>
                        <wps:spPr>
                          <a:xfrm>
                            <a:off x="2242238" y="1309668"/>
                            <a:ext cx="222885" cy="151765"/>
                          </a:xfrm>
                          <a:custGeom>
                            <a:avLst/>
                            <a:gdLst/>
                            <a:ahLst/>
                            <a:cxnLst/>
                            <a:rect l="l" t="t" r="r" b="b"/>
                            <a:pathLst>
                              <a:path w="222885" h="151765">
                                <a:moveTo>
                                  <a:pt x="17550" y="0"/>
                                </a:moveTo>
                                <a:lnTo>
                                  <a:pt x="0" y="41059"/>
                                </a:lnTo>
                                <a:lnTo>
                                  <a:pt x="85821" y="82489"/>
                                </a:lnTo>
                                <a:lnTo>
                                  <a:pt x="17550" y="123919"/>
                                </a:lnTo>
                                <a:lnTo>
                                  <a:pt x="34714" y="151277"/>
                                </a:lnTo>
                                <a:lnTo>
                                  <a:pt x="120150" y="96175"/>
                                </a:lnTo>
                                <a:lnTo>
                                  <a:pt x="222557" y="96175"/>
                                </a:lnTo>
                                <a:lnTo>
                                  <a:pt x="222557" y="55116"/>
                                </a:lnTo>
                                <a:lnTo>
                                  <a:pt x="120150" y="55116"/>
                                </a:lnTo>
                                <a:lnTo>
                                  <a:pt x="17550" y="0"/>
                                </a:lnTo>
                                <a:close/>
                              </a:path>
                            </a:pathLst>
                          </a:custGeom>
                          <a:solidFill>
                            <a:srgbClr val="23201D"/>
                          </a:solidFill>
                        </wps:spPr>
                        <wps:bodyPr wrap="square" lIns="0" tIns="0" rIns="0" bIns="0" rtlCol="0">
                          <a:prstTxWarp prst="textNoShape">
                            <a:avLst/>
                          </a:prstTxWarp>
                          <a:noAutofit/>
                        </wps:bodyPr>
                      </wps:wsp>
                      <wps:wsp>
                        <wps:cNvPr id="136" name="Graphic 136"/>
                        <wps:cNvSpPr/>
                        <wps:spPr>
                          <a:xfrm>
                            <a:off x="2242238" y="1309668"/>
                            <a:ext cx="222885" cy="137795"/>
                          </a:xfrm>
                          <a:custGeom>
                            <a:avLst/>
                            <a:gdLst/>
                            <a:ahLst/>
                            <a:cxnLst/>
                            <a:rect l="l" t="t" r="r" b="b"/>
                            <a:pathLst>
                              <a:path w="222885" h="137795">
                                <a:moveTo>
                                  <a:pt x="17550" y="0"/>
                                </a:moveTo>
                                <a:lnTo>
                                  <a:pt x="0" y="27372"/>
                                </a:lnTo>
                                <a:lnTo>
                                  <a:pt x="85821" y="68803"/>
                                </a:lnTo>
                                <a:lnTo>
                                  <a:pt x="0" y="109846"/>
                                </a:lnTo>
                                <a:lnTo>
                                  <a:pt x="34714" y="137606"/>
                                </a:lnTo>
                                <a:lnTo>
                                  <a:pt x="120150" y="82489"/>
                                </a:lnTo>
                                <a:lnTo>
                                  <a:pt x="222557" y="82489"/>
                                </a:lnTo>
                                <a:lnTo>
                                  <a:pt x="222557" y="41059"/>
                                </a:lnTo>
                                <a:lnTo>
                                  <a:pt x="102985" y="41059"/>
                                </a:lnTo>
                                <a:lnTo>
                                  <a:pt x="17550"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2242238" y="1309668"/>
                            <a:ext cx="222885" cy="137795"/>
                          </a:xfrm>
                          <a:custGeom>
                            <a:avLst/>
                            <a:gdLst/>
                            <a:ahLst/>
                            <a:cxnLst/>
                            <a:rect l="l" t="t" r="r" b="b"/>
                            <a:pathLst>
                              <a:path w="222885" h="137795">
                                <a:moveTo>
                                  <a:pt x="34714" y="137606"/>
                                </a:moveTo>
                                <a:lnTo>
                                  <a:pt x="120150" y="82489"/>
                                </a:lnTo>
                                <a:lnTo>
                                  <a:pt x="222557" y="82489"/>
                                </a:lnTo>
                                <a:lnTo>
                                  <a:pt x="222557" y="41059"/>
                                </a:lnTo>
                                <a:lnTo>
                                  <a:pt x="102985" y="41059"/>
                                </a:lnTo>
                                <a:lnTo>
                                  <a:pt x="17550" y="0"/>
                                </a:lnTo>
                                <a:lnTo>
                                  <a:pt x="0" y="27372"/>
                                </a:lnTo>
                                <a:lnTo>
                                  <a:pt x="85821" y="68803"/>
                                </a:lnTo>
                                <a:lnTo>
                                  <a:pt x="0" y="109846"/>
                                </a:lnTo>
                                <a:lnTo>
                                  <a:pt x="34714" y="137606"/>
                                </a:lnTo>
                                <a:close/>
                              </a:path>
                            </a:pathLst>
                          </a:custGeom>
                          <a:ln w="14624">
                            <a:solidFill>
                              <a:srgbClr val="23201D"/>
                            </a:solidFill>
                            <a:prstDash val="solid"/>
                          </a:ln>
                        </wps:spPr>
                        <wps:bodyPr wrap="square" lIns="0" tIns="0" rIns="0" bIns="0" rtlCol="0">
                          <a:prstTxWarp prst="textNoShape">
                            <a:avLst/>
                          </a:prstTxWarp>
                          <a:noAutofit/>
                        </wps:bodyPr>
                      </wps:wsp>
                      <wps:wsp>
                        <wps:cNvPr id="138" name="Graphic 138"/>
                        <wps:cNvSpPr/>
                        <wps:spPr>
                          <a:xfrm>
                            <a:off x="2447823" y="1295611"/>
                            <a:ext cx="222885" cy="151765"/>
                          </a:xfrm>
                          <a:custGeom>
                            <a:avLst/>
                            <a:gdLst/>
                            <a:ahLst/>
                            <a:cxnLst/>
                            <a:rect l="l" t="t" r="r" b="b"/>
                            <a:pathLst>
                              <a:path w="222885" h="151765">
                                <a:moveTo>
                                  <a:pt x="16971" y="0"/>
                                </a:moveTo>
                                <a:lnTo>
                                  <a:pt x="0" y="27743"/>
                                </a:lnTo>
                                <a:lnTo>
                                  <a:pt x="68657" y="69173"/>
                                </a:lnTo>
                                <a:lnTo>
                                  <a:pt x="0" y="110233"/>
                                </a:lnTo>
                                <a:lnTo>
                                  <a:pt x="34135" y="151663"/>
                                </a:lnTo>
                                <a:lnTo>
                                  <a:pt x="119957" y="82860"/>
                                </a:lnTo>
                                <a:lnTo>
                                  <a:pt x="222557" y="82860"/>
                                </a:lnTo>
                                <a:lnTo>
                                  <a:pt x="222557" y="41430"/>
                                </a:lnTo>
                                <a:lnTo>
                                  <a:pt x="102792" y="41430"/>
                                </a:lnTo>
                                <a:lnTo>
                                  <a:pt x="16971" y="0"/>
                                </a:lnTo>
                                <a:close/>
                              </a:path>
                            </a:pathLst>
                          </a:custGeom>
                          <a:solidFill>
                            <a:srgbClr val="23201D"/>
                          </a:solidFill>
                        </wps:spPr>
                        <wps:bodyPr wrap="square" lIns="0" tIns="0" rIns="0" bIns="0" rtlCol="0">
                          <a:prstTxWarp prst="textNoShape">
                            <a:avLst/>
                          </a:prstTxWarp>
                          <a:noAutofit/>
                        </wps:bodyPr>
                      </wps:wsp>
                      <wps:wsp>
                        <wps:cNvPr id="139" name="Graphic 139"/>
                        <wps:cNvSpPr/>
                        <wps:spPr>
                          <a:xfrm>
                            <a:off x="2447823" y="1281925"/>
                            <a:ext cx="222885" cy="151765"/>
                          </a:xfrm>
                          <a:custGeom>
                            <a:avLst/>
                            <a:gdLst/>
                            <a:ahLst/>
                            <a:cxnLst/>
                            <a:rect l="l" t="t" r="r" b="b"/>
                            <a:pathLst>
                              <a:path w="222885" h="151765">
                                <a:moveTo>
                                  <a:pt x="0" y="0"/>
                                </a:moveTo>
                                <a:lnTo>
                                  <a:pt x="0" y="41430"/>
                                </a:lnTo>
                                <a:lnTo>
                                  <a:pt x="68657" y="82860"/>
                                </a:lnTo>
                                <a:lnTo>
                                  <a:pt x="0" y="123919"/>
                                </a:lnTo>
                                <a:lnTo>
                                  <a:pt x="16971" y="151663"/>
                                </a:lnTo>
                                <a:lnTo>
                                  <a:pt x="119957" y="96546"/>
                                </a:lnTo>
                                <a:lnTo>
                                  <a:pt x="222557" y="96546"/>
                                </a:lnTo>
                                <a:lnTo>
                                  <a:pt x="222557" y="55116"/>
                                </a:lnTo>
                                <a:lnTo>
                                  <a:pt x="102792" y="55116"/>
                                </a:lnTo>
                                <a:lnTo>
                                  <a:pt x="0" y="0"/>
                                </a:lnTo>
                                <a:close/>
                              </a:path>
                            </a:pathLst>
                          </a:custGeom>
                          <a:solidFill>
                            <a:srgbClr val="828180"/>
                          </a:solidFill>
                        </wps:spPr>
                        <wps:bodyPr wrap="square" lIns="0" tIns="0" rIns="0" bIns="0" rtlCol="0">
                          <a:prstTxWarp prst="textNoShape">
                            <a:avLst/>
                          </a:prstTxWarp>
                          <a:noAutofit/>
                        </wps:bodyPr>
                      </wps:wsp>
                      <wps:wsp>
                        <wps:cNvPr id="140" name="Graphic 140"/>
                        <wps:cNvSpPr/>
                        <wps:spPr>
                          <a:xfrm>
                            <a:off x="2447823" y="1281925"/>
                            <a:ext cx="222885" cy="151765"/>
                          </a:xfrm>
                          <a:custGeom>
                            <a:avLst/>
                            <a:gdLst/>
                            <a:ahLst/>
                            <a:cxnLst/>
                            <a:rect l="l" t="t" r="r" b="b"/>
                            <a:pathLst>
                              <a:path w="222885" h="151765">
                                <a:moveTo>
                                  <a:pt x="16971" y="151663"/>
                                </a:moveTo>
                                <a:lnTo>
                                  <a:pt x="119957" y="96546"/>
                                </a:lnTo>
                                <a:lnTo>
                                  <a:pt x="222557" y="96546"/>
                                </a:lnTo>
                                <a:lnTo>
                                  <a:pt x="222557" y="55116"/>
                                </a:lnTo>
                                <a:lnTo>
                                  <a:pt x="102792" y="55116"/>
                                </a:lnTo>
                                <a:lnTo>
                                  <a:pt x="0" y="0"/>
                                </a:lnTo>
                                <a:lnTo>
                                  <a:pt x="0" y="41430"/>
                                </a:lnTo>
                                <a:lnTo>
                                  <a:pt x="68657" y="82860"/>
                                </a:lnTo>
                                <a:lnTo>
                                  <a:pt x="0" y="123919"/>
                                </a:lnTo>
                                <a:lnTo>
                                  <a:pt x="16971" y="151663"/>
                                </a:lnTo>
                                <a:close/>
                              </a:path>
                            </a:pathLst>
                          </a:custGeom>
                          <a:ln w="14762">
                            <a:solidFill>
                              <a:srgbClr val="23201D"/>
                            </a:solidFill>
                            <a:prstDash val="solid"/>
                          </a:ln>
                        </wps:spPr>
                        <wps:bodyPr wrap="square" lIns="0" tIns="0" rIns="0" bIns="0" rtlCol="0">
                          <a:prstTxWarp prst="textNoShape">
                            <a:avLst/>
                          </a:prstTxWarp>
                          <a:noAutofit/>
                        </wps:bodyPr>
                      </wps:wsp>
                      <wps:wsp>
                        <wps:cNvPr id="141" name="Graphic 141"/>
                        <wps:cNvSpPr/>
                        <wps:spPr>
                          <a:xfrm>
                            <a:off x="582277" y="455145"/>
                            <a:ext cx="137160" cy="344805"/>
                          </a:xfrm>
                          <a:custGeom>
                            <a:avLst/>
                            <a:gdLst/>
                            <a:ahLst/>
                            <a:cxnLst/>
                            <a:rect l="l" t="t" r="r" b="b"/>
                            <a:pathLst>
                              <a:path w="137160" h="344805">
                                <a:moveTo>
                                  <a:pt x="136658" y="0"/>
                                </a:moveTo>
                                <a:lnTo>
                                  <a:pt x="0" y="0"/>
                                </a:lnTo>
                                <a:lnTo>
                                  <a:pt x="0" y="248240"/>
                                </a:lnTo>
                                <a:lnTo>
                                  <a:pt x="68329" y="344478"/>
                                </a:lnTo>
                                <a:lnTo>
                                  <a:pt x="136658" y="261989"/>
                                </a:lnTo>
                                <a:lnTo>
                                  <a:pt x="136658" y="0"/>
                                </a:lnTo>
                                <a:close/>
                              </a:path>
                            </a:pathLst>
                          </a:custGeom>
                          <a:solidFill>
                            <a:srgbClr val="23201D"/>
                          </a:solidFill>
                        </wps:spPr>
                        <wps:bodyPr wrap="square" lIns="0" tIns="0" rIns="0" bIns="0" rtlCol="0">
                          <a:prstTxWarp prst="textNoShape">
                            <a:avLst/>
                          </a:prstTxWarp>
                          <a:noAutofit/>
                        </wps:bodyPr>
                      </wps:wsp>
                      <pic:pic>
                        <pic:nvPicPr>
                          <pic:cNvPr id="142" name="Image 142"/>
                          <pic:cNvPicPr/>
                        </pic:nvPicPr>
                        <pic:blipFill>
                          <a:blip r:embed="rId38" cstate="print"/>
                          <a:stretch>
                            <a:fillRect/>
                          </a:stretch>
                        </pic:blipFill>
                        <pic:spPr>
                          <a:xfrm>
                            <a:off x="591666" y="640541"/>
                            <a:ext cx="100812" cy="84291"/>
                          </a:xfrm>
                          <a:prstGeom prst="rect">
                            <a:avLst/>
                          </a:prstGeom>
                        </pic:spPr>
                      </pic:pic>
                      <wps:wsp>
                        <wps:cNvPr id="143" name="Graphic 143"/>
                        <wps:cNvSpPr/>
                        <wps:spPr>
                          <a:xfrm>
                            <a:off x="564708" y="455145"/>
                            <a:ext cx="137160" cy="358775"/>
                          </a:xfrm>
                          <a:custGeom>
                            <a:avLst/>
                            <a:gdLst/>
                            <a:ahLst/>
                            <a:cxnLst/>
                            <a:rect l="l" t="t" r="r" b="b"/>
                            <a:pathLst>
                              <a:path w="137160" h="358775">
                                <a:moveTo>
                                  <a:pt x="137160" y="0"/>
                                </a:moveTo>
                                <a:lnTo>
                                  <a:pt x="0" y="0"/>
                                </a:lnTo>
                                <a:lnTo>
                                  <a:pt x="0" y="248240"/>
                                </a:lnTo>
                                <a:lnTo>
                                  <a:pt x="68811" y="358535"/>
                                </a:lnTo>
                                <a:lnTo>
                                  <a:pt x="137160" y="261989"/>
                                </a:lnTo>
                                <a:lnTo>
                                  <a:pt x="137160"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564708" y="455145"/>
                            <a:ext cx="137160" cy="358775"/>
                          </a:xfrm>
                          <a:custGeom>
                            <a:avLst/>
                            <a:gdLst/>
                            <a:ahLst/>
                            <a:cxnLst/>
                            <a:rect l="l" t="t" r="r" b="b"/>
                            <a:pathLst>
                              <a:path w="137160" h="358775">
                                <a:moveTo>
                                  <a:pt x="0" y="0"/>
                                </a:moveTo>
                                <a:lnTo>
                                  <a:pt x="0" y="248240"/>
                                </a:lnTo>
                                <a:lnTo>
                                  <a:pt x="68811" y="358535"/>
                                </a:lnTo>
                                <a:lnTo>
                                  <a:pt x="137160" y="261989"/>
                                </a:lnTo>
                                <a:lnTo>
                                  <a:pt x="137160" y="0"/>
                                </a:lnTo>
                                <a:lnTo>
                                  <a:pt x="0" y="0"/>
                                </a:lnTo>
                                <a:close/>
                              </a:path>
                            </a:pathLst>
                          </a:custGeom>
                          <a:ln w="16649">
                            <a:solidFill>
                              <a:srgbClr val="23201D"/>
                            </a:solidFill>
                            <a:prstDash val="solid"/>
                          </a:ln>
                        </wps:spPr>
                        <wps:bodyPr wrap="square" lIns="0" tIns="0" rIns="0" bIns="0" rtlCol="0">
                          <a:prstTxWarp prst="textNoShape">
                            <a:avLst/>
                          </a:prstTxWarp>
                          <a:noAutofit/>
                        </wps:bodyPr>
                      </wps:wsp>
                      <pic:pic>
                        <pic:nvPicPr>
                          <pic:cNvPr id="145" name="Image 145"/>
                          <pic:cNvPicPr/>
                        </pic:nvPicPr>
                        <pic:blipFill>
                          <a:blip r:embed="rId39" cstate="print"/>
                          <a:stretch>
                            <a:fillRect/>
                          </a:stretch>
                        </pic:blipFill>
                        <pic:spPr>
                          <a:xfrm>
                            <a:off x="574579" y="640541"/>
                            <a:ext cx="100812" cy="84291"/>
                          </a:xfrm>
                          <a:prstGeom prst="rect">
                            <a:avLst/>
                          </a:prstGeom>
                        </pic:spPr>
                      </pic:pic>
                      <wps:wsp>
                        <wps:cNvPr id="146" name="Graphic 146"/>
                        <wps:cNvSpPr/>
                        <wps:spPr>
                          <a:xfrm>
                            <a:off x="2071366" y="455145"/>
                            <a:ext cx="137160" cy="358775"/>
                          </a:xfrm>
                          <a:custGeom>
                            <a:avLst/>
                            <a:gdLst/>
                            <a:ahLst/>
                            <a:cxnLst/>
                            <a:rect l="l" t="t" r="r" b="b"/>
                            <a:pathLst>
                              <a:path w="137160" h="358775">
                                <a:moveTo>
                                  <a:pt x="136735" y="0"/>
                                </a:moveTo>
                                <a:lnTo>
                                  <a:pt x="0" y="0"/>
                                </a:lnTo>
                                <a:lnTo>
                                  <a:pt x="0" y="261989"/>
                                </a:lnTo>
                                <a:lnTo>
                                  <a:pt x="85435" y="358535"/>
                                </a:lnTo>
                                <a:lnTo>
                                  <a:pt x="136735" y="261989"/>
                                </a:lnTo>
                                <a:lnTo>
                                  <a:pt x="136735" y="0"/>
                                </a:lnTo>
                                <a:close/>
                              </a:path>
                            </a:pathLst>
                          </a:custGeom>
                          <a:solidFill>
                            <a:srgbClr val="23201D"/>
                          </a:solidFill>
                        </wps:spPr>
                        <wps:bodyPr wrap="square" lIns="0" tIns="0" rIns="0" bIns="0" rtlCol="0">
                          <a:prstTxWarp prst="textNoShape">
                            <a:avLst/>
                          </a:prstTxWarp>
                          <a:noAutofit/>
                        </wps:bodyPr>
                      </wps:wsp>
                      <pic:pic>
                        <pic:nvPicPr>
                          <pic:cNvPr id="147" name="Image 147"/>
                          <pic:cNvPicPr/>
                        </pic:nvPicPr>
                        <pic:blipFill>
                          <a:blip r:embed="rId40" cstate="print"/>
                          <a:stretch>
                            <a:fillRect/>
                          </a:stretch>
                        </pic:blipFill>
                        <pic:spPr>
                          <a:xfrm>
                            <a:off x="2097804" y="640541"/>
                            <a:ext cx="100831" cy="84291"/>
                          </a:xfrm>
                          <a:prstGeom prst="rect">
                            <a:avLst/>
                          </a:prstGeom>
                        </pic:spPr>
                      </pic:pic>
                      <wps:wsp>
                        <wps:cNvPr id="148" name="Graphic 148"/>
                        <wps:cNvSpPr/>
                        <wps:spPr>
                          <a:xfrm>
                            <a:off x="2054395" y="469202"/>
                            <a:ext cx="137160" cy="344805"/>
                          </a:xfrm>
                          <a:custGeom>
                            <a:avLst/>
                            <a:gdLst/>
                            <a:ahLst/>
                            <a:cxnLst/>
                            <a:rect l="l" t="t" r="r" b="b"/>
                            <a:pathLst>
                              <a:path w="137160" h="344805">
                                <a:moveTo>
                                  <a:pt x="136542" y="0"/>
                                </a:moveTo>
                                <a:lnTo>
                                  <a:pt x="0" y="0"/>
                                </a:lnTo>
                                <a:lnTo>
                                  <a:pt x="0" y="247931"/>
                                </a:lnTo>
                                <a:lnTo>
                                  <a:pt x="68271" y="344478"/>
                                </a:lnTo>
                                <a:lnTo>
                                  <a:pt x="136542" y="261525"/>
                                </a:lnTo>
                                <a:lnTo>
                                  <a:pt x="136542"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2054395" y="469202"/>
                            <a:ext cx="137160" cy="344805"/>
                          </a:xfrm>
                          <a:custGeom>
                            <a:avLst/>
                            <a:gdLst/>
                            <a:ahLst/>
                            <a:cxnLst/>
                            <a:rect l="l" t="t" r="r" b="b"/>
                            <a:pathLst>
                              <a:path w="137160" h="344805">
                                <a:moveTo>
                                  <a:pt x="0" y="0"/>
                                </a:moveTo>
                                <a:lnTo>
                                  <a:pt x="0" y="247931"/>
                                </a:lnTo>
                                <a:lnTo>
                                  <a:pt x="68271" y="344478"/>
                                </a:lnTo>
                                <a:lnTo>
                                  <a:pt x="136542" y="261525"/>
                                </a:lnTo>
                                <a:lnTo>
                                  <a:pt x="136542" y="0"/>
                                </a:lnTo>
                                <a:lnTo>
                                  <a:pt x="0" y="0"/>
                                </a:lnTo>
                                <a:close/>
                              </a:path>
                            </a:pathLst>
                          </a:custGeom>
                          <a:ln w="16622">
                            <a:solidFill>
                              <a:srgbClr val="23201D"/>
                            </a:solidFill>
                            <a:prstDash val="solid"/>
                          </a:ln>
                        </wps:spPr>
                        <wps:bodyPr wrap="square" lIns="0" tIns="0" rIns="0" bIns="0" rtlCol="0">
                          <a:prstTxWarp prst="textNoShape">
                            <a:avLst/>
                          </a:prstTxWarp>
                          <a:noAutofit/>
                        </wps:bodyPr>
                      </wps:wsp>
                      <pic:pic>
                        <pic:nvPicPr>
                          <pic:cNvPr id="150" name="Image 150"/>
                          <pic:cNvPicPr/>
                        </pic:nvPicPr>
                        <pic:blipFill>
                          <a:blip r:embed="rId41" cstate="print"/>
                          <a:stretch>
                            <a:fillRect/>
                          </a:stretch>
                        </pic:blipFill>
                        <pic:spPr>
                          <a:xfrm>
                            <a:off x="2080833" y="599217"/>
                            <a:ext cx="298526" cy="166938"/>
                          </a:xfrm>
                          <a:prstGeom prst="rect">
                            <a:avLst/>
                          </a:prstGeom>
                        </pic:spPr>
                      </pic:pic>
                      <wps:wsp>
                        <wps:cNvPr id="151" name="Graphic 151"/>
                        <wps:cNvSpPr/>
                        <wps:spPr>
                          <a:xfrm>
                            <a:off x="1146982" y="2094961"/>
                            <a:ext cx="171450" cy="124460"/>
                          </a:xfrm>
                          <a:custGeom>
                            <a:avLst/>
                            <a:gdLst/>
                            <a:ahLst/>
                            <a:cxnLst/>
                            <a:rect l="l" t="t" r="r" b="b"/>
                            <a:pathLst>
                              <a:path w="171450" h="124460">
                                <a:moveTo>
                                  <a:pt x="171313" y="0"/>
                                </a:moveTo>
                                <a:lnTo>
                                  <a:pt x="0" y="0"/>
                                </a:lnTo>
                                <a:lnTo>
                                  <a:pt x="0" y="123915"/>
                                </a:lnTo>
                                <a:lnTo>
                                  <a:pt x="171313" y="123915"/>
                                </a:lnTo>
                                <a:lnTo>
                                  <a:pt x="171313" y="0"/>
                                </a:lnTo>
                                <a:close/>
                              </a:path>
                            </a:pathLst>
                          </a:custGeom>
                          <a:solidFill>
                            <a:srgbClr val="A9A8A7"/>
                          </a:solidFill>
                        </wps:spPr>
                        <wps:bodyPr wrap="square" lIns="0" tIns="0" rIns="0" bIns="0" rtlCol="0">
                          <a:prstTxWarp prst="textNoShape">
                            <a:avLst/>
                          </a:prstTxWarp>
                          <a:noAutofit/>
                        </wps:bodyPr>
                      </wps:wsp>
                      <wps:wsp>
                        <wps:cNvPr id="152" name="Graphic 152"/>
                        <wps:cNvSpPr/>
                        <wps:spPr>
                          <a:xfrm>
                            <a:off x="1146982" y="2094961"/>
                            <a:ext cx="171450" cy="124460"/>
                          </a:xfrm>
                          <a:custGeom>
                            <a:avLst/>
                            <a:gdLst/>
                            <a:ahLst/>
                            <a:cxnLst/>
                            <a:rect l="l" t="t" r="r" b="b"/>
                            <a:pathLst>
                              <a:path w="171450" h="124460">
                                <a:moveTo>
                                  <a:pt x="0" y="123915"/>
                                </a:moveTo>
                                <a:lnTo>
                                  <a:pt x="171313" y="123915"/>
                                </a:lnTo>
                                <a:lnTo>
                                  <a:pt x="171313" y="0"/>
                                </a:lnTo>
                                <a:lnTo>
                                  <a:pt x="0" y="0"/>
                                </a:lnTo>
                                <a:lnTo>
                                  <a:pt x="0" y="123915"/>
                                </a:lnTo>
                                <a:close/>
                              </a:path>
                            </a:pathLst>
                          </a:custGeom>
                          <a:ln w="14851">
                            <a:solidFill>
                              <a:srgbClr val="23201D"/>
                            </a:solidFill>
                            <a:prstDash val="solid"/>
                          </a:ln>
                        </wps:spPr>
                        <wps:bodyPr wrap="square" lIns="0" tIns="0" rIns="0" bIns="0" rtlCol="0">
                          <a:prstTxWarp prst="textNoShape">
                            <a:avLst/>
                          </a:prstTxWarp>
                          <a:noAutofit/>
                        </wps:bodyPr>
                      </wps:wsp>
                      <wps:wsp>
                        <wps:cNvPr id="153" name="Graphic 153"/>
                        <wps:cNvSpPr/>
                        <wps:spPr>
                          <a:xfrm>
                            <a:off x="599364" y="1970666"/>
                            <a:ext cx="137160" cy="344805"/>
                          </a:xfrm>
                          <a:custGeom>
                            <a:avLst/>
                            <a:gdLst/>
                            <a:ahLst/>
                            <a:cxnLst/>
                            <a:rect l="l" t="t" r="r" b="b"/>
                            <a:pathLst>
                              <a:path w="137160" h="344805">
                                <a:moveTo>
                                  <a:pt x="136658" y="0"/>
                                </a:moveTo>
                                <a:lnTo>
                                  <a:pt x="0" y="0"/>
                                </a:lnTo>
                                <a:lnTo>
                                  <a:pt x="0" y="248210"/>
                                </a:lnTo>
                                <a:lnTo>
                                  <a:pt x="68329" y="344386"/>
                                </a:lnTo>
                                <a:lnTo>
                                  <a:pt x="136658" y="261896"/>
                                </a:lnTo>
                                <a:lnTo>
                                  <a:pt x="136658" y="0"/>
                                </a:lnTo>
                                <a:close/>
                              </a:path>
                            </a:pathLst>
                          </a:custGeom>
                          <a:solidFill>
                            <a:srgbClr val="23201D"/>
                          </a:solidFill>
                        </wps:spPr>
                        <wps:bodyPr wrap="square" lIns="0" tIns="0" rIns="0" bIns="0" rtlCol="0">
                          <a:prstTxWarp prst="textNoShape">
                            <a:avLst/>
                          </a:prstTxWarp>
                          <a:noAutofit/>
                        </wps:bodyPr>
                      </wps:wsp>
                      <pic:pic>
                        <pic:nvPicPr>
                          <pic:cNvPr id="154" name="Image 154"/>
                          <pic:cNvPicPr/>
                        </pic:nvPicPr>
                        <pic:blipFill>
                          <a:blip r:embed="rId42" cstate="print"/>
                          <a:stretch>
                            <a:fillRect/>
                          </a:stretch>
                        </pic:blipFill>
                        <pic:spPr>
                          <a:xfrm>
                            <a:off x="608731" y="2142001"/>
                            <a:ext cx="100837" cy="84575"/>
                          </a:xfrm>
                          <a:prstGeom prst="rect">
                            <a:avLst/>
                          </a:prstGeom>
                        </pic:spPr>
                      </pic:pic>
                      <wps:wsp>
                        <wps:cNvPr id="155" name="Graphic 155"/>
                        <wps:cNvSpPr/>
                        <wps:spPr>
                          <a:xfrm>
                            <a:off x="582277" y="1970666"/>
                            <a:ext cx="137160" cy="344805"/>
                          </a:xfrm>
                          <a:custGeom>
                            <a:avLst/>
                            <a:gdLst/>
                            <a:ahLst/>
                            <a:cxnLst/>
                            <a:rect l="l" t="t" r="r" b="b"/>
                            <a:pathLst>
                              <a:path w="137160" h="344805">
                                <a:moveTo>
                                  <a:pt x="136658" y="0"/>
                                </a:moveTo>
                                <a:lnTo>
                                  <a:pt x="0" y="0"/>
                                </a:lnTo>
                                <a:lnTo>
                                  <a:pt x="0" y="248210"/>
                                </a:lnTo>
                                <a:lnTo>
                                  <a:pt x="68329" y="344386"/>
                                </a:lnTo>
                                <a:lnTo>
                                  <a:pt x="136658" y="261896"/>
                                </a:lnTo>
                                <a:lnTo>
                                  <a:pt x="136658"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582277" y="1970666"/>
                            <a:ext cx="137160" cy="344805"/>
                          </a:xfrm>
                          <a:custGeom>
                            <a:avLst/>
                            <a:gdLst/>
                            <a:ahLst/>
                            <a:cxnLst/>
                            <a:rect l="l" t="t" r="r" b="b"/>
                            <a:pathLst>
                              <a:path w="137160" h="344805">
                                <a:moveTo>
                                  <a:pt x="0" y="0"/>
                                </a:moveTo>
                                <a:lnTo>
                                  <a:pt x="0" y="248210"/>
                                </a:lnTo>
                                <a:lnTo>
                                  <a:pt x="68329" y="344386"/>
                                </a:lnTo>
                                <a:lnTo>
                                  <a:pt x="136658" y="261896"/>
                                </a:lnTo>
                                <a:lnTo>
                                  <a:pt x="136658" y="0"/>
                                </a:lnTo>
                                <a:lnTo>
                                  <a:pt x="0" y="0"/>
                                </a:lnTo>
                                <a:close/>
                              </a:path>
                            </a:pathLst>
                          </a:custGeom>
                          <a:ln w="16621">
                            <a:solidFill>
                              <a:srgbClr val="23201D"/>
                            </a:solidFill>
                            <a:prstDash val="solid"/>
                          </a:ln>
                        </wps:spPr>
                        <wps:bodyPr wrap="square" lIns="0" tIns="0" rIns="0" bIns="0" rtlCol="0">
                          <a:prstTxWarp prst="textNoShape">
                            <a:avLst/>
                          </a:prstTxWarp>
                          <a:noAutofit/>
                        </wps:bodyPr>
                      </wps:wsp>
                      <wps:wsp>
                        <wps:cNvPr id="157" name="Graphic 157"/>
                        <wps:cNvSpPr/>
                        <wps:spPr>
                          <a:xfrm>
                            <a:off x="599364" y="2163759"/>
                            <a:ext cx="85725" cy="69215"/>
                          </a:xfrm>
                          <a:custGeom>
                            <a:avLst/>
                            <a:gdLst/>
                            <a:ahLst/>
                            <a:cxnLst/>
                            <a:rect l="l" t="t" r="r" b="b"/>
                            <a:pathLst>
                              <a:path w="85725" h="69215">
                                <a:moveTo>
                                  <a:pt x="51242" y="0"/>
                                </a:moveTo>
                                <a:lnTo>
                                  <a:pt x="28818" y="2352"/>
                                </a:lnTo>
                                <a:lnTo>
                                  <a:pt x="12805" y="8554"/>
                                </a:lnTo>
                                <a:lnTo>
                                  <a:pt x="3200" y="17321"/>
                                </a:lnTo>
                                <a:lnTo>
                                  <a:pt x="0" y="27372"/>
                                </a:lnTo>
                                <a:lnTo>
                                  <a:pt x="3200" y="39620"/>
                                </a:lnTo>
                                <a:lnTo>
                                  <a:pt x="12805" y="53220"/>
                                </a:lnTo>
                                <a:lnTo>
                                  <a:pt x="28818" y="64254"/>
                                </a:lnTo>
                                <a:lnTo>
                                  <a:pt x="51242" y="68803"/>
                                </a:lnTo>
                                <a:lnTo>
                                  <a:pt x="63790" y="64254"/>
                                </a:lnTo>
                                <a:lnTo>
                                  <a:pt x="74736" y="53220"/>
                                </a:lnTo>
                                <a:lnTo>
                                  <a:pt x="82479" y="39620"/>
                                </a:lnTo>
                                <a:lnTo>
                                  <a:pt x="85416" y="27372"/>
                                </a:lnTo>
                                <a:lnTo>
                                  <a:pt x="82479" y="17321"/>
                                </a:lnTo>
                                <a:lnTo>
                                  <a:pt x="74736" y="8554"/>
                                </a:lnTo>
                                <a:lnTo>
                                  <a:pt x="63790" y="2352"/>
                                </a:lnTo>
                                <a:lnTo>
                                  <a:pt x="51242"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599364" y="2163759"/>
                            <a:ext cx="85725" cy="69215"/>
                          </a:xfrm>
                          <a:custGeom>
                            <a:avLst/>
                            <a:gdLst/>
                            <a:ahLst/>
                            <a:cxnLst/>
                            <a:rect l="l" t="t" r="r" b="b"/>
                            <a:pathLst>
                              <a:path w="85725" h="69215">
                                <a:moveTo>
                                  <a:pt x="51242" y="0"/>
                                </a:moveTo>
                                <a:lnTo>
                                  <a:pt x="63790" y="2352"/>
                                </a:lnTo>
                                <a:lnTo>
                                  <a:pt x="74736" y="8554"/>
                                </a:lnTo>
                                <a:lnTo>
                                  <a:pt x="82479" y="17321"/>
                                </a:lnTo>
                                <a:lnTo>
                                  <a:pt x="85416" y="27372"/>
                                </a:lnTo>
                                <a:lnTo>
                                  <a:pt x="82479" y="39620"/>
                                </a:lnTo>
                                <a:lnTo>
                                  <a:pt x="74736" y="53220"/>
                                </a:lnTo>
                                <a:lnTo>
                                  <a:pt x="63790" y="64254"/>
                                </a:lnTo>
                                <a:lnTo>
                                  <a:pt x="51242" y="68803"/>
                                </a:lnTo>
                                <a:lnTo>
                                  <a:pt x="28818" y="64254"/>
                                </a:lnTo>
                                <a:lnTo>
                                  <a:pt x="12805" y="53220"/>
                                </a:lnTo>
                                <a:lnTo>
                                  <a:pt x="3200" y="39620"/>
                                </a:lnTo>
                                <a:lnTo>
                                  <a:pt x="0" y="27372"/>
                                </a:lnTo>
                                <a:lnTo>
                                  <a:pt x="3200" y="17321"/>
                                </a:lnTo>
                                <a:lnTo>
                                  <a:pt x="12805" y="8554"/>
                                </a:lnTo>
                                <a:lnTo>
                                  <a:pt x="28818" y="2352"/>
                                </a:lnTo>
                                <a:lnTo>
                                  <a:pt x="51242" y="0"/>
                                </a:lnTo>
                                <a:close/>
                              </a:path>
                            </a:pathLst>
                          </a:custGeom>
                          <a:ln w="15021">
                            <a:solidFill>
                              <a:srgbClr val="23201D"/>
                            </a:solidFill>
                            <a:prstDash val="solid"/>
                          </a:ln>
                        </wps:spPr>
                        <wps:bodyPr wrap="square" lIns="0" tIns="0" rIns="0" bIns="0" rtlCol="0">
                          <a:prstTxWarp prst="textNoShape">
                            <a:avLst/>
                          </a:prstTxWarp>
                          <a:noAutofit/>
                        </wps:bodyPr>
                      </wps:wsp>
                      <wps:wsp>
                        <wps:cNvPr id="159" name="Graphic 159"/>
                        <wps:cNvSpPr/>
                        <wps:spPr>
                          <a:xfrm>
                            <a:off x="701868" y="2108658"/>
                            <a:ext cx="205740" cy="151765"/>
                          </a:xfrm>
                          <a:custGeom>
                            <a:avLst/>
                            <a:gdLst/>
                            <a:ahLst/>
                            <a:cxnLst/>
                            <a:rect l="l" t="t" r="r" b="b"/>
                            <a:pathLst>
                              <a:path w="205740" h="151765">
                                <a:moveTo>
                                  <a:pt x="0" y="0"/>
                                </a:moveTo>
                                <a:lnTo>
                                  <a:pt x="0" y="41043"/>
                                </a:lnTo>
                                <a:lnTo>
                                  <a:pt x="68329" y="82474"/>
                                </a:lnTo>
                                <a:lnTo>
                                  <a:pt x="0" y="123904"/>
                                </a:lnTo>
                                <a:lnTo>
                                  <a:pt x="17067" y="151277"/>
                                </a:lnTo>
                                <a:lnTo>
                                  <a:pt x="120053" y="96160"/>
                                </a:lnTo>
                                <a:lnTo>
                                  <a:pt x="205470" y="96160"/>
                                </a:lnTo>
                                <a:lnTo>
                                  <a:pt x="205470" y="55101"/>
                                </a:lnTo>
                                <a:lnTo>
                                  <a:pt x="102503" y="55101"/>
                                </a:lnTo>
                                <a:lnTo>
                                  <a:pt x="0" y="0"/>
                                </a:lnTo>
                                <a:close/>
                              </a:path>
                            </a:pathLst>
                          </a:custGeom>
                          <a:solidFill>
                            <a:srgbClr val="23201D"/>
                          </a:solidFill>
                        </wps:spPr>
                        <wps:bodyPr wrap="square" lIns="0" tIns="0" rIns="0" bIns="0" rtlCol="0">
                          <a:prstTxWarp prst="textNoShape">
                            <a:avLst/>
                          </a:prstTxWarp>
                          <a:noAutofit/>
                        </wps:bodyPr>
                      </wps:wsp>
                      <wps:wsp>
                        <wps:cNvPr id="160" name="Graphic 160"/>
                        <wps:cNvSpPr/>
                        <wps:spPr>
                          <a:xfrm>
                            <a:off x="701868" y="2108658"/>
                            <a:ext cx="205740" cy="151765"/>
                          </a:xfrm>
                          <a:custGeom>
                            <a:avLst/>
                            <a:gdLst/>
                            <a:ahLst/>
                            <a:cxnLst/>
                            <a:rect l="l" t="t" r="r" b="b"/>
                            <a:pathLst>
                              <a:path w="205740" h="151765">
                                <a:moveTo>
                                  <a:pt x="0" y="0"/>
                                </a:moveTo>
                                <a:lnTo>
                                  <a:pt x="0" y="27357"/>
                                </a:lnTo>
                                <a:lnTo>
                                  <a:pt x="68329" y="68787"/>
                                </a:lnTo>
                                <a:lnTo>
                                  <a:pt x="0" y="110217"/>
                                </a:lnTo>
                                <a:lnTo>
                                  <a:pt x="17067" y="151277"/>
                                </a:lnTo>
                                <a:lnTo>
                                  <a:pt x="102503" y="82474"/>
                                </a:lnTo>
                                <a:lnTo>
                                  <a:pt x="205470" y="82474"/>
                                </a:lnTo>
                                <a:lnTo>
                                  <a:pt x="205470" y="41043"/>
                                </a:lnTo>
                                <a:lnTo>
                                  <a:pt x="102503" y="41043"/>
                                </a:lnTo>
                                <a:lnTo>
                                  <a:pt x="0"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701868" y="2108658"/>
                            <a:ext cx="205740" cy="151765"/>
                          </a:xfrm>
                          <a:custGeom>
                            <a:avLst/>
                            <a:gdLst/>
                            <a:ahLst/>
                            <a:cxnLst/>
                            <a:rect l="l" t="t" r="r" b="b"/>
                            <a:pathLst>
                              <a:path w="205740" h="151765">
                                <a:moveTo>
                                  <a:pt x="17067" y="151277"/>
                                </a:moveTo>
                                <a:lnTo>
                                  <a:pt x="102503" y="82474"/>
                                </a:lnTo>
                                <a:lnTo>
                                  <a:pt x="205470" y="82474"/>
                                </a:lnTo>
                                <a:lnTo>
                                  <a:pt x="205470" y="41043"/>
                                </a:lnTo>
                                <a:lnTo>
                                  <a:pt x="102503" y="41043"/>
                                </a:lnTo>
                                <a:lnTo>
                                  <a:pt x="0" y="0"/>
                                </a:lnTo>
                                <a:lnTo>
                                  <a:pt x="0" y="27357"/>
                                </a:lnTo>
                                <a:lnTo>
                                  <a:pt x="68329" y="68787"/>
                                </a:lnTo>
                                <a:lnTo>
                                  <a:pt x="0" y="110217"/>
                                </a:lnTo>
                                <a:lnTo>
                                  <a:pt x="17067" y="151277"/>
                                </a:lnTo>
                                <a:close/>
                              </a:path>
                            </a:pathLst>
                          </a:custGeom>
                          <a:ln w="14879">
                            <a:solidFill>
                              <a:srgbClr val="23201D"/>
                            </a:solidFill>
                            <a:prstDash val="solid"/>
                          </a:ln>
                        </wps:spPr>
                        <wps:bodyPr wrap="square" lIns="0" tIns="0" rIns="0" bIns="0" rtlCol="0">
                          <a:prstTxWarp prst="textNoShape">
                            <a:avLst/>
                          </a:prstTxWarp>
                          <a:noAutofit/>
                        </wps:bodyPr>
                      </wps:wsp>
                      <wps:wsp>
                        <wps:cNvPr id="162" name="Graphic 162"/>
                        <wps:cNvSpPr/>
                        <wps:spPr>
                          <a:xfrm>
                            <a:off x="907338" y="2094972"/>
                            <a:ext cx="205740" cy="151765"/>
                          </a:xfrm>
                          <a:custGeom>
                            <a:avLst/>
                            <a:gdLst/>
                            <a:ahLst/>
                            <a:cxnLst/>
                            <a:rect l="l" t="t" r="r" b="b"/>
                            <a:pathLst>
                              <a:path w="205740" h="151765">
                                <a:moveTo>
                                  <a:pt x="0" y="0"/>
                                </a:moveTo>
                                <a:lnTo>
                                  <a:pt x="0" y="41043"/>
                                </a:lnTo>
                                <a:lnTo>
                                  <a:pt x="68329" y="82474"/>
                                </a:lnTo>
                                <a:lnTo>
                                  <a:pt x="0" y="123904"/>
                                </a:lnTo>
                                <a:lnTo>
                                  <a:pt x="17087" y="151277"/>
                                </a:lnTo>
                                <a:lnTo>
                                  <a:pt x="102503" y="96160"/>
                                </a:lnTo>
                                <a:lnTo>
                                  <a:pt x="205489" y="96160"/>
                                </a:lnTo>
                                <a:lnTo>
                                  <a:pt x="205489" y="54730"/>
                                </a:lnTo>
                                <a:lnTo>
                                  <a:pt x="102503" y="54730"/>
                                </a:lnTo>
                                <a:lnTo>
                                  <a:pt x="0" y="0"/>
                                </a:lnTo>
                                <a:close/>
                              </a:path>
                            </a:pathLst>
                          </a:custGeom>
                          <a:solidFill>
                            <a:srgbClr val="23201D"/>
                          </a:solidFill>
                        </wps:spPr>
                        <wps:bodyPr wrap="square" lIns="0" tIns="0" rIns="0" bIns="0" rtlCol="0">
                          <a:prstTxWarp prst="textNoShape">
                            <a:avLst/>
                          </a:prstTxWarp>
                          <a:noAutofit/>
                        </wps:bodyPr>
                      </wps:wsp>
                      <wps:wsp>
                        <wps:cNvPr id="163" name="Graphic 163"/>
                        <wps:cNvSpPr/>
                        <wps:spPr>
                          <a:xfrm>
                            <a:off x="890251" y="2094972"/>
                            <a:ext cx="222885" cy="137795"/>
                          </a:xfrm>
                          <a:custGeom>
                            <a:avLst/>
                            <a:gdLst/>
                            <a:ahLst/>
                            <a:cxnLst/>
                            <a:rect l="l" t="t" r="r" b="b"/>
                            <a:pathLst>
                              <a:path w="222885" h="137795">
                                <a:moveTo>
                                  <a:pt x="17087" y="0"/>
                                </a:moveTo>
                                <a:lnTo>
                                  <a:pt x="0" y="27357"/>
                                </a:lnTo>
                                <a:lnTo>
                                  <a:pt x="85416" y="68787"/>
                                </a:lnTo>
                                <a:lnTo>
                                  <a:pt x="17087" y="109846"/>
                                </a:lnTo>
                                <a:lnTo>
                                  <a:pt x="34174" y="137590"/>
                                </a:lnTo>
                                <a:lnTo>
                                  <a:pt x="119590" y="82474"/>
                                </a:lnTo>
                                <a:lnTo>
                                  <a:pt x="222576" y="82474"/>
                                </a:lnTo>
                                <a:lnTo>
                                  <a:pt x="222576" y="41043"/>
                                </a:lnTo>
                                <a:lnTo>
                                  <a:pt x="119590" y="41043"/>
                                </a:lnTo>
                                <a:lnTo>
                                  <a:pt x="17087" y="0"/>
                                </a:lnTo>
                                <a:close/>
                              </a:path>
                            </a:pathLst>
                          </a:custGeom>
                          <a:solidFill>
                            <a:srgbClr val="828180"/>
                          </a:solidFill>
                        </wps:spPr>
                        <wps:bodyPr wrap="square" lIns="0" tIns="0" rIns="0" bIns="0" rtlCol="0">
                          <a:prstTxWarp prst="textNoShape">
                            <a:avLst/>
                          </a:prstTxWarp>
                          <a:noAutofit/>
                        </wps:bodyPr>
                      </wps:wsp>
                      <wps:wsp>
                        <wps:cNvPr id="164" name="Graphic 164"/>
                        <wps:cNvSpPr/>
                        <wps:spPr>
                          <a:xfrm>
                            <a:off x="890251" y="2094972"/>
                            <a:ext cx="222885" cy="137795"/>
                          </a:xfrm>
                          <a:custGeom>
                            <a:avLst/>
                            <a:gdLst/>
                            <a:ahLst/>
                            <a:cxnLst/>
                            <a:rect l="l" t="t" r="r" b="b"/>
                            <a:pathLst>
                              <a:path w="222885" h="137795">
                                <a:moveTo>
                                  <a:pt x="34174" y="137590"/>
                                </a:moveTo>
                                <a:lnTo>
                                  <a:pt x="119590" y="82474"/>
                                </a:lnTo>
                                <a:lnTo>
                                  <a:pt x="222576" y="82474"/>
                                </a:lnTo>
                                <a:lnTo>
                                  <a:pt x="222576" y="41043"/>
                                </a:lnTo>
                                <a:lnTo>
                                  <a:pt x="119590" y="41043"/>
                                </a:lnTo>
                                <a:lnTo>
                                  <a:pt x="17087" y="0"/>
                                </a:lnTo>
                                <a:lnTo>
                                  <a:pt x="0" y="27357"/>
                                </a:lnTo>
                                <a:lnTo>
                                  <a:pt x="85416" y="68787"/>
                                </a:lnTo>
                                <a:lnTo>
                                  <a:pt x="17087" y="109846"/>
                                </a:lnTo>
                                <a:lnTo>
                                  <a:pt x="34174" y="137590"/>
                                </a:lnTo>
                                <a:close/>
                              </a:path>
                            </a:pathLst>
                          </a:custGeom>
                          <a:ln w="14623">
                            <a:solidFill>
                              <a:srgbClr val="23201D"/>
                            </a:solidFill>
                            <a:prstDash val="solid"/>
                          </a:ln>
                        </wps:spPr>
                        <wps:bodyPr wrap="square" lIns="0" tIns="0" rIns="0" bIns="0" rtlCol="0">
                          <a:prstTxWarp prst="textNoShape">
                            <a:avLst/>
                          </a:prstTxWarp>
                          <a:noAutofit/>
                        </wps:bodyPr>
                      </wps:wsp>
                      <wps:wsp>
                        <wps:cNvPr id="165" name="Graphic 165"/>
                        <wps:cNvSpPr/>
                        <wps:spPr>
                          <a:xfrm>
                            <a:off x="2756202" y="1970666"/>
                            <a:ext cx="137160" cy="344805"/>
                          </a:xfrm>
                          <a:custGeom>
                            <a:avLst/>
                            <a:gdLst/>
                            <a:ahLst/>
                            <a:cxnLst/>
                            <a:rect l="l" t="t" r="r" b="b"/>
                            <a:pathLst>
                              <a:path w="137160" h="344805">
                                <a:moveTo>
                                  <a:pt x="136735" y="0"/>
                                </a:moveTo>
                                <a:lnTo>
                                  <a:pt x="0" y="0"/>
                                </a:lnTo>
                                <a:lnTo>
                                  <a:pt x="0" y="248210"/>
                                </a:lnTo>
                                <a:lnTo>
                                  <a:pt x="68271" y="344386"/>
                                </a:lnTo>
                                <a:lnTo>
                                  <a:pt x="136735" y="261896"/>
                                </a:lnTo>
                                <a:lnTo>
                                  <a:pt x="136735" y="0"/>
                                </a:lnTo>
                                <a:close/>
                              </a:path>
                            </a:pathLst>
                          </a:custGeom>
                          <a:solidFill>
                            <a:srgbClr val="23201D"/>
                          </a:solidFill>
                        </wps:spPr>
                        <wps:bodyPr wrap="square" lIns="0" tIns="0" rIns="0" bIns="0" rtlCol="0">
                          <a:prstTxWarp prst="textNoShape">
                            <a:avLst/>
                          </a:prstTxWarp>
                          <a:noAutofit/>
                        </wps:bodyPr>
                      </wps:wsp>
                      <pic:pic>
                        <pic:nvPicPr>
                          <pic:cNvPr id="166" name="Image 166"/>
                          <pic:cNvPicPr/>
                        </pic:nvPicPr>
                        <pic:blipFill>
                          <a:blip r:embed="rId43" cstate="print"/>
                          <a:stretch>
                            <a:fillRect/>
                          </a:stretch>
                        </pic:blipFill>
                        <pic:spPr>
                          <a:xfrm>
                            <a:off x="2765663" y="2141999"/>
                            <a:ext cx="100648" cy="84579"/>
                          </a:xfrm>
                          <a:prstGeom prst="rect">
                            <a:avLst/>
                          </a:prstGeom>
                        </pic:spPr>
                      </pic:pic>
                      <wps:wsp>
                        <wps:cNvPr id="167" name="Graphic 167"/>
                        <wps:cNvSpPr/>
                        <wps:spPr>
                          <a:xfrm>
                            <a:off x="2739038" y="1970666"/>
                            <a:ext cx="137160" cy="344805"/>
                          </a:xfrm>
                          <a:custGeom>
                            <a:avLst/>
                            <a:gdLst/>
                            <a:ahLst/>
                            <a:cxnLst/>
                            <a:rect l="l" t="t" r="r" b="b"/>
                            <a:pathLst>
                              <a:path w="137160" h="344805">
                                <a:moveTo>
                                  <a:pt x="136735" y="0"/>
                                </a:moveTo>
                                <a:lnTo>
                                  <a:pt x="0" y="0"/>
                                </a:lnTo>
                                <a:lnTo>
                                  <a:pt x="0" y="248210"/>
                                </a:lnTo>
                                <a:lnTo>
                                  <a:pt x="68464" y="344386"/>
                                </a:lnTo>
                                <a:lnTo>
                                  <a:pt x="136735" y="261896"/>
                                </a:lnTo>
                                <a:lnTo>
                                  <a:pt x="136735" y="0"/>
                                </a:lnTo>
                                <a:close/>
                              </a:path>
                            </a:pathLst>
                          </a:custGeom>
                          <a:solidFill>
                            <a:srgbClr val="FFFFFF"/>
                          </a:solidFill>
                        </wps:spPr>
                        <wps:bodyPr wrap="square" lIns="0" tIns="0" rIns="0" bIns="0" rtlCol="0">
                          <a:prstTxWarp prst="textNoShape">
                            <a:avLst/>
                          </a:prstTxWarp>
                          <a:noAutofit/>
                        </wps:bodyPr>
                      </wps:wsp>
                      <wps:wsp>
                        <wps:cNvPr id="168" name="Graphic 168"/>
                        <wps:cNvSpPr/>
                        <wps:spPr>
                          <a:xfrm>
                            <a:off x="2739038" y="1970666"/>
                            <a:ext cx="137160" cy="344805"/>
                          </a:xfrm>
                          <a:custGeom>
                            <a:avLst/>
                            <a:gdLst/>
                            <a:ahLst/>
                            <a:cxnLst/>
                            <a:rect l="l" t="t" r="r" b="b"/>
                            <a:pathLst>
                              <a:path w="137160" h="344805">
                                <a:moveTo>
                                  <a:pt x="0" y="0"/>
                                </a:moveTo>
                                <a:lnTo>
                                  <a:pt x="0" y="248210"/>
                                </a:lnTo>
                                <a:lnTo>
                                  <a:pt x="68464" y="344386"/>
                                </a:lnTo>
                                <a:lnTo>
                                  <a:pt x="136735" y="261896"/>
                                </a:lnTo>
                                <a:lnTo>
                                  <a:pt x="136735" y="0"/>
                                </a:lnTo>
                                <a:lnTo>
                                  <a:pt x="0" y="0"/>
                                </a:lnTo>
                                <a:close/>
                              </a:path>
                            </a:pathLst>
                          </a:custGeom>
                          <a:ln w="16620">
                            <a:solidFill>
                              <a:srgbClr val="23201D"/>
                            </a:solidFill>
                            <a:prstDash val="solid"/>
                          </a:ln>
                        </wps:spPr>
                        <wps:bodyPr wrap="square" lIns="0" tIns="0" rIns="0" bIns="0" rtlCol="0">
                          <a:prstTxWarp prst="textNoShape">
                            <a:avLst/>
                          </a:prstTxWarp>
                          <a:noAutofit/>
                        </wps:bodyPr>
                      </wps:wsp>
                      <pic:pic>
                        <pic:nvPicPr>
                          <pic:cNvPr id="169" name="Image 169"/>
                          <pic:cNvPicPr/>
                        </pic:nvPicPr>
                        <pic:blipFill>
                          <a:blip r:embed="rId44" cstate="print"/>
                          <a:stretch>
                            <a:fillRect/>
                          </a:stretch>
                        </pic:blipFill>
                        <pic:spPr>
                          <a:xfrm>
                            <a:off x="2748505" y="2156063"/>
                            <a:ext cx="100828" cy="84196"/>
                          </a:xfrm>
                          <a:prstGeom prst="rect">
                            <a:avLst/>
                          </a:prstGeom>
                        </pic:spPr>
                      </pic:pic>
                      <wps:wsp>
                        <wps:cNvPr id="170" name="Textbox 170"/>
                        <wps:cNvSpPr txBox="1"/>
                        <wps:spPr>
                          <a:xfrm>
                            <a:off x="3255509" y="429354"/>
                            <a:ext cx="1668145" cy="260985"/>
                          </a:xfrm>
                          <a:prstGeom prst="rect">
                            <a:avLst/>
                          </a:prstGeom>
                        </wps:spPr>
                        <wps:txbx>
                          <w:txbxContent>
                            <w:p>
                              <w:pPr>
                                <w:spacing w:line="189" w:lineRule="auto" w:before="42"/>
                                <w:ind w:left="0" w:right="18" w:firstLine="0"/>
                                <w:jc w:val="left"/>
                                <w:rPr>
                                  <w:rFonts w:ascii="Microsoft Sans Serif"/>
                                  <w:sz w:val="20"/>
                                </w:rPr>
                              </w:pPr>
                              <w:r>
                                <w:rPr>
                                  <w:rFonts w:ascii="Microsoft Sans Serif"/>
                                  <w:color w:val="23201D"/>
                                  <w:spacing w:val="-8"/>
                                  <w:w w:val="130"/>
                                  <w:sz w:val="20"/>
                                </w:rPr>
                                <w:t>HIV</w:t>
                              </w:r>
                              <w:r>
                                <w:rPr>
                                  <w:rFonts w:ascii="Microsoft Sans Serif"/>
                                  <w:color w:val="23201D"/>
                                  <w:spacing w:val="-48"/>
                                  <w:w w:val="130"/>
                                  <w:sz w:val="20"/>
                                </w:rPr>
                                <w:t> </w:t>
                              </w:r>
                              <w:r>
                                <w:rPr>
                                  <w:rFonts w:ascii="Microsoft Sans Serif"/>
                                  <w:color w:val="23201D"/>
                                  <w:spacing w:val="-8"/>
                                  <w:w w:val="130"/>
                                  <w:sz w:val="20"/>
                                </w:rPr>
                                <w:t>antigen-antibody </w:t>
                              </w:r>
                              <w:r>
                                <w:rPr>
                                  <w:rFonts w:ascii="Microsoft Sans Serif"/>
                                  <w:color w:val="23201D"/>
                                  <w:spacing w:val="-16"/>
                                  <w:w w:val="130"/>
                                  <w:sz w:val="20"/>
                                </w:rPr>
                                <w:t>complex</w:t>
                              </w:r>
                              <w:r>
                                <w:rPr>
                                  <w:rFonts w:ascii="Microsoft Sans Serif"/>
                                  <w:color w:val="23201D"/>
                                  <w:spacing w:val="-37"/>
                                  <w:w w:val="130"/>
                                  <w:sz w:val="20"/>
                                </w:rPr>
                                <w:t> </w:t>
                              </w:r>
                              <w:r>
                                <w:rPr>
                                  <w:rFonts w:ascii="Microsoft Sans Serif"/>
                                  <w:color w:val="23201D"/>
                                  <w:spacing w:val="-16"/>
                                  <w:w w:val="130"/>
                                  <w:sz w:val="20"/>
                                </w:rPr>
                                <w:t>formation;</w:t>
                              </w:r>
                              <w:r>
                                <w:rPr>
                                  <w:rFonts w:ascii="Microsoft Sans Serif"/>
                                  <w:color w:val="23201D"/>
                                  <w:spacing w:val="-12"/>
                                  <w:w w:val="130"/>
                                  <w:sz w:val="20"/>
                                </w:rPr>
                                <w:t> </w:t>
                              </w:r>
                              <w:r>
                                <w:rPr>
                                  <w:rFonts w:ascii="Microsoft Sans Serif"/>
                                  <w:color w:val="23201D"/>
                                  <w:spacing w:val="-16"/>
                                  <w:w w:val="130"/>
                                  <w:sz w:val="20"/>
                                </w:rPr>
                                <w:t>30</w:t>
                              </w:r>
                              <w:r>
                                <w:rPr>
                                  <w:rFonts w:ascii="Microsoft Sans Serif"/>
                                  <w:color w:val="23201D"/>
                                  <w:spacing w:val="-52"/>
                                  <w:w w:val="130"/>
                                  <w:sz w:val="20"/>
                                </w:rPr>
                                <w:t> </w:t>
                              </w:r>
                              <w:r>
                                <w:rPr>
                                  <w:rFonts w:ascii="Microsoft Sans Serif"/>
                                  <w:color w:val="23201D"/>
                                  <w:spacing w:val="-16"/>
                                  <w:w w:val="130"/>
                                  <w:sz w:val="20"/>
                                </w:rPr>
                                <w:t>min</w:t>
                              </w:r>
                            </w:p>
                          </w:txbxContent>
                        </wps:txbx>
                        <wps:bodyPr wrap="square" lIns="0" tIns="0" rIns="0" bIns="0" rtlCol="0">
                          <a:noAutofit/>
                        </wps:bodyPr>
                      </wps:wsp>
                      <wps:wsp>
                        <wps:cNvPr id="171" name="Textbox 171"/>
                        <wps:cNvSpPr txBox="1"/>
                        <wps:spPr>
                          <a:xfrm>
                            <a:off x="1156471" y="788044"/>
                            <a:ext cx="1064895" cy="1006475"/>
                          </a:xfrm>
                          <a:prstGeom prst="rect">
                            <a:avLst/>
                          </a:prstGeom>
                        </wps:spPr>
                        <wps:txbx>
                          <w:txbxContent>
                            <w:p>
                              <w:pPr>
                                <w:spacing w:line="252" w:lineRule="auto" w:before="3"/>
                                <w:ind w:left="0" w:right="732" w:firstLine="0"/>
                                <w:jc w:val="left"/>
                                <w:rPr>
                                  <w:rFonts w:ascii="Microsoft Sans Serif"/>
                                  <w:sz w:val="20"/>
                                </w:rPr>
                              </w:pPr>
                              <w:r>
                                <w:rPr>
                                  <w:rFonts w:ascii="Microsoft Sans Serif"/>
                                  <w:color w:val="23201D"/>
                                  <w:spacing w:val="-2"/>
                                  <w:w w:val="130"/>
                                  <w:sz w:val="20"/>
                                </w:rPr>
                                <w:t>anti-HIV </w:t>
                              </w:r>
                              <w:r>
                                <w:rPr>
                                  <w:rFonts w:ascii="Microsoft Sans Serif"/>
                                  <w:color w:val="23201D"/>
                                  <w:spacing w:val="-8"/>
                                  <w:w w:val="130"/>
                                  <w:sz w:val="20"/>
                                </w:rPr>
                                <w:t>antibody</w:t>
                              </w:r>
                            </w:p>
                            <w:p>
                              <w:pPr>
                                <w:spacing w:line="240" w:lineRule="auto" w:before="134"/>
                                <w:rPr>
                                  <w:rFonts w:ascii="Microsoft Sans Serif"/>
                                  <w:sz w:val="20"/>
                                </w:rPr>
                              </w:pPr>
                            </w:p>
                            <w:p>
                              <w:pPr>
                                <w:spacing w:before="0"/>
                                <w:ind w:left="491" w:right="0" w:firstLine="0"/>
                                <w:jc w:val="left"/>
                                <w:rPr>
                                  <w:rFonts w:ascii="Arial"/>
                                  <w:b/>
                                  <w:sz w:val="15"/>
                                </w:rPr>
                              </w:pPr>
                              <w:r>
                                <w:rPr>
                                  <w:rFonts w:ascii="Arial"/>
                                  <w:b/>
                                  <w:color w:val="23201D"/>
                                  <w:spacing w:val="-5"/>
                                  <w:w w:val="125"/>
                                  <w:sz w:val="15"/>
                                </w:rPr>
                                <w:t>AP</w:t>
                              </w:r>
                            </w:p>
                            <w:p>
                              <w:pPr>
                                <w:spacing w:line="252" w:lineRule="auto" w:before="97"/>
                                <w:ind w:left="109" w:right="15" w:firstLine="0"/>
                                <w:jc w:val="left"/>
                                <w:rPr>
                                  <w:rFonts w:ascii="Microsoft Sans Serif"/>
                                  <w:sz w:val="20"/>
                                </w:rPr>
                              </w:pPr>
                              <w:r>
                                <w:rPr>
                                  <w:rFonts w:ascii="Microsoft Sans Serif"/>
                                  <w:color w:val="23201D"/>
                                  <w:spacing w:val="-2"/>
                                  <w:w w:val="130"/>
                                  <w:sz w:val="20"/>
                                </w:rPr>
                                <w:t>anti-human </w:t>
                              </w:r>
                              <w:r>
                                <w:rPr>
                                  <w:rFonts w:ascii="Microsoft Sans Serif"/>
                                  <w:color w:val="23201D"/>
                                  <w:spacing w:val="-6"/>
                                  <w:w w:val="130"/>
                                  <w:sz w:val="20"/>
                                </w:rPr>
                                <w:t>IgG</w:t>
                              </w:r>
                              <w:r>
                                <w:rPr>
                                  <w:rFonts w:ascii="Microsoft Sans Serif"/>
                                  <w:color w:val="23201D"/>
                                  <w:spacing w:val="-13"/>
                                  <w:w w:val="130"/>
                                  <w:sz w:val="20"/>
                                </w:rPr>
                                <w:t> </w:t>
                              </w:r>
                              <w:r>
                                <w:rPr>
                                  <w:rFonts w:ascii="Microsoft Sans Serif"/>
                                  <w:color w:val="23201D"/>
                                  <w:spacing w:val="-6"/>
                                  <w:w w:val="130"/>
                                  <w:sz w:val="20"/>
                                </w:rPr>
                                <w:t>conjugate</w:t>
                              </w:r>
                            </w:p>
                          </w:txbxContent>
                        </wps:txbx>
                        <wps:bodyPr wrap="square" lIns="0" tIns="0" rIns="0" bIns="0" rtlCol="0">
                          <a:noAutofit/>
                        </wps:bodyPr>
                      </wps:wsp>
                      <wps:wsp>
                        <wps:cNvPr id="172" name="Textbox 172"/>
                        <wps:cNvSpPr txBox="1"/>
                        <wps:spPr>
                          <a:xfrm>
                            <a:off x="2726695" y="1290091"/>
                            <a:ext cx="147955" cy="105410"/>
                          </a:xfrm>
                          <a:prstGeom prst="rect">
                            <a:avLst/>
                          </a:prstGeom>
                        </wps:spPr>
                        <wps:txbx>
                          <w:txbxContent>
                            <w:p>
                              <w:pPr>
                                <w:spacing w:line="166" w:lineRule="exact" w:before="0"/>
                                <w:ind w:left="0" w:right="0" w:firstLine="0"/>
                                <w:jc w:val="left"/>
                                <w:rPr>
                                  <w:rFonts w:ascii="Arial"/>
                                  <w:b/>
                                  <w:sz w:val="15"/>
                                </w:rPr>
                              </w:pPr>
                              <w:r>
                                <w:rPr>
                                  <w:rFonts w:ascii="Arial"/>
                                  <w:b/>
                                  <w:color w:val="23201D"/>
                                  <w:spacing w:val="-20"/>
                                  <w:w w:val="125"/>
                                  <w:sz w:val="15"/>
                                </w:rPr>
                                <w:t>AP</w:t>
                              </w:r>
                            </w:p>
                          </w:txbxContent>
                        </wps:txbx>
                        <wps:bodyPr wrap="square" lIns="0" tIns="0" rIns="0" bIns="0" rtlCol="0">
                          <a:noAutofit/>
                        </wps:bodyPr>
                      </wps:wsp>
                      <wps:wsp>
                        <wps:cNvPr id="173" name="Textbox 173"/>
                        <wps:cNvSpPr txBox="1"/>
                        <wps:spPr>
                          <a:xfrm>
                            <a:off x="3278652" y="1111634"/>
                            <a:ext cx="1700530" cy="261620"/>
                          </a:xfrm>
                          <a:prstGeom prst="rect">
                            <a:avLst/>
                          </a:prstGeom>
                        </wps:spPr>
                        <wps:txbx>
                          <w:txbxContent>
                            <w:p>
                              <w:pPr>
                                <w:spacing w:line="180" w:lineRule="auto" w:before="43"/>
                                <w:ind w:left="0" w:right="18" w:firstLine="0"/>
                                <w:jc w:val="left"/>
                                <w:rPr>
                                  <w:rFonts w:ascii="Microsoft Sans Serif"/>
                                  <w:sz w:val="21"/>
                                </w:rPr>
                              </w:pPr>
                              <w:r>
                                <w:rPr>
                                  <w:rFonts w:ascii="Microsoft Sans Serif"/>
                                  <w:color w:val="23201D"/>
                                  <w:spacing w:val="-10"/>
                                  <w:w w:val="120"/>
                                  <w:sz w:val="21"/>
                                </w:rPr>
                                <w:t>Binding</w:t>
                              </w:r>
                              <w:r>
                                <w:rPr>
                                  <w:rFonts w:ascii="Microsoft Sans Serif"/>
                                  <w:color w:val="23201D"/>
                                  <w:spacing w:val="-45"/>
                                  <w:w w:val="120"/>
                                  <w:sz w:val="21"/>
                                </w:rPr>
                                <w:t> </w:t>
                              </w:r>
                              <w:r>
                                <w:rPr>
                                  <w:rFonts w:ascii="Microsoft Sans Serif"/>
                                  <w:color w:val="23201D"/>
                                  <w:spacing w:val="-10"/>
                                  <w:w w:val="120"/>
                                  <w:sz w:val="21"/>
                                </w:rPr>
                                <w:t>of</w:t>
                              </w:r>
                              <w:r>
                                <w:rPr>
                                  <w:rFonts w:ascii="Microsoft Sans Serif"/>
                                  <w:color w:val="23201D"/>
                                  <w:spacing w:val="-6"/>
                                  <w:w w:val="120"/>
                                  <w:sz w:val="21"/>
                                </w:rPr>
                                <w:t> </w:t>
                              </w:r>
                              <w:r>
                                <w:rPr>
                                  <w:rFonts w:ascii="Microsoft Sans Serif"/>
                                  <w:color w:val="23201D"/>
                                  <w:spacing w:val="-10"/>
                                  <w:w w:val="120"/>
                                  <w:sz w:val="21"/>
                                </w:rPr>
                                <w:t>anti-human</w:t>
                              </w:r>
                              <w:r>
                                <w:rPr>
                                  <w:rFonts w:ascii="Microsoft Sans Serif"/>
                                  <w:color w:val="23201D"/>
                                  <w:spacing w:val="-11"/>
                                  <w:w w:val="120"/>
                                  <w:sz w:val="21"/>
                                </w:rPr>
                                <w:t> </w:t>
                              </w:r>
                              <w:r>
                                <w:rPr>
                                  <w:rFonts w:ascii="Microsoft Sans Serif"/>
                                  <w:color w:val="23201D"/>
                                  <w:spacing w:val="-10"/>
                                  <w:w w:val="120"/>
                                  <w:sz w:val="21"/>
                                </w:rPr>
                                <w:t>IgG </w:t>
                              </w:r>
                              <w:r>
                                <w:rPr>
                                  <w:rFonts w:ascii="Microsoft Sans Serif"/>
                                  <w:color w:val="23201D"/>
                                  <w:spacing w:val="-4"/>
                                  <w:w w:val="125"/>
                                  <w:sz w:val="21"/>
                                </w:rPr>
                                <w:t>conjugate;</w:t>
                              </w:r>
                              <w:r>
                                <w:rPr>
                                  <w:rFonts w:ascii="Microsoft Sans Serif"/>
                                  <w:color w:val="23201D"/>
                                  <w:spacing w:val="-14"/>
                                  <w:w w:val="125"/>
                                  <w:sz w:val="21"/>
                                </w:rPr>
                                <w:t> </w:t>
                              </w:r>
                              <w:r>
                                <w:rPr>
                                  <w:rFonts w:ascii="Microsoft Sans Serif"/>
                                  <w:color w:val="23201D"/>
                                  <w:spacing w:val="-4"/>
                                  <w:w w:val="125"/>
                                  <w:sz w:val="21"/>
                                </w:rPr>
                                <w:t>20</w:t>
                              </w:r>
                              <w:r>
                                <w:rPr>
                                  <w:rFonts w:ascii="Microsoft Sans Serif"/>
                                  <w:color w:val="23201D"/>
                                  <w:spacing w:val="-13"/>
                                  <w:w w:val="125"/>
                                  <w:sz w:val="21"/>
                                </w:rPr>
                                <w:t> </w:t>
                              </w:r>
                              <w:r>
                                <w:rPr>
                                  <w:rFonts w:ascii="Microsoft Sans Serif"/>
                                  <w:color w:val="23201D"/>
                                  <w:spacing w:val="-4"/>
                                  <w:w w:val="125"/>
                                  <w:sz w:val="21"/>
                                </w:rPr>
                                <w:t>min</w:t>
                              </w:r>
                            </w:p>
                          </w:txbxContent>
                        </wps:txbx>
                        <wps:bodyPr wrap="square" lIns="0" tIns="0" rIns="0" bIns="0" rtlCol="0">
                          <a:noAutofit/>
                        </wps:bodyPr>
                      </wps:wsp>
                      <wps:wsp>
                        <wps:cNvPr id="174" name="Textbox 174"/>
                        <wps:cNvSpPr txBox="1"/>
                        <wps:spPr>
                          <a:xfrm>
                            <a:off x="3295238" y="1828505"/>
                            <a:ext cx="1215390" cy="261620"/>
                          </a:xfrm>
                          <a:prstGeom prst="rect">
                            <a:avLst/>
                          </a:prstGeom>
                        </wps:spPr>
                        <wps:txbx>
                          <w:txbxContent>
                            <w:p>
                              <w:pPr>
                                <w:spacing w:line="180" w:lineRule="auto" w:before="43"/>
                                <w:ind w:left="0" w:right="18" w:firstLine="0"/>
                                <w:jc w:val="left"/>
                                <w:rPr>
                                  <w:rFonts w:ascii="Microsoft Sans Serif"/>
                                  <w:sz w:val="21"/>
                                </w:rPr>
                              </w:pPr>
                              <w:r>
                                <w:rPr>
                                  <w:rFonts w:ascii="Microsoft Sans Serif"/>
                                  <w:color w:val="23201D"/>
                                  <w:spacing w:val="-6"/>
                                  <w:w w:val="125"/>
                                  <w:sz w:val="21"/>
                                </w:rPr>
                                <w:t>enzymatic</w:t>
                              </w:r>
                              <w:r>
                                <w:rPr>
                                  <w:rFonts w:ascii="Microsoft Sans Serif"/>
                                  <w:color w:val="23201D"/>
                                  <w:spacing w:val="-16"/>
                                  <w:w w:val="125"/>
                                  <w:sz w:val="21"/>
                                </w:rPr>
                                <w:t> </w:t>
                              </w:r>
                              <w:r>
                                <w:rPr>
                                  <w:rFonts w:ascii="Microsoft Sans Serif"/>
                                  <w:color w:val="23201D"/>
                                  <w:spacing w:val="-6"/>
                                  <w:w w:val="125"/>
                                  <w:sz w:val="21"/>
                                </w:rPr>
                                <w:t>colour </w:t>
                              </w:r>
                              <w:r>
                                <w:rPr>
                                  <w:rFonts w:ascii="Microsoft Sans Serif"/>
                                  <w:color w:val="23201D"/>
                                  <w:spacing w:val="-2"/>
                                  <w:w w:val="125"/>
                                  <w:sz w:val="21"/>
                                </w:rPr>
                                <w:t>reaction:10min</w:t>
                              </w:r>
                            </w:p>
                          </w:txbxContent>
                        </wps:txbx>
                        <wps:bodyPr wrap="square" lIns="0" tIns="0" rIns="0" bIns="0" rtlCol="0">
                          <a:noAutofit/>
                        </wps:bodyPr>
                      </wps:wsp>
                      <wps:wsp>
                        <wps:cNvPr id="175" name="Textbox 175"/>
                        <wps:cNvSpPr txBox="1"/>
                        <wps:spPr>
                          <a:xfrm>
                            <a:off x="1174040" y="2092881"/>
                            <a:ext cx="147320" cy="105410"/>
                          </a:xfrm>
                          <a:prstGeom prst="rect">
                            <a:avLst/>
                          </a:prstGeom>
                        </wps:spPr>
                        <wps:txbx>
                          <w:txbxContent>
                            <w:p>
                              <w:pPr>
                                <w:spacing w:line="166" w:lineRule="exact" w:before="0"/>
                                <w:ind w:left="0" w:right="0" w:firstLine="0"/>
                                <w:jc w:val="left"/>
                                <w:rPr>
                                  <w:rFonts w:ascii="Arial"/>
                                  <w:b/>
                                  <w:sz w:val="15"/>
                                </w:rPr>
                              </w:pPr>
                              <w:r>
                                <w:rPr>
                                  <w:rFonts w:ascii="Arial"/>
                                  <w:b/>
                                  <w:color w:val="23201D"/>
                                  <w:spacing w:val="-21"/>
                                  <w:w w:val="125"/>
                                  <w:sz w:val="15"/>
                                </w:rPr>
                                <w:t>AP</w:t>
                              </w:r>
                            </w:p>
                          </w:txbxContent>
                        </wps:txbx>
                        <wps:bodyPr wrap="square" lIns="0" tIns="0" rIns="0" bIns="0" rtlCol="0">
                          <a:noAutofit/>
                        </wps:bodyPr>
                      </wps:wsp>
                      <wps:wsp>
                        <wps:cNvPr id="176" name="Textbox 176"/>
                        <wps:cNvSpPr txBox="1"/>
                        <wps:spPr>
                          <a:xfrm>
                            <a:off x="1632462" y="2303638"/>
                            <a:ext cx="912494" cy="261620"/>
                          </a:xfrm>
                          <a:prstGeom prst="rect">
                            <a:avLst/>
                          </a:prstGeom>
                        </wps:spPr>
                        <wps:txbx>
                          <w:txbxContent>
                            <w:p>
                              <w:pPr>
                                <w:spacing w:line="180" w:lineRule="auto" w:before="43"/>
                                <w:ind w:left="0" w:right="18" w:firstLine="0"/>
                                <w:jc w:val="left"/>
                                <w:rPr>
                                  <w:rFonts w:ascii="Microsoft Sans Serif"/>
                                  <w:sz w:val="21"/>
                                </w:rPr>
                              </w:pPr>
                              <w:r>
                                <w:rPr>
                                  <w:rFonts w:ascii="Microsoft Sans Serif"/>
                                  <w:color w:val="23201D"/>
                                  <w:spacing w:val="-4"/>
                                  <w:w w:val="120"/>
                                  <w:sz w:val="21"/>
                                </w:rPr>
                                <w:t>chromogenic </w:t>
                              </w:r>
                              <w:r>
                                <w:rPr>
                                  <w:rFonts w:ascii="Microsoft Sans Serif"/>
                                  <w:color w:val="23201D"/>
                                  <w:spacing w:val="-2"/>
                                  <w:w w:val="125"/>
                                  <w:sz w:val="21"/>
                                </w:rPr>
                                <w:t>substrate</w:t>
                              </w:r>
                            </w:p>
                          </w:txbxContent>
                        </wps:txbx>
                        <wps:bodyPr wrap="square" lIns="0" tIns="0" rIns="0" bIns="0" rtlCol="0">
                          <a:noAutofit/>
                        </wps:bodyPr>
                      </wps:wsp>
                    </wpg:wgp>
                  </a:graphicData>
                </a:graphic>
              </wp:anchor>
            </w:drawing>
          </mc:Choice>
          <mc:Fallback>
            <w:pict>
              <v:group style="position:absolute;margin-left:73.345184pt;margin-top:15.249514pt;width:419.2pt;height:220.3pt;mso-position-horizontal-relative:page;mso-position-vertical-relative:paragraph;z-index:-15706624;mso-wrap-distance-left:0;mso-wrap-distance-right:0" id="docshapegroup61" coordorigin="1467,305" coordsize="8384,4406">
                <v:shape style="position:absolute;left:3380;top:1239;width:351;height:239" type="#_x0000_t75" id="docshape62" stroked="false">
                  <v:imagedata r:id="rId29" o:title=""/>
                </v:shape>
                <v:shape style="position:absolute;left:3030;top:1304;width:190;height:173" id="docshape63" coordorigin="3030,1304" coordsize="190,173" path="m3219,1347l3166,1347,3166,1304,3084,1304,3084,1347,3030,1347,3030,1413,3084,1413,3084,1477,3166,1477,3166,1413,3219,1413,3219,1347xe" filled="true" fillcolor="#828180" stroked="false">
                  <v:path arrowok="t"/>
                  <v:fill type="solid"/>
                </v:shape>
                <v:rect style="position:absolute;left:3758;top:2367;width:243;height:196" id="docshape64" filled="true" fillcolor="#a9a8a7" stroked="false">
                  <v:fill type="solid"/>
                </v:rect>
                <v:rect style="position:absolute;left:3758;top:2367;width:243;height:196" id="docshape65" filled="false" stroked="true" strokeweight="1.182493pt" strokecolor="#23201d">
                  <v:stroke dashstyle="solid"/>
                </v:rect>
                <v:shape style="position:absolute;left:4270;top:2389;width:512;height:130" id="docshape66" coordorigin="4271,2389" coordsize="512,130" path="m4783,2454l4620,2389,4620,2432,4271,2432,4271,2454,4620,2454,4620,2519,4783,2454xe" filled="true" fillcolor="#23201d" stroked="false">
                  <v:path arrowok="t"/>
                  <v:fill type="solid"/>
                </v:shape>
                <v:shape style="position:absolute;left:4297;top:1282;width:459;height:131" type="#_x0000_t75" id="docshape67" stroked="false">
                  <v:imagedata r:id="rId30" o:title=""/>
                </v:shape>
                <v:rect style="position:absolute;left:5725;top:2323;width:270;height:196" id="docshape68" filled="true" fillcolor="#a9a8a7" stroked="false">
                  <v:fill type="solid"/>
                </v:rect>
                <v:rect style="position:absolute;left:5725;top:2323;width:270;height:196" id="docshape69" filled="false" stroked="true" strokeweight="1.169425pt" strokecolor="#23201d">
                  <v:stroke dashstyle="solid"/>
                </v:rect>
                <v:shape style="position:absolute;left:4970;top:3647;width:540;height:109" id="docshape70" coordorigin="4971,3647" coordsize="540,109" path="m5375,3690l4971,3690,4971,3712,5375,3712,5375,3690xm5511,3712l5376,3647,5376,3756,5511,3712xe" filled="true" fillcolor="#23201d" stroked="false">
                  <v:path arrowok="t"/>
                  <v:fill type="solid"/>
                </v:shape>
                <v:shape style="position:absolute;left:4162;top:3430;width:163;height:152" type="#_x0000_t75" id="docshape71" stroked="false">
                  <v:imagedata r:id="rId31" o:title=""/>
                </v:shape>
                <v:shape style="position:absolute;left:1466;top:305;width:8384;height:4406" id="docshape72" coordorigin="1467,305" coordsize="8384,4406" path="m9850,306l9823,306,9823,305,9797,305,9797,350,9797,4667,9797,4667,1521,4667,1521,4667,1521,350,9797,350,9797,305,1494,305,1467,305,1467,349,1467,4667,1467,4710,1494,4710,9823,4710,9823,4710,9850,4710,9850,4667,9823,4667,9823,4667,9850,4667,9850,350,9850,306xe" filled="true" fillcolor="#23201d" stroked="false">
                  <v:path arrowok="t"/>
                  <v:fill type="solid"/>
                </v:shape>
                <v:shape style="position:absolute;left:3368;top:1205;width:375;height:262" type="#_x0000_t75" id="docshape73" stroked="false">
                  <v:imagedata r:id="rId32" o:title=""/>
                </v:shape>
                <v:shape style="position:absolute;left:3084;top:2367;width:837;height:1432" id="docshape74" coordorigin="3084,2367" coordsize="837,1432" path="m3273,2432l3219,2432,3219,2367,3139,2367,3139,2432,3084,2432,3084,2497,3139,2497,3139,2540,3219,2540,3219,2497,3273,2497,3273,2432xm3920,3690l3866,3690,3866,3626,3785,3626,3785,3690,3731,3690,3731,3734,3785,3734,3785,3799,3866,3799,3866,3734,3920,3734,3920,3690xe" filled="true" fillcolor="#828180" stroked="false">
                  <v:path arrowok="t"/>
                  <v:fill type="solid"/>
                </v:shape>
                <v:shape style="position:absolute;left:4378;top:3430;width:189;height:130" id="docshape75" coordorigin="4378,3431" coordsize="189,130" path="m4486,3431l4447,3435,4412,3447,4388,3467,4378,3495,4388,3524,4412,3544,4447,3556,4486,3560,4521,3556,4547,3544,4562,3524,4567,3495,4562,3467,4547,3447,4521,3435,4486,3431xe" filled="true" fillcolor="#23201d" stroked="false">
                  <v:path arrowok="t"/>
                  <v:fill type="solid"/>
                </v:shape>
                <v:shape style="position:absolute;left:4405;top:3430;width:135;height:130" id="docshape76" coordorigin="4405,3431" coordsize="135,130" path="m4459,3431l4439,3435,4422,3447,4410,3467,4405,3495,4410,3515,4422,3536,4439,3553,4459,3560,4494,3553,4520,3536,4535,3515,4540,3495,4535,3467,4520,3447,4494,3435,4459,3431xe" filled="true" fillcolor="#ffffff" stroked="false">
                  <v:path arrowok="t"/>
                  <v:fill type="solid"/>
                </v:shape>
                <v:shape style="position:absolute;left:4620;top:3430;width:190;height:130" id="docshape77" coordorigin="4620,3431" coordsize="190,130" path="m4702,3431l4667,3435,4641,3447,4626,3467,4620,3495,4626,3524,4641,3544,4667,3556,4702,3560,4742,3556,4776,3544,4800,3524,4810,3495,4800,3467,4776,3447,4742,3435,4702,3431xe" filled="true" fillcolor="#23201d" stroked="false">
                  <v:path arrowok="t"/>
                  <v:fill type="solid"/>
                </v:shape>
                <v:shape style="position:absolute;left:4620;top:3430;width:163;height:130" id="docshape78" coordorigin="4620,3431" coordsize="163,130" path="m4702,3431l4678,3435,4651,3447,4629,3467,4620,3495,4629,3515,4651,3536,4678,3553,4702,3560,4737,3553,4763,3536,4778,3515,4783,3495,4778,3467,4763,3447,4737,3435,4702,3431xe" filled="true" fillcolor="#ffffff" stroked="false">
                  <v:path arrowok="t"/>
                  <v:fill type="solid"/>
                </v:shape>
                <v:shape style="position:absolute;left:4863;top:3408;width:163;height:153" id="docshape79" coordorigin="4863,3408" coordsize="163,153" path="m4944,3408l4909,3416,4884,3433,4869,3454,4863,3474,4869,3506,4884,3533,4909,3553,4944,3560,4980,3553,5005,3533,5020,3506,5026,3474,5020,3454,5005,3433,4980,3416,4944,3408xe" filled="true" fillcolor="#23201d" stroked="false">
                  <v:path arrowok="t"/>
                  <v:fill type="solid"/>
                </v:shape>
                <v:shape style="position:absolute;left:4863;top:3408;width:135;height:131" id="docshape80" coordorigin="4863,3408" coordsize="135,131" path="m4944,3408l4909,3416,4884,3433,4869,3454,4863,3474,4869,3502,4884,3523,4909,3535,4944,3539,4964,3535,4981,3523,4993,3502,4998,3474,4993,3454,4981,3433,4964,3416,4944,3408xe" filled="true" fillcolor="#ffffff" stroked="false">
                  <v:path arrowok="t"/>
                  <v:fill type="solid"/>
                </v:shape>
                <v:shape style="position:absolute;left:4081;top:3604;width:190;height:152" id="docshape81" coordorigin="4082,3604" coordsize="190,152" path="m4189,3604l4150,3611,4115,3628,4091,3650,4082,3669,4091,3701,4115,3729,4150,3748,4189,3756,4225,3748,4250,3729,4266,3701,4271,3669,4266,3650,4250,3628,4225,3611,4189,3604xe" filled="true" fillcolor="#23201d" stroked="false">
                  <v:path arrowok="t"/>
                  <v:fill type="solid"/>
                </v:shape>
                <v:shape style="position:absolute;left:4108;top:3604;width:135;height:130" id="docshape82" coordorigin="4109,3604" coordsize="135,130" path="m4189,3604l4154,3608,4129,3620,4114,3641,4109,3669,4114,3697,4129,3718,4154,3730,4189,3734,4209,3730,4226,3718,4239,3697,4243,3669,4239,3641,4226,3620,4209,3608,4189,3604xe" filled="true" fillcolor="#ffffff" stroked="false">
                  <v:path arrowok="t"/>
                  <v:fill type="solid"/>
                </v:shape>
                <v:shape style="position:absolute;left:4324;top:3582;width:216;height:153" id="docshape83" coordorigin="4325,3582" coordsize="216,153" path="m4432,3582l4393,3586,4358,3598,4334,3619,4325,3647,4334,3679,4358,3707,4393,3727,4432,3734,4472,3727,4506,3707,4531,3679,4540,3647,4531,3619,4506,3598,4472,3586,4432,3582xe" filled="true" fillcolor="#23201d" stroked="false">
                  <v:path arrowok="t"/>
                  <v:fill type="solid"/>
                </v:shape>
                <v:shape style="position:absolute;left:4351;top:3582;width:162;height:131" id="docshape84" coordorigin="4352,3582" coordsize="162,131" path="m4432,3582l4397,3586,4372,3598,4357,3619,4352,3647,4357,3676,4372,3696,4397,3708,4432,3712,4456,3708,4483,3696,4504,3676,4513,3647,4504,3619,4483,3598,4456,3586,4432,3582xe" filled="true" fillcolor="#ffffff" stroked="false">
                  <v:path arrowok="t"/>
                  <v:fill type="solid"/>
                </v:shape>
                <v:shape style="position:absolute;left:4702;top:3582;width:189;height:131" id="docshape85" coordorigin="4702,3582" coordsize="189,131" path="m4810,3582l4770,3586,4736,3598,4711,3619,4702,3647,4711,3676,4736,3696,4770,3708,4810,3712,4834,3708,4860,3696,4882,3676,4890,3647,4882,3619,4860,3598,4834,3586,4810,3582xe" filled="true" fillcolor="#23201d" stroked="false">
                  <v:path arrowok="t"/>
                  <v:fill type="solid"/>
                </v:shape>
                <v:shape style="position:absolute;left:4728;top:3582;width:135;height:109" id="docshape86" coordorigin="4729,3582" coordsize="135,109" path="m4783,3582l4763,3586,4746,3598,4734,3619,4729,3647,4734,3663,4746,3677,4763,3687,4783,3690,4818,3687,4843,3677,4858,3663,4863,3647,4858,3619,4843,3598,4818,3586,4783,3582xe" filled="true" fillcolor="#ffffff" stroked="false">
                  <v:path arrowok="t"/>
                  <v:fill type="solid"/>
                </v:shape>
                <v:shape style="position:absolute;left:4108;top:3777;width:190;height:153" id="docshape87" coordorigin="4109,3777" coordsize="190,153" path="m4189,3777l4154,3785,4129,3804,4114,3832,4109,3864,4114,3893,4129,3913,4154,3925,4189,3929,4229,3925,4264,3913,4288,3893,4298,3864,4288,3832,4264,3804,4229,3785,4189,3777xe" filled="true" fillcolor="#23201d" stroked="false">
                  <v:path arrowok="t"/>
                  <v:fill type="solid"/>
                </v:shape>
                <v:shape style="position:absolute;left:4108;top:3777;width:163;height:153" id="docshape88" coordorigin="4109,3777" coordsize="163,153" path="m4189,3777l4165,3785,4139,3804,4118,3832,4109,3864,4118,3883,4139,3905,4165,3922,4189,3929,4225,3922,4250,3905,4266,3883,4271,3864,4266,3832,4250,3804,4225,3785,4189,3777xe" filled="true" fillcolor="#ffffff" stroked="false">
                  <v:path arrowok="t"/>
                  <v:fill type="solid"/>
                </v:shape>
                <v:shape style="position:absolute;left:4378;top:3777;width:189;height:131" type="#_x0000_t75" id="docshape89" stroked="false">
                  <v:imagedata r:id="rId33" o:title=""/>
                </v:shape>
                <v:shape style="position:absolute;left:4648;top:3712;width:189;height:152" id="docshape90" coordorigin="4648,3712" coordsize="189,152" path="m4756,3712l4716,3720,4682,3740,4657,3767,4648,3799,4657,3828,4682,3848,4716,3860,4756,3864,4791,3860,4816,3848,4832,3828,4837,3799,4832,3767,4816,3740,4791,3720,4756,3712xe" filled="true" fillcolor="#23201d" stroked="false">
                  <v:path arrowok="t"/>
                  <v:fill type="solid"/>
                </v:shape>
                <v:shape style="position:absolute;left:4675;top:3712;width:135;height:152" id="docshape91" coordorigin="4675,3712" coordsize="135,152" path="m4729,3712l4709,3720,4692,3737,4680,3758,4675,3777,4680,3809,4692,3837,4709,3857,4729,3864,4764,3857,4789,3837,4805,3809,4810,3777,4805,3758,4789,3737,4764,3720,4729,3712xe" filled="true" fillcolor="#ffffff" stroked="false">
                  <v:path arrowok="t"/>
                  <v:fill type="solid"/>
                </v:shape>
                <v:shape style="position:absolute;left:2356;top:2106;width:216;height:564" id="docshape92" coordorigin="2356,2107" coordsize="216,564" path="m2572,2107l2356,2107,2356,2497,2465,2671,2572,2519,2572,2107xe" filled="true" fillcolor="#23201d" stroked="false">
                  <v:path arrowok="t"/>
                  <v:fill type="solid"/>
                </v:shape>
                <v:shape style="position:absolute;left:2371;top:2398;width:159;height:133" type="#_x0000_t75" id="docshape93" stroked="false">
                  <v:imagedata r:id="rId34" o:title=""/>
                </v:shape>
                <v:shape style="position:absolute;left:2302;top:2106;width:216;height:564" id="docshape94" coordorigin="2302,2107" coordsize="216,564" path="m2518,2107l2302,2107,2302,2519,2438,2671,2518,2519,2518,2107xe" filled="true" fillcolor="#ffffff" stroked="false">
                  <v:path arrowok="t"/>
                  <v:fill type="solid"/>
                </v:shape>
                <v:shape style="position:absolute;left:2302;top:2106;width:216;height:564" id="docshape95" coordorigin="2302,2107" coordsize="216,564" path="m2302,2107l2302,2519,2438,2671,2518,2519,2518,2107,2302,2107xe" filled="false" stroked="true" strokeweight="1.31095pt" strokecolor="#23201d">
                  <v:path arrowok="t"/>
                  <v:stroke dashstyle="solid"/>
                </v:shape>
                <v:shape style="position:absolute;left:2344;top:2311;width:483;height:263" type="#_x0000_t75" id="docshape96" stroked="false">
                  <v:imagedata r:id="rId35" o:title=""/>
                </v:shape>
                <v:shape style="position:absolute;left:3369;top:2355;width:375;height:250" type="#_x0000_t75" id="docshape97" stroked="false">
                  <v:imagedata r:id="rId36" o:title=""/>
                </v:shape>
                <v:shape style="position:absolute;left:4863;top:2150;width:216;height:543" id="docshape98" coordorigin="4863,2150" coordsize="216,543" path="m5079,2150l4863,2150,4863,2541,4971,2692,5079,2541,5079,2150xe" filled="true" fillcolor="#23201d" stroked="false">
                  <v:path arrowok="t"/>
                  <v:fill type="solid"/>
                </v:shape>
                <v:shape style="position:absolute;left:4878;top:2420;width:160;height:133" type="#_x0000_t75" id="docshape99" stroked="false">
                  <v:imagedata r:id="rId37" o:title=""/>
                </v:shape>
                <v:shape style="position:absolute;left:4809;top:2150;width:216;height:543" id="docshape100" coordorigin="4810,2150" coordsize="216,543" path="m5026,2150l4810,2150,4810,2540,4944,2692,5026,2563,5026,2150xe" filled="true" fillcolor="#ffffff" stroked="false">
                  <v:path arrowok="t"/>
                  <v:fill type="solid"/>
                </v:shape>
                <v:shape style="position:absolute;left:4809;top:2150;width:216;height:543" id="docshape101" coordorigin="4810,2150" coordsize="216,543" path="m4810,2150l4810,2540,4944,2692,5026,2563,5026,2150,4810,2150xe" filled="false" stroked="true" strokeweight="1.308538pt" strokecolor="#23201d">
                  <v:path arrowok="t"/>
                  <v:stroke dashstyle="solid"/>
                </v:shape>
                <v:shape style="position:absolute;left:4863;top:2432;width:135;height:109" id="docshape102" coordorigin="4863,2432" coordsize="135,109" path="m4917,2432l4898,2439,4880,2457,4868,2478,4863,2497,4868,2513,4880,2527,4898,2537,4917,2540,4953,2537,4978,2527,4993,2513,4998,2497,4993,2478,4978,2457,4953,2439,4917,2432xe" filled="true" fillcolor="#ffffff" stroked="false">
                  <v:path arrowok="t"/>
                  <v:fill type="solid"/>
                </v:shape>
                <v:shape style="position:absolute;left:4863;top:2432;width:135;height:109" id="docshape103" coordorigin="4863,2432" coordsize="135,109" path="m4917,2432l4953,2439,4978,2457,4993,2478,4998,2497,4993,2513,4978,2527,4953,2537,4917,2540,4898,2537,4880,2527,4868,2513,4863,2497,4868,2478,4880,2457,4898,2439,4917,2432xe" filled="false" stroked="true" strokeweight="1.18276pt" strokecolor="#23201d">
                  <v:path arrowok="t"/>
                  <v:stroke dashstyle="solid"/>
                </v:shape>
                <v:shape style="position:absolute;left:4997;top:2367;width:351;height:239" id="docshape104" coordorigin="4998,2367" coordsize="351,239" path="m5026,2367l4998,2432,5133,2497,5026,2563,5053,2606,5187,2519,5348,2519,5348,2454,5187,2454,5026,2367xe" filled="true" fillcolor="#23201d" stroked="false">
                  <v:path arrowok="t"/>
                  <v:fill type="solid"/>
                </v:shape>
                <v:shape style="position:absolute;left:4997;top:2367;width:351;height:217" id="docshape105" coordorigin="4998,2367" coordsize="351,217" path="m5026,2367l4998,2411,5133,2476,4998,2540,5053,2584,5187,2497,5348,2497,5348,2432,5160,2432,5026,2367xe" filled="true" fillcolor="#ffffff" stroked="false">
                  <v:path arrowok="t"/>
                  <v:fill type="solid"/>
                </v:shape>
                <v:shape style="position:absolute;left:4997;top:2367;width:351;height:217" id="docshape106" coordorigin="4998,2367" coordsize="351,217" path="m5053,2584l5187,2497,5348,2497,5348,2432,5160,2432,5026,2367,4998,2411,5133,2476,4998,2540,5053,2584xe" filled="false" stroked="true" strokeweight="1.151508pt" strokecolor="#23201d">
                  <v:path arrowok="t"/>
                  <v:stroke dashstyle="solid"/>
                </v:shape>
                <v:shape style="position:absolute;left:5321;top:2345;width:351;height:239" id="docshape107" coordorigin="5322,2345" coordsize="351,239" path="m5348,2345l5322,2389,5430,2454,5322,2519,5376,2584,5511,2476,5672,2476,5672,2411,5484,2411,5348,2345xe" filled="true" fillcolor="#23201d" stroked="false">
                  <v:path arrowok="t"/>
                  <v:fill type="solid"/>
                </v:shape>
                <v:shape style="position:absolute;left:5321;top:2323;width:351;height:239" id="docshape108" coordorigin="5322,2324" coordsize="351,239" path="m5322,2324l5322,2389,5430,2454,5322,2519,5348,2563,5511,2476,5672,2476,5672,2411,5484,2411,5322,2324xe" filled="true" fillcolor="#828180" stroked="false">
                  <v:path arrowok="t"/>
                  <v:fill type="solid"/>
                </v:shape>
                <v:shape style="position:absolute;left:5321;top:2323;width:351;height:239" id="docshape109" coordorigin="5322,2324" coordsize="351,239" path="m5348,2563l5511,2476,5672,2476,5672,2411,5484,2411,5322,2324,5322,2389,5430,2454,5322,2519,5348,2563xe" filled="false" stroked="true" strokeweight="1.162366pt" strokecolor="#23201d">
                  <v:path arrowok="t"/>
                  <v:stroke dashstyle="solid"/>
                </v:shape>
                <v:shape style="position:absolute;left:2383;top:1021;width:216;height:543" id="docshape110" coordorigin="2384,1022" coordsize="216,543" path="m2599,1022l2384,1022,2384,1413,2491,1564,2599,1434,2599,1022xe" filled="true" fillcolor="#23201d" stroked="false">
                  <v:path arrowok="t"/>
                  <v:fill type="solid"/>
                </v:shape>
                <v:shape style="position:absolute;left:2398;top:1313;width:159;height:133" type="#_x0000_t75" id="docshape111" stroked="false">
                  <v:imagedata r:id="rId38" o:title=""/>
                </v:shape>
                <v:shape style="position:absolute;left:2356;top:1021;width:216;height:565" id="docshape112" coordorigin="2356,1022" coordsize="216,565" path="m2572,1022l2356,1022,2356,1413,2465,1586,2572,1434,2572,1022xe" filled="true" fillcolor="#ffffff" stroked="false">
                  <v:path arrowok="t"/>
                  <v:fill type="solid"/>
                </v:shape>
                <v:shape style="position:absolute;left:2356;top:1021;width:216;height:565" id="docshape113" coordorigin="2356,1022" coordsize="216,565" path="m2356,1022l2356,1413,2465,1586,2572,1434,2572,1022,2356,1022xe" filled="false" stroked="true" strokeweight="1.311008pt" strokecolor="#23201d">
                  <v:path arrowok="t"/>
                  <v:stroke dashstyle="solid"/>
                </v:shape>
                <v:shape style="position:absolute;left:2371;top:1313;width:159;height:133" type="#_x0000_t75" id="docshape114" stroked="false">
                  <v:imagedata r:id="rId39" o:title=""/>
                </v:shape>
                <v:shape style="position:absolute;left:4728;top:1021;width:216;height:565" id="docshape115" coordorigin="4729,1022" coordsize="216,565" path="m4944,1022l4729,1022,4729,1434,4863,1586,4944,1434,4944,1022xe" filled="true" fillcolor="#23201d" stroked="false">
                  <v:path arrowok="t"/>
                  <v:fill type="solid"/>
                </v:shape>
                <v:shape style="position:absolute;left:4770;top:1313;width:159;height:133" type="#_x0000_t75" id="docshape116" stroked="false">
                  <v:imagedata r:id="rId40" o:title=""/>
                </v:shape>
                <v:shape style="position:absolute;left:4702;top:1043;width:216;height:543" id="docshape117" coordorigin="4702,1044" coordsize="216,543" path="m4917,1044l4702,1044,4702,1434,4810,1586,4917,1456,4917,1044xe" filled="true" fillcolor="#ffffff" stroked="false">
                  <v:path arrowok="t"/>
                  <v:fill type="solid"/>
                </v:shape>
                <v:shape style="position:absolute;left:4702;top:1043;width:216;height:543" id="docshape118" coordorigin="4702,1044" coordsize="216,543" path="m4702,1044l4702,1434,4810,1586,4917,1456,4917,1044,4702,1044xe" filled="false" stroked="true" strokeweight="1.308835pt" strokecolor="#23201d">
                  <v:path arrowok="t"/>
                  <v:stroke dashstyle="solid"/>
                </v:shape>
                <v:shape style="position:absolute;left:4743;top:1248;width:471;height:263" type="#_x0000_t75" id="docshape119" stroked="false">
                  <v:imagedata r:id="rId41" o:title=""/>
                </v:shape>
                <v:rect style="position:absolute;left:3273;top:3604;width:270;height:196" id="docshape120" filled="true" fillcolor="#a9a8a7" stroked="false">
                  <v:fill type="solid"/>
                </v:rect>
                <v:rect style="position:absolute;left:3273;top:3604;width:270;height:196" id="docshape121" filled="false" stroked="true" strokeweight="1.169425pt" strokecolor="#23201d">
                  <v:stroke dashstyle="solid"/>
                </v:rect>
                <v:shape style="position:absolute;left:2410;top:3408;width:216;height:543" id="docshape122" coordorigin="2411,3408" coordsize="216,543" path="m2626,3408l2411,3408,2411,3799,2518,3951,2626,3821,2626,3408xe" filled="true" fillcolor="#23201d" stroked="false">
                  <v:path arrowok="t"/>
                  <v:fill type="solid"/>
                </v:shape>
                <v:shape style="position:absolute;left:2425;top:3678;width:159;height:134" type="#_x0000_t75" id="docshape123" stroked="false">
                  <v:imagedata r:id="rId42" o:title=""/>
                </v:shape>
                <v:shape style="position:absolute;left:2383;top:3408;width:216;height:543" id="docshape124" coordorigin="2384,3408" coordsize="216,543" path="m2599,3408l2384,3408,2384,3799,2491,3951,2599,3821,2599,3408xe" filled="true" fillcolor="#ffffff" stroked="false">
                  <v:path arrowok="t"/>
                  <v:fill type="solid"/>
                </v:shape>
                <v:shape style="position:absolute;left:2383;top:3408;width:216;height:543" id="docshape125" coordorigin="2384,3408" coordsize="216,543" path="m2384,3408l2384,3799,2491,3951,2599,3821,2599,3408,2384,3408xe" filled="false" stroked="true" strokeweight="1.308765pt" strokecolor="#23201d">
                  <v:path arrowok="t"/>
                  <v:stroke dashstyle="solid"/>
                </v:shape>
                <v:shape style="position:absolute;left:2410;top:3712;width:135;height:109" id="docshape126" coordorigin="2411,3712" coordsize="135,109" path="m2491,3712l2456,3716,2431,3726,2416,3740,2411,3756,2416,3775,2431,3796,2456,3814,2491,3821,2511,3814,2528,3796,2541,3775,2545,3756,2541,3740,2528,3726,2511,3716,2491,3712xe" filled="true" fillcolor="#ffffff" stroked="false">
                  <v:path arrowok="t"/>
                  <v:fill type="solid"/>
                </v:shape>
                <v:shape style="position:absolute;left:2410;top:3712;width:135;height:109" id="docshape127" coordorigin="2411,3712" coordsize="135,109" path="m2491,3712l2511,3716,2528,3726,2541,3740,2545,3756,2541,3775,2528,3796,2511,3814,2491,3821,2456,3814,2431,3796,2416,3775,2411,3756,2416,3740,2431,3726,2456,3716,2491,3712xe" filled="false" stroked="true" strokeweight="1.182818pt" strokecolor="#23201d">
                  <v:path arrowok="t"/>
                  <v:stroke dashstyle="solid"/>
                </v:shape>
                <v:shape style="position:absolute;left:2572;top:3625;width:324;height:239" id="docshape128" coordorigin="2572,3626" coordsize="324,239" path="m2572,3626l2572,3690,2680,3756,2572,3821,2599,3864,2761,3777,2896,3777,2896,3712,2734,3712,2572,3626xe" filled="true" fillcolor="#23201d" stroked="false">
                  <v:path arrowok="t"/>
                  <v:fill type="solid"/>
                </v:shape>
                <v:shape style="position:absolute;left:2572;top:3625;width:324;height:239" id="docshape129" coordorigin="2572,3626" coordsize="324,239" path="m2572,3626l2572,3669,2680,3734,2572,3799,2599,3864,2734,3756,2896,3756,2896,3690,2734,3690,2572,3626xe" filled="true" fillcolor="#ffffff" stroked="false">
                  <v:path arrowok="t"/>
                  <v:fill type="solid"/>
                </v:shape>
                <v:shape style="position:absolute;left:2572;top:3625;width:324;height:239" id="docshape130" coordorigin="2572,3626" coordsize="324,239" path="m2599,3864l2734,3756,2896,3756,2896,3690,2734,3690,2572,3626,2572,3669,2680,3734,2572,3799,2599,3864xe" filled="false" stroked="true" strokeweight="1.171575pt" strokecolor="#23201d">
                  <v:path arrowok="t"/>
                  <v:stroke dashstyle="solid"/>
                </v:shape>
                <v:shape style="position:absolute;left:2895;top:3604;width:324;height:239" id="docshape131" coordorigin="2896,3604" coordsize="324,239" path="m2896,3604l2896,3669,3003,3734,2896,3799,2923,3842,3057,3756,3219,3756,3219,3690,3057,3690,2896,3604xe" filled="true" fillcolor="#23201d" stroked="false">
                  <v:path arrowok="t"/>
                  <v:fill type="solid"/>
                </v:shape>
                <v:shape style="position:absolute;left:2868;top:3604;width:351;height:217" id="docshape132" coordorigin="2869,3604" coordsize="351,217" path="m2896,3604l2869,3647,3003,3712,2896,3777,2923,3821,3057,3734,3219,3734,3219,3669,3057,3669,2896,3604xe" filled="true" fillcolor="#828180" stroked="false">
                  <v:path arrowok="t"/>
                  <v:fill type="solid"/>
                </v:shape>
                <v:shape style="position:absolute;left:2868;top:3604;width:351;height:217" id="docshape133" coordorigin="2869,3604" coordsize="351,217" path="m2923,3821l3057,3734,3219,3734,3219,3669,3057,3669,2896,3604,2869,3647,3003,3712,2896,3777,2923,3821xe" filled="false" stroked="true" strokeweight="1.151487pt" strokecolor="#23201d">
                  <v:path arrowok="t"/>
                  <v:stroke dashstyle="solid"/>
                </v:shape>
                <v:shape style="position:absolute;left:5807;top:3408;width:216;height:543" id="docshape134" coordorigin="5807,3408" coordsize="216,543" path="m6023,3408l5807,3408,5807,3799,5915,3951,6023,3821,6023,3408xe" filled="true" fillcolor="#23201d" stroked="false">
                  <v:path arrowok="t"/>
                  <v:fill type="solid"/>
                </v:shape>
                <v:shape style="position:absolute;left:5822;top:3678;width:159;height:134" type="#_x0000_t75" id="docshape135" stroked="false">
                  <v:imagedata r:id="rId43" o:title=""/>
                </v:shape>
                <v:shape style="position:absolute;left:5780;top:3408;width:216;height:543" id="docshape136" coordorigin="5780,3408" coordsize="216,543" path="m5996,3408l5780,3408,5780,3799,5888,3951,5996,3821,5996,3408xe" filled="true" fillcolor="#ffffff" stroked="false">
                  <v:path arrowok="t"/>
                  <v:fill type="solid"/>
                </v:shape>
                <v:shape style="position:absolute;left:5780;top:3408;width:216;height:543" id="docshape137" coordorigin="5780,3408" coordsize="216,543" path="m5780,3408l5780,3799,5888,3951,5996,3821,5996,3408,5780,3408xe" filled="false" stroked="true" strokeweight="1.30873pt" strokecolor="#23201d">
                  <v:path arrowok="t"/>
                  <v:stroke dashstyle="solid"/>
                </v:shape>
                <v:shape style="position:absolute;left:5795;top:3700;width:159;height:133" type="#_x0000_t75" id="docshape138" stroked="false">
                  <v:imagedata r:id="rId44" o:title=""/>
                </v:shape>
                <v:shape style="position:absolute;left:6593;top:981;width:2627;height:411" type="#_x0000_t202" id="docshape139" filled="false" stroked="false">
                  <v:textbox inset="0,0,0,0">
                    <w:txbxContent>
                      <w:p>
                        <w:pPr>
                          <w:spacing w:line="189" w:lineRule="auto" w:before="42"/>
                          <w:ind w:left="0" w:right="18" w:firstLine="0"/>
                          <w:jc w:val="left"/>
                          <w:rPr>
                            <w:rFonts w:ascii="Microsoft Sans Serif"/>
                            <w:sz w:val="20"/>
                          </w:rPr>
                        </w:pPr>
                        <w:r>
                          <w:rPr>
                            <w:rFonts w:ascii="Microsoft Sans Serif"/>
                            <w:color w:val="23201D"/>
                            <w:spacing w:val="-8"/>
                            <w:w w:val="130"/>
                            <w:sz w:val="20"/>
                          </w:rPr>
                          <w:t>HIV</w:t>
                        </w:r>
                        <w:r>
                          <w:rPr>
                            <w:rFonts w:ascii="Microsoft Sans Serif"/>
                            <w:color w:val="23201D"/>
                            <w:spacing w:val="-48"/>
                            <w:w w:val="130"/>
                            <w:sz w:val="20"/>
                          </w:rPr>
                          <w:t> </w:t>
                        </w:r>
                        <w:r>
                          <w:rPr>
                            <w:rFonts w:ascii="Microsoft Sans Serif"/>
                            <w:color w:val="23201D"/>
                            <w:spacing w:val="-8"/>
                            <w:w w:val="130"/>
                            <w:sz w:val="20"/>
                          </w:rPr>
                          <w:t>antigen-antibody </w:t>
                        </w:r>
                        <w:r>
                          <w:rPr>
                            <w:rFonts w:ascii="Microsoft Sans Serif"/>
                            <w:color w:val="23201D"/>
                            <w:spacing w:val="-16"/>
                            <w:w w:val="130"/>
                            <w:sz w:val="20"/>
                          </w:rPr>
                          <w:t>complex</w:t>
                        </w:r>
                        <w:r>
                          <w:rPr>
                            <w:rFonts w:ascii="Microsoft Sans Serif"/>
                            <w:color w:val="23201D"/>
                            <w:spacing w:val="-37"/>
                            <w:w w:val="130"/>
                            <w:sz w:val="20"/>
                          </w:rPr>
                          <w:t> </w:t>
                        </w:r>
                        <w:r>
                          <w:rPr>
                            <w:rFonts w:ascii="Microsoft Sans Serif"/>
                            <w:color w:val="23201D"/>
                            <w:spacing w:val="-16"/>
                            <w:w w:val="130"/>
                            <w:sz w:val="20"/>
                          </w:rPr>
                          <w:t>formation;</w:t>
                        </w:r>
                        <w:r>
                          <w:rPr>
                            <w:rFonts w:ascii="Microsoft Sans Serif"/>
                            <w:color w:val="23201D"/>
                            <w:spacing w:val="-12"/>
                            <w:w w:val="130"/>
                            <w:sz w:val="20"/>
                          </w:rPr>
                          <w:t> </w:t>
                        </w:r>
                        <w:r>
                          <w:rPr>
                            <w:rFonts w:ascii="Microsoft Sans Serif"/>
                            <w:color w:val="23201D"/>
                            <w:spacing w:val="-16"/>
                            <w:w w:val="130"/>
                            <w:sz w:val="20"/>
                          </w:rPr>
                          <w:t>30</w:t>
                        </w:r>
                        <w:r>
                          <w:rPr>
                            <w:rFonts w:ascii="Microsoft Sans Serif"/>
                            <w:color w:val="23201D"/>
                            <w:spacing w:val="-52"/>
                            <w:w w:val="130"/>
                            <w:sz w:val="20"/>
                          </w:rPr>
                          <w:t> </w:t>
                        </w:r>
                        <w:r>
                          <w:rPr>
                            <w:rFonts w:ascii="Microsoft Sans Serif"/>
                            <w:color w:val="23201D"/>
                            <w:spacing w:val="-16"/>
                            <w:w w:val="130"/>
                            <w:sz w:val="20"/>
                          </w:rPr>
                          <w:t>min</w:t>
                        </w:r>
                      </w:p>
                    </w:txbxContent>
                  </v:textbox>
                  <w10:wrap type="none"/>
                </v:shape>
                <v:shape style="position:absolute;left:3288;top:1546;width:1677;height:1585" type="#_x0000_t202" id="docshape140" filled="false" stroked="false">
                  <v:textbox inset="0,0,0,0">
                    <w:txbxContent>
                      <w:p>
                        <w:pPr>
                          <w:spacing w:line="252" w:lineRule="auto" w:before="3"/>
                          <w:ind w:left="0" w:right="732" w:firstLine="0"/>
                          <w:jc w:val="left"/>
                          <w:rPr>
                            <w:rFonts w:ascii="Microsoft Sans Serif"/>
                            <w:sz w:val="20"/>
                          </w:rPr>
                        </w:pPr>
                        <w:r>
                          <w:rPr>
                            <w:rFonts w:ascii="Microsoft Sans Serif"/>
                            <w:color w:val="23201D"/>
                            <w:spacing w:val="-2"/>
                            <w:w w:val="130"/>
                            <w:sz w:val="20"/>
                          </w:rPr>
                          <w:t>anti-HIV </w:t>
                        </w:r>
                        <w:r>
                          <w:rPr>
                            <w:rFonts w:ascii="Microsoft Sans Serif"/>
                            <w:color w:val="23201D"/>
                            <w:spacing w:val="-8"/>
                            <w:w w:val="130"/>
                            <w:sz w:val="20"/>
                          </w:rPr>
                          <w:t>antibody</w:t>
                        </w:r>
                      </w:p>
                      <w:p>
                        <w:pPr>
                          <w:spacing w:line="240" w:lineRule="auto" w:before="134"/>
                          <w:rPr>
                            <w:rFonts w:ascii="Microsoft Sans Serif"/>
                            <w:sz w:val="20"/>
                          </w:rPr>
                        </w:pPr>
                      </w:p>
                      <w:p>
                        <w:pPr>
                          <w:spacing w:before="0"/>
                          <w:ind w:left="491" w:right="0" w:firstLine="0"/>
                          <w:jc w:val="left"/>
                          <w:rPr>
                            <w:rFonts w:ascii="Arial"/>
                            <w:b/>
                            <w:sz w:val="15"/>
                          </w:rPr>
                        </w:pPr>
                        <w:r>
                          <w:rPr>
                            <w:rFonts w:ascii="Arial"/>
                            <w:b/>
                            <w:color w:val="23201D"/>
                            <w:spacing w:val="-5"/>
                            <w:w w:val="125"/>
                            <w:sz w:val="15"/>
                          </w:rPr>
                          <w:t>AP</w:t>
                        </w:r>
                      </w:p>
                      <w:p>
                        <w:pPr>
                          <w:spacing w:line="252" w:lineRule="auto" w:before="97"/>
                          <w:ind w:left="109" w:right="15" w:firstLine="0"/>
                          <w:jc w:val="left"/>
                          <w:rPr>
                            <w:rFonts w:ascii="Microsoft Sans Serif"/>
                            <w:sz w:val="20"/>
                          </w:rPr>
                        </w:pPr>
                        <w:r>
                          <w:rPr>
                            <w:rFonts w:ascii="Microsoft Sans Serif"/>
                            <w:color w:val="23201D"/>
                            <w:spacing w:val="-2"/>
                            <w:w w:val="130"/>
                            <w:sz w:val="20"/>
                          </w:rPr>
                          <w:t>anti-human </w:t>
                        </w:r>
                        <w:r>
                          <w:rPr>
                            <w:rFonts w:ascii="Microsoft Sans Serif"/>
                            <w:color w:val="23201D"/>
                            <w:spacing w:val="-6"/>
                            <w:w w:val="130"/>
                            <w:sz w:val="20"/>
                          </w:rPr>
                          <w:t>IgG</w:t>
                        </w:r>
                        <w:r>
                          <w:rPr>
                            <w:rFonts w:ascii="Microsoft Sans Serif"/>
                            <w:color w:val="23201D"/>
                            <w:spacing w:val="-13"/>
                            <w:w w:val="130"/>
                            <w:sz w:val="20"/>
                          </w:rPr>
                          <w:t> </w:t>
                        </w:r>
                        <w:r>
                          <w:rPr>
                            <w:rFonts w:ascii="Microsoft Sans Serif"/>
                            <w:color w:val="23201D"/>
                            <w:spacing w:val="-6"/>
                            <w:w w:val="130"/>
                            <w:sz w:val="20"/>
                          </w:rPr>
                          <w:t>conjugate</w:t>
                        </w:r>
                      </w:p>
                    </w:txbxContent>
                  </v:textbox>
                  <w10:wrap type="none"/>
                </v:shape>
                <v:shape style="position:absolute;left:5760;top:2336;width:233;height:166" type="#_x0000_t202" id="docshape141" filled="false" stroked="false">
                  <v:textbox inset="0,0,0,0">
                    <w:txbxContent>
                      <w:p>
                        <w:pPr>
                          <w:spacing w:line="166" w:lineRule="exact" w:before="0"/>
                          <w:ind w:left="0" w:right="0" w:firstLine="0"/>
                          <w:jc w:val="left"/>
                          <w:rPr>
                            <w:rFonts w:ascii="Arial"/>
                            <w:b/>
                            <w:sz w:val="15"/>
                          </w:rPr>
                        </w:pPr>
                        <w:r>
                          <w:rPr>
                            <w:rFonts w:ascii="Arial"/>
                            <w:b/>
                            <w:color w:val="23201D"/>
                            <w:spacing w:val="-20"/>
                            <w:w w:val="125"/>
                            <w:sz w:val="15"/>
                          </w:rPr>
                          <w:t>AP</w:t>
                        </w:r>
                      </w:p>
                    </w:txbxContent>
                  </v:textbox>
                  <w10:wrap type="none"/>
                </v:shape>
                <v:shape style="position:absolute;left:6630;top:2055;width:2678;height:412" type="#_x0000_t202" id="docshape142" filled="false" stroked="false">
                  <v:textbox inset="0,0,0,0">
                    <w:txbxContent>
                      <w:p>
                        <w:pPr>
                          <w:spacing w:line="180" w:lineRule="auto" w:before="43"/>
                          <w:ind w:left="0" w:right="18" w:firstLine="0"/>
                          <w:jc w:val="left"/>
                          <w:rPr>
                            <w:rFonts w:ascii="Microsoft Sans Serif"/>
                            <w:sz w:val="21"/>
                          </w:rPr>
                        </w:pPr>
                        <w:r>
                          <w:rPr>
                            <w:rFonts w:ascii="Microsoft Sans Serif"/>
                            <w:color w:val="23201D"/>
                            <w:spacing w:val="-10"/>
                            <w:w w:val="120"/>
                            <w:sz w:val="21"/>
                          </w:rPr>
                          <w:t>Binding</w:t>
                        </w:r>
                        <w:r>
                          <w:rPr>
                            <w:rFonts w:ascii="Microsoft Sans Serif"/>
                            <w:color w:val="23201D"/>
                            <w:spacing w:val="-45"/>
                            <w:w w:val="120"/>
                            <w:sz w:val="21"/>
                          </w:rPr>
                          <w:t> </w:t>
                        </w:r>
                        <w:r>
                          <w:rPr>
                            <w:rFonts w:ascii="Microsoft Sans Serif"/>
                            <w:color w:val="23201D"/>
                            <w:spacing w:val="-10"/>
                            <w:w w:val="120"/>
                            <w:sz w:val="21"/>
                          </w:rPr>
                          <w:t>of</w:t>
                        </w:r>
                        <w:r>
                          <w:rPr>
                            <w:rFonts w:ascii="Microsoft Sans Serif"/>
                            <w:color w:val="23201D"/>
                            <w:spacing w:val="-6"/>
                            <w:w w:val="120"/>
                            <w:sz w:val="21"/>
                          </w:rPr>
                          <w:t> </w:t>
                        </w:r>
                        <w:r>
                          <w:rPr>
                            <w:rFonts w:ascii="Microsoft Sans Serif"/>
                            <w:color w:val="23201D"/>
                            <w:spacing w:val="-10"/>
                            <w:w w:val="120"/>
                            <w:sz w:val="21"/>
                          </w:rPr>
                          <w:t>anti-human</w:t>
                        </w:r>
                        <w:r>
                          <w:rPr>
                            <w:rFonts w:ascii="Microsoft Sans Serif"/>
                            <w:color w:val="23201D"/>
                            <w:spacing w:val="-11"/>
                            <w:w w:val="120"/>
                            <w:sz w:val="21"/>
                          </w:rPr>
                          <w:t> </w:t>
                        </w:r>
                        <w:r>
                          <w:rPr>
                            <w:rFonts w:ascii="Microsoft Sans Serif"/>
                            <w:color w:val="23201D"/>
                            <w:spacing w:val="-10"/>
                            <w:w w:val="120"/>
                            <w:sz w:val="21"/>
                          </w:rPr>
                          <w:t>IgG </w:t>
                        </w:r>
                        <w:r>
                          <w:rPr>
                            <w:rFonts w:ascii="Microsoft Sans Serif"/>
                            <w:color w:val="23201D"/>
                            <w:spacing w:val="-4"/>
                            <w:w w:val="125"/>
                            <w:sz w:val="21"/>
                          </w:rPr>
                          <w:t>conjugate;</w:t>
                        </w:r>
                        <w:r>
                          <w:rPr>
                            <w:rFonts w:ascii="Microsoft Sans Serif"/>
                            <w:color w:val="23201D"/>
                            <w:spacing w:val="-14"/>
                            <w:w w:val="125"/>
                            <w:sz w:val="21"/>
                          </w:rPr>
                          <w:t> </w:t>
                        </w:r>
                        <w:r>
                          <w:rPr>
                            <w:rFonts w:ascii="Microsoft Sans Serif"/>
                            <w:color w:val="23201D"/>
                            <w:spacing w:val="-4"/>
                            <w:w w:val="125"/>
                            <w:sz w:val="21"/>
                          </w:rPr>
                          <w:t>20</w:t>
                        </w:r>
                        <w:r>
                          <w:rPr>
                            <w:rFonts w:ascii="Microsoft Sans Serif"/>
                            <w:color w:val="23201D"/>
                            <w:spacing w:val="-13"/>
                            <w:w w:val="125"/>
                            <w:sz w:val="21"/>
                          </w:rPr>
                          <w:t> </w:t>
                        </w:r>
                        <w:r>
                          <w:rPr>
                            <w:rFonts w:ascii="Microsoft Sans Serif"/>
                            <w:color w:val="23201D"/>
                            <w:spacing w:val="-4"/>
                            <w:w w:val="125"/>
                            <w:sz w:val="21"/>
                          </w:rPr>
                          <w:t>min</w:t>
                        </w:r>
                      </w:p>
                    </w:txbxContent>
                  </v:textbox>
                  <w10:wrap type="none"/>
                </v:shape>
                <v:shape style="position:absolute;left:6656;top:3184;width:1914;height:412" type="#_x0000_t202" id="docshape143" filled="false" stroked="false">
                  <v:textbox inset="0,0,0,0">
                    <w:txbxContent>
                      <w:p>
                        <w:pPr>
                          <w:spacing w:line="180" w:lineRule="auto" w:before="43"/>
                          <w:ind w:left="0" w:right="18" w:firstLine="0"/>
                          <w:jc w:val="left"/>
                          <w:rPr>
                            <w:rFonts w:ascii="Microsoft Sans Serif"/>
                            <w:sz w:val="21"/>
                          </w:rPr>
                        </w:pPr>
                        <w:r>
                          <w:rPr>
                            <w:rFonts w:ascii="Microsoft Sans Serif"/>
                            <w:color w:val="23201D"/>
                            <w:spacing w:val="-6"/>
                            <w:w w:val="125"/>
                            <w:sz w:val="21"/>
                          </w:rPr>
                          <w:t>enzymatic</w:t>
                        </w:r>
                        <w:r>
                          <w:rPr>
                            <w:rFonts w:ascii="Microsoft Sans Serif"/>
                            <w:color w:val="23201D"/>
                            <w:spacing w:val="-16"/>
                            <w:w w:val="125"/>
                            <w:sz w:val="21"/>
                          </w:rPr>
                          <w:t> </w:t>
                        </w:r>
                        <w:r>
                          <w:rPr>
                            <w:rFonts w:ascii="Microsoft Sans Serif"/>
                            <w:color w:val="23201D"/>
                            <w:spacing w:val="-6"/>
                            <w:w w:val="125"/>
                            <w:sz w:val="21"/>
                          </w:rPr>
                          <w:t>colour </w:t>
                        </w:r>
                        <w:r>
                          <w:rPr>
                            <w:rFonts w:ascii="Microsoft Sans Serif"/>
                            <w:color w:val="23201D"/>
                            <w:spacing w:val="-2"/>
                            <w:w w:val="125"/>
                            <w:sz w:val="21"/>
                          </w:rPr>
                          <w:t>reaction:10min</w:t>
                        </w:r>
                      </w:p>
                    </w:txbxContent>
                  </v:textbox>
                  <w10:wrap type="none"/>
                </v:shape>
                <v:shape style="position:absolute;left:3315;top:3600;width:232;height:166" type="#_x0000_t202" id="docshape144" filled="false" stroked="false">
                  <v:textbox inset="0,0,0,0">
                    <w:txbxContent>
                      <w:p>
                        <w:pPr>
                          <w:spacing w:line="166" w:lineRule="exact" w:before="0"/>
                          <w:ind w:left="0" w:right="0" w:firstLine="0"/>
                          <w:jc w:val="left"/>
                          <w:rPr>
                            <w:rFonts w:ascii="Arial"/>
                            <w:b/>
                            <w:sz w:val="15"/>
                          </w:rPr>
                        </w:pPr>
                        <w:r>
                          <w:rPr>
                            <w:rFonts w:ascii="Arial"/>
                            <w:b/>
                            <w:color w:val="23201D"/>
                            <w:spacing w:val="-21"/>
                            <w:w w:val="125"/>
                            <w:sz w:val="15"/>
                          </w:rPr>
                          <w:t>AP</w:t>
                        </w:r>
                      </w:p>
                    </w:txbxContent>
                  </v:textbox>
                  <w10:wrap type="none"/>
                </v:shape>
                <v:shape style="position:absolute;left:4037;top:3932;width:1437;height:412" type="#_x0000_t202" id="docshape145" filled="false" stroked="false">
                  <v:textbox inset="0,0,0,0">
                    <w:txbxContent>
                      <w:p>
                        <w:pPr>
                          <w:spacing w:line="180" w:lineRule="auto" w:before="43"/>
                          <w:ind w:left="0" w:right="18" w:firstLine="0"/>
                          <w:jc w:val="left"/>
                          <w:rPr>
                            <w:rFonts w:ascii="Microsoft Sans Serif"/>
                            <w:sz w:val="21"/>
                          </w:rPr>
                        </w:pPr>
                        <w:r>
                          <w:rPr>
                            <w:rFonts w:ascii="Microsoft Sans Serif"/>
                            <w:color w:val="23201D"/>
                            <w:spacing w:val="-4"/>
                            <w:w w:val="120"/>
                            <w:sz w:val="21"/>
                          </w:rPr>
                          <w:t>chromogenic </w:t>
                        </w:r>
                        <w:r>
                          <w:rPr>
                            <w:rFonts w:ascii="Microsoft Sans Serif"/>
                            <w:color w:val="23201D"/>
                            <w:spacing w:val="-2"/>
                            <w:w w:val="125"/>
                            <w:sz w:val="21"/>
                          </w:rPr>
                          <w:t>substrate</w:t>
                        </w:r>
                      </w:p>
                    </w:txbxContent>
                  </v:textbox>
                  <w10:wrap type="none"/>
                </v:shape>
                <w10:wrap type="topAndBottom"/>
              </v:group>
            </w:pict>
          </mc:Fallback>
        </mc:AlternateContent>
      </w:r>
    </w:p>
    <w:sectPr>
      <w:pgSz w:w="11910" w:h="16840"/>
      <w:pgMar w:header="0" w:footer="1067" w:top="1060" w:bottom="1260" w:left="88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 w:name="Tahoma">
    <w:altName w:val="Tahoma"/>
    <w:charset w:val="1"/>
    <w:family w:val="swiss"/>
    <w:pitch w:val="variable"/>
  </w:font>
  <w:font w:name="Cambria Math">
    <w:altName w:val="Cambria Math"/>
    <w:charset w:val="1"/>
    <w:family w:val="roman"/>
    <w:pitch w:val="variable"/>
  </w:font>
  <w:font w:name="Microsoft Sans Serif">
    <w:altName w:val="Microsoft Sans Serif"/>
    <w:charset w:val="1"/>
    <w:family w:val="swiss"/>
    <w:pitch w:val="variable"/>
  </w:font>
  <w:font w:name="Calibri">
    <w:altName w:val="Calibri"/>
    <w:charset w:val="1"/>
    <w:family w:val="roman"/>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33440">
              <wp:simplePos x="0" y="0"/>
              <wp:positionH relativeFrom="page">
                <wp:posOffset>3629278</wp:posOffset>
              </wp:positionH>
              <wp:positionV relativeFrom="page">
                <wp:posOffset>9871794</wp:posOffset>
              </wp:positionV>
              <wp:extent cx="3175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175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5.769989pt;margin-top:777.306641pt;width:25pt;height:15.3pt;mso-position-horizontal-relative:page;mso-position-vertical-relative:page;z-index:-18583040" type="#_x0000_t202" id="docshape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12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90" w:hanging="720"/>
      </w:pPr>
      <w:rPr>
        <w:rFonts w:hint="default"/>
        <w:lang w:val="en-US" w:eastAsia="en-US" w:bidi="ar-SA"/>
      </w:rPr>
    </w:lvl>
    <w:lvl w:ilvl="2">
      <w:start w:val="0"/>
      <w:numFmt w:val="bullet"/>
      <w:lvlText w:val="•"/>
      <w:lvlJc w:val="left"/>
      <w:pPr>
        <w:ind w:left="3101" w:hanging="720"/>
      </w:pPr>
      <w:rPr>
        <w:rFonts w:hint="default"/>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15">
    <w:multiLevelType w:val="hybridMultilevel"/>
    <w:lvl w:ilvl="0">
      <w:start w:val="1"/>
      <w:numFmt w:val="decimal"/>
      <w:lvlText w:val="%1."/>
      <w:lvlJc w:val="left"/>
      <w:pPr>
        <w:ind w:left="12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90" w:hanging="720"/>
      </w:pPr>
      <w:rPr>
        <w:rFonts w:hint="default"/>
        <w:lang w:val="en-US" w:eastAsia="en-US" w:bidi="ar-SA"/>
      </w:rPr>
    </w:lvl>
    <w:lvl w:ilvl="2">
      <w:start w:val="0"/>
      <w:numFmt w:val="bullet"/>
      <w:lvlText w:val="•"/>
      <w:lvlJc w:val="left"/>
      <w:pPr>
        <w:ind w:left="3101" w:hanging="720"/>
      </w:pPr>
      <w:rPr>
        <w:rFonts w:hint="default"/>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14">
    <w:multiLevelType w:val="hybridMultilevel"/>
    <w:lvl w:ilvl="0">
      <w:start w:val="5"/>
      <w:numFmt w:val="decimal"/>
      <w:lvlText w:val="%1"/>
      <w:lvlJc w:val="left"/>
      <w:pPr>
        <w:ind w:left="1280" w:hanging="720"/>
        <w:jc w:val="left"/>
      </w:pPr>
      <w:rPr>
        <w:rFonts w:hint="default"/>
        <w:lang w:val="en-US" w:eastAsia="en-US" w:bidi="ar-SA"/>
      </w:rPr>
    </w:lvl>
    <w:lvl w:ilvl="1">
      <w:start w:val="1"/>
      <w:numFmt w:val="decimal"/>
      <w:lvlText w:val="%1.%2"/>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101" w:hanging="720"/>
      </w:pPr>
      <w:rPr>
        <w:rFonts w:hint="default"/>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13">
    <w:multiLevelType w:val="hybridMultilevel"/>
    <w:lvl w:ilvl="0">
      <w:start w:val="4"/>
      <w:numFmt w:val="decimal"/>
      <w:lvlText w:val="%1"/>
      <w:lvlJc w:val="left"/>
      <w:pPr>
        <w:ind w:left="861" w:hanging="301"/>
        <w:jc w:val="left"/>
      </w:pPr>
      <w:rPr>
        <w:rFonts w:hint="default"/>
        <w:lang w:val="en-US" w:eastAsia="en-US" w:bidi="ar-SA"/>
      </w:rPr>
    </w:lvl>
    <w:lvl w:ilvl="1">
      <w:start w:val="1"/>
      <w:numFmt w:val="decimal"/>
      <w:lvlText w:val="%1.%2"/>
      <w:lvlJc w:val="left"/>
      <w:pPr>
        <w:ind w:left="861" w:hanging="301"/>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2765" w:hanging="301"/>
      </w:pPr>
      <w:rPr>
        <w:rFonts w:hint="default"/>
        <w:lang w:val="en-US" w:eastAsia="en-US" w:bidi="ar-SA"/>
      </w:rPr>
    </w:lvl>
    <w:lvl w:ilvl="3">
      <w:start w:val="0"/>
      <w:numFmt w:val="bullet"/>
      <w:lvlText w:val="•"/>
      <w:lvlJc w:val="left"/>
      <w:pPr>
        <w:ind w:left="3718" w:hanging="301"/>
      </w:pPr>
      <w:rPr>
        <w:rFonts w:hint="default"/>
        <w:lang w:val="en-US" w:eastAsia="en-US" w:bidi="ar-SA"/>
      </w:rPr>
    </w:lvl>
    <w:lvl w:ilvl="4">
      <w:start w:val="0"/>
      <w:numFmt w:val="bullet"/>
      <w:lvlText w:val="•"/>
      <w:lvlJc w:val="left"/>
      <w:pPr>
        <w:ind w:left="4671" w:hanging="301"/>
      </w:pPr>
      <w:rPr>
        <w:rFonts w:hint="default"/>
        <w:lang w:val="en-US" w:eastAsia="en-US" w:bidi="ar-SA"/>
      </w:rPr>
    </w:lvl>
    <w:lvl w:ilvl="5">
      <w:start w:val="0"/>
      <w:numFmt w:val="bullet"/>
      <w:lvlText w:val="•"/>
      <w:lvlJc w:val="left"/>
      <w:pPr>
        <w:ind w:left="5624" w:hanging="301"/>
      </w:pPr>
      <w:rPr>
        <w:rFonts w:hint="default"/>
        <w:lang w:val="en-US" w:eastAsia="en-US" w:bidi="ar-SA"/>
      </w:rPr>
    </w:lvl>
    <w:lvl w:ilvl="6">
      <w:start w:val="0"/>
      <w:numFmt w:val="bullet"/>
      <w:lvlText w:val="•"/>
      <w:lvlJc w:val="left"/>
      <w:pPr>
        <w:ind w:left="6577" w:hanging="301"/>
      </w:pPr>
      <w:rPr>
        <w:rFonts w:hint="default"/>
        <w:lang w:val="en-US" w:eastAsia="en-US" w:bidi="ar-SA"/>
      </w:rPr>
    </w:lvl>
    <w:lvl w:ilvl="7">
      <w:start w:val="0"/>
      <w:numFmt w:val="bullet"/>
      <w:lvlText w:val="•"/>
      <w:lvlJc w:val="left"/>
      <w:pPr>
        <w:ind w:left="7530" w:hanging="301"/>
      </w:pPr>
      <w:rPr>
        <w:rFonts w:hint="default"/>
        <w:lang w:val="en-US" w:eastAsia="en-US" w:bidi="ar-SA"/>
      </w:rPr>
    </w:lvl>
    <w:lvl w:ilvl="8">
      <w:start w:val="0"/>
      <w:numFmt w:val="bullet"/>
      <w:lvlText w:val="•"/>
      <w:lvlJc w:val="left"/>
      <w:pPr>
        <w:ind w:left="8483" w:hanging="301"/>
      </w:pPr>
      <w:rPr>
        <w:rFonts w:hint="default"/>
        <w:lang w:val="en-US" w:eastAsia="en-US" w:bidi="ar-SA"/>
      </w:rPr>
    </w:lvl>
  </w:abstractNum>
  <w:abstractNum w:abstractNumId="12">
    <w:multiLevelType w:val="hybridMultilevel"/>
    <w:lvl w:ilvl="0">
      <w:start w:val="4"/>
      <w:numFmt w:val="decimal"/>
      <w:lvlText w:val="%1"/>
      <w:lvlJc w:val="left"/>
      <w:pPr>
        <w:ind w:left="861" w:hanging="301"/>
        <w:jc w:val="left"/>
      </w:pPr>
      <w:rPr>
        <w:rFonts w:hint="default"/>
        <w:lang w:val="en-US" w:eastAsia="en-US" w:bidi="ar-SA"/>
      </w:rPr>
    </w:lvl>
    <w:lvl w:ilvl="1">
      <w:start w:val="1"/>
      <w:numFmt w:val="decimal"/>
      <w:lvlText w:val="%1.%2"/>
      <w:lvlJc w:val="left"/>
      <w:pPr>
        <w:ind w:left="861" w:hanging="301"/>
        <w:jc w:val="right"/>
      </w:pPr>
      <w:rPr>
        <w:rFonts w:hint="default"/>
        <w:spacing w:val="0"/>
        <w:w w:val="93"/>
        <w:lang w:val="en-US" w:eastAsia="en-US" w:bidi="ar-SA"/>
      </w:rPr>
    </w:lvl>
    <w:lvl w:ilvl="2">
      <w:start w:val="0"/>
      <w:numFmt w:val="bullet"/>
      <w:lvlText w:val="•"/>
      <w:lvlJc w:val="left"/>
      <w:pPr>
        <w:ind w:left="2765" w:hanging="301"/>
      </w:pPr>
      <w:rPr>
        <w:rFonts w:hint="default"/>
        <w:lang w:val="en-US" w:eastAsia="en-US" w:bidi="ar-SA"/>
      </w:rPr>
    </w:lvl>
    <w:lvl w:ilvl="3">
      <w:start w:val="0"/>
      <w:numFmt w:val="bullet"/>
      <w:lvlText w:val="•"/>
      <w:lvlJc w:val="left"/>
      <w:pPr>
        <w:ind w:left="3718" w:hanging="301"/>
      </w:pPr>
      <w:rPr>
        <w:rFonts w:hint="default"/>
        <w:lang w:val="en-US" w:eastAsia="en-US" w:bidi="ar-SA"/>
      </w:rPr>
    </w:lvl>
    <w:lvl w:ilvl="4">
      <w:start w:val="0"/>
      <w:numFmt w:val="bullet"/>
      <w:lvlText w:val="•"/>
      <w:lvlJc w:val="left"/>
      <w:pPr>
        <w:ind w:left="4671" w:hanging="301"/>
      </w:pPr>
      <w:rPr>
        <w:rFonts w:hint="default"/>
        <w:lang w:val="en-US" w:eastAsia="en-US" w:bidi="ar-SA"/>
      </w:rPr>
    </w:lvl>
    <w:lvl w:ilvl="5">
      <w:start w:val="0"/>
      <w:numFmt w:val="bullet"/>
      <w:lvlText w:val="•"/>
      <w:lvlJc w:val="left"/>
      <w:pPr>
        <w:ind w:left="5624" w:hanging="301"/>
      </w:pPr>
      <w:rPr>
        <w:rFonts w:hint="default"/>
        <w:lang w:val="en-US" w:eastAsia="en-US" w:bidi="ar-SA"/>
      </w:rPr>
    </w:lvl>
    <w:lvl w:ilvl="6">
      <w:start w:val="0"/>
      <w:numFmt w:val="bullet"/>
      <w:lvlText w:val="•"/>
      <w:lvlJc w:val="left"/>
      <w:pPr>
        <w:ind w:left="6577" w:hanging="301"/>
      </w:pPr>
      <w:rPr>
        <w:rFonts w:hint="default"/>
        <w:lang w:val="en-US" w:eastAsia="en-US" w:bidi="ar-SA"/>
      </w:rPr>
    </w:lvl>
    <w:lvl w:ilvl="7">
      <w:start w:val="0"/>
      <w:numFmt w:val="bullet"/>
      <w:lvlText w:val="•"/>
      <w:lvlJc w:val="left"/>
      <w:pPr>
        <w:ind w:left="7530" w:hanging="301"/>
      </w:pPr>
      <w:rPr>
        <w:rFonts w:hint="default"/>
        <w:lang w:val="en-US" w:eastAsia="en-US" w:bidi="ar-SA"/>
      </w:rPr>
    </w:lvl>
    <w:lvl w:ilvl="8">
      <w:start w:val="0"/>
      <w:numFmt w:val="bullet"/>
      <w:lvlText w:val="•"/>
      <w:lvlJc w:val="left"/>
      <w:pPr>
        <w:ind w:left="8483" w:hanging="301"/>
      </w:pPr>
      <w:rPr>
        <w:rFonts w:hint="default"/>
        <w:lang w:val="en-US" w:eastAsia="en-US" w:bidi="ar-SA"/>
      </w:rPr>
    </w:lvl>
  </w:abstractNum>
  <w:abstractNum w:abstractNumId="11">
    <w:multiLevelType w:val="hybridMultilevel"/>
    <w:lvl w:ilvl="0">
      <w:start w:val="4"/>
      <w:numFmt w:val="decimal"/>
      <w:lvlText w:val="%1"/>
      <w:lvlJc w:val="left"/>
      <w:pPr>
        <w:ind w:left="1160" w:hanging="600"/>
        <w:jc w:val="left"/>
      </w:pPr>
      <w:rPr>
        <w:rFonts w:hint="default"/>
        <w:lang w:val="en-US" w:eastAsia="en-US" w:bidi="ar-SA"/>
      </w:rPr>
    </w:lvl>
    <w:lvl w:ilvl="1">
      <w:start w:val="1"/>
      <w:numFmt w:val="decimal"/>
      <w:lvlText w:val="%1.%2"/>
      <w:lvlJc w:val="left"/>
      <w:pPr>
        <w:ind w:left="1160" w:hanging="60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005" w:hanging="600"/>
      </w:pPr>
      <w:rPr>
        <w:rFonts w:hint="default"/>
        <w:lang w:val="en-US" w:eastAsia="en-US" w:bidi="ar-SA"/>
      </w:rPr>
    </w:lvl>
    <w:lvl w:ilvl="3">
      <w:start w:val="0"/>
      <w:numFmt w:val="bullet"/>
      <w:lvlText w:val="•"/>
      <w:lvlJc w:val="left"/>
      <w:pPr>
        <w:ind w:left="3928" w:hanging="600"/>
      </w:pPr>
      <w:rPr>
        <w:rFonts w:hint="default"/>
        <w:lang w:val="en-US" w:eastAsia="en-US" w:bidi="ar-SA"/>
      </w:rPr>
    </w:lvl>
    <w:lvl w:ilvl="4">
      <w:start w:val="0"/>
      <w:numFmt w:val="bullet"/>
      <w:lvlText w:val="•"/>
      <w:lvlJc w:val="left"/>
      <w:pPr>
        <w:ind w:left="4851" w:hanging="600"/>
      </w:pPr>
      <w:rPr>
        <w:rFonts w:hint="default"/>
        <w:lang w:val="en-US" w:eastAsia="en-US" w:bidi="ar-SA"/>
      </w:rPr>
    </w:lvl>
    <w:lvl w:ilvl="5">
      <w:start w:val="0"/>
      <w:numFmt w:val="bullet"/>
      <w:lvlText w:val="•"/>
      <w:lvlJc w:val="left"/>
      <w:pPr>
        <w:ind w:left="5774" w:hanging="600"/>
      </w:pPr>
      <w:rPr>
        <w:rFonts w:hint="default"/>
        <w:lang w:val="en-US" w:eastAsia="en-US" w:bidi="ar-SA"/>
      </w:rPr>
    </w:lvl>
    <w:lvl w:ilvl="6">
      <w:start w:val="0"/>
      <w:numFmt w:val="bullet"/>
      <w:lvlText w:val="•"/>
      <w:lvlJc w:val="left"/>
      <w:pPr>
        <w:ind w:left="6697" w:hanging="600"/>
      </w:pPr>
      <w:rPr>
        <w:rFonts w:hint="default"/>
        <w:lang w:val="en-US" w:eastAsia="en-US" w:bidi="ar-SA"/>
      </w:rPr>
    </w:lvl>
    <w:lvl w:ilvl="7">
      <w:start w:val="0"/>
      <w:numFmt w:val="bullet"/>
      <w:lvlText w:val="•"/>
      <w:lvlJc w:val="left"/>
      <w:pPr>
        <w:ind w:left="7620" w:hanging="600"/>
      </w:pPr>
      <w:rPr>
        <w:rFonts w:hint="default"/>
        <w:lang w:val="en-US" w:eastAsia="en-US" w:bidi="ar-SA"/>
      </w:rPr>
    </w:lvl>
    <w:lvl w:ilvl="8">
      <w:start w:val="0"/>
      <w:numFmt w:val="bullet"/>
      <w:lvlText w:val="•"/>
      <w:lvlJc w:val="left"/>
      <w:pPr>
        <w:ind w:left="8543" w:hanging="600"/>
      </w:pPr>
      <w:rPr>
        <w:rFonts w:hint="default"/>
        <w:lang w:val="en-US" w:eastAsia="en-US" w:bidi="ar-SA"/>
      </w:rPr>
    </w:lvl>
  </w:abstractNum>
  <w:abstractNum w:abstractNumId="10">
    <w:multiLevelType w:val="hybridMultilevel"/>
    <w:lvl w:ilvl="0">
      <w:start w:val="3"/>
      <w:numFmt w:val="decimal"/>
      <w:lvlText w:val="%1"/>
      <w:lvlJc w:val="left"/>
      <w:pPr>
        <w:ind w:left="2000" w:hanging="1440"/>
        <w:jc w:val="left"/>
      </w:pPr>
      <w:rPr>
        <w:rFonts w:hint="default"/>
        <w:lang w:val="en-US" w:eastAsia="en-US" w:bidi="ar-SA"/>
      </w:rPr>
    </w:lvl>
    <w:lvl w:ilvl="1">
      <w:start w:val="9"/>
      <w:numFmt w:val="decimal"/>
      <w:lvlText w:val="%1.%2"/>
      <w:lvlJc w:val="left"/>
      <w:pPr>
        <w:ind w:left="2000" w:hanging="1440"/>
        <w:jc w:val="left"/>
      </w:pPr>
      <w:rPr>
        <w:rFonts w:hint="default"/>
        <w:lang w:val="en-US" w:eastAsia="en-US" w:bidi="ar-SA"/>
      </w:rPr>
    </w:lvl>
    <w:lvl w:ilvl="2">
      <w:start w:val="9"/>
      <w:numFmt w:val="decimal"/>
      <w:lvlText w:val="%1.%2.%3"/>
      <w:lvlJc w:val="left"/>
      <w:pPr>
        <w:ind w:left="2000" w:hanging="1440"/>
        <w:jc w:val="left"/>
      </w:pPr>
      <w:rPr>
        <w:rFonts w:hint="default"/>
        <w:lang w:val="en-US" w:eastAsia="en-US" w:bidi="ar-SA"/>
      </w:rPr>
    </w:lvl>
    <w:lvl w:ilvl="3">
      <w:start w:val="2"/>
      <w:numFmt w:val="decimal"/>
      <w:lvlText w:val="%1.%2.%3.%4."/>
      <w:lvlJc w:val="left"/>
      <w:pPr>
        <w:ind w:left="2000" w:hanging="144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5355" w:hanging="1440"/>
      </w:pPr>
      <w:rPr>
        <w:rFonts w:hint="default"/>
        <w:lang w:val="en-US" w:eastAsia="en-US" w:bidi="ar-SA"/>
      </w:rPr>
    </w:lvl>
    <w:lvl w:ilvl="5">
      <w:start w:val="0"/>
      <w:numFmt w:val="bullet"/>
      <w:lvlText w:val="•"/>
      <w:lvlJc w:val="left"/>
      <w:pPr>
        <w:ind w:left="6194" w:hanging="1440"/>
      </w:pPr>
      <w:rPr>
        <w:rFonts w:hint="default"/>
        <w:lang w:val="en-US" w:eastAsia="en-US" w:bidi="ar-SA"/>
      </w:rPr>
    </w:lvl>
    <w:lvl w:ilvl="6">
      <w:start w:val="0"/>
      <w:numFmt w:val="bullet"/>
      <w:lvlText w:val="•"/>
      <w:lvlJc w:val="left"/>
      <w:pPr>
        <w:ind w:left="7033" w:hanging="1440"/>
      </w:pPr>
      <w:rPr>
        <w:rFonts w:hint="default"/>
        <w:lang w:val="en-US" w:eastAsia="en-US" w:bidi="ar-SA"/>
      </w:rPr>
    </w:lvl>
    <w:lvl w:ilvl="7">
      <w:start w:val="0"/>
      <w:numFmt w:val="bullet"/>
      <w:lvlText w:val="•"/>
      <w:lvlJc w:val="left"/>
      <w:pPr>
        <w:ind w:left="7872" w:hanging="1440"/>
      </w:pPr>
      <w:rPr>
        <w:rFonts w:hint="default"/>
        <w:lang w:val="en-US" w:eastAsia="en-US" w:bidi="ar-SA"/>
      </w:rPr>
    </w:lvl>
    <w:lvl w:ilvl="8">
      <w:start w:val="0"/>
      <w:numFmt w:val="bullet"/>
      <w:lvlText w:val="•"/>
      <w:lvlJc w:val="left"/>
      <w:pPr>
        <w:ind w:left="8711" w:hanging="1440"/>
      </w:pPr>
      <w:rPr>
        <w:rFonts w:hint="default"/>
        <w:lang w:val="en-US" w:eastAsia="en-US" w:bidi="ar-SA"/>
      </w:rPr>
    </w:lvl>
  </w:abstractNum>
  <w:abstractNum w:abstractNumId="9">
    <w:multiLevelType w:val="hybridMultilevel"/>
    <w:lvl w:ilvl="0">
      <w:start w:val="3"/>
      <w:numFmt w:val="decimal"/>
      <w:lvlText w:val="%1"/>
      <w:lvlJc w:val="left"/>
      <w:pPr>
        <w:ind w:left="1101" w:hanging="541"/>
        <w:jc w:val="left"/>
      </w:pPr>
      <w:rPr>
        <w:rFonts w:hint="default"/>
        <w:lang w:val="en-US" w:eastAsia="en-US" w:bidi="ar-SA"/>
      </w:rPr>
    </w:lvl>
    <w:lvl w:ilvl="1">
      <w:start w:val="9"/>
      <w:numFmt w:val="decimal"/>
      <w:lvlText w:val="%1.%2"/>
      <w:lvlJc w:val="left"/>
      <w:pPr>
        <w:ind w:left="1101" w:hanging="541"/>
        <w:jc w:val="left"/>
      </w:pPr>
      <w:rPr>
        <w:rFonts w:hint="default"/>
        <w:lang w:val="en-US" w:eastAsia="en-US" w:bidi="ar-SA"/>
      </w:rPr>
    </w:lvl>
    <w:lvl w:ilvl="2">
      <w:start w:val="6"/>
      <w:numFmt w:val="decimal"/>
      <w:lvlText w:val="%1.%2.%3."/>
      <w:lvlJc w:val="left"/>
      <w:pPr>
        <w:ind w:left="1101" w:hanging="541"/>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1"/>
      <w:numFmt w:val="decimal"/>
      <w:lvlText w:val="%1.%2.%3.%4"/>
      <w:lvlJc w:val="left"/>
      <w:pPr>
        <w:ind w:left="5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196" w:hanging="720"/>
      </w:pPr>
      <w:rPr>
        <w:rFonts w:hint="default"/>
        <w:lang w:val="en-US" w:eastAsia="en-US" w:bidi="ar-SA"/>
      </w:rPr>
    </w:lvl>
    <w:lvl w:ilvl="5">
      <w:start w:val="0"/>
      <w:numFmt w:val="bullet"/>
      <w:lvlText w:val="•"/>
      <w:lvlJc w:val="left"/>
      <w:pPr>
        <w:ind w:left="5228" w:hanging="720"/>
      </w:pPr>
      <w:rPr>
        <w:rFonts w:hint="default"/>
        <w:lang w:val="en-US" w:eastAsia="en-US" w:bidi="ar-SA"/>
      </w:rPr>
    </w:lvl>
    <w:lvl w:ilvl="6">
      <w:start w:val="0"/>
      <w:numFmt w:val="bullet"/>
      <w:lvlText w:val="•"/>
      <w:lvlJc w:val="left"/>
      <w:pPr>
        <w:ind w:left="6260" w:hanging="720"/>
      </w:pPr>
      <w:rPr>
        <w:rFonts w:hint="default"/>
        <w:lang w:val="en-US" w:eastAsia="en-US" w:bidi="ar-SA"/>
      </w:rPr>
    </w:lvl>
    <w:lvl w:ilvl="7">
      <w:start w:val="0"/>
      <w:numFmt w:val="bullet"/>
      <w:lvlText w:val="•"/>
      <w:lvlJc w:val="left"/>
      <w:pPr>
        <w:ind w:left="7292" w:hanging="720"/>
      </w:pPr>
      <w:rPr>
        <w:rFonts w:hint="default"/>
        <w:lang w:val="en-US" w:eastAsia="en-US" w:bidi="ar-SA"/>
      </w:rPr>
    </w:lvl>
    <w:lvl w:ilvl="8">
      <w:start w:val="0"/>
      <w:numFmt w:val="bullet"/>
      <w:lvlText w:val="•"/>
      <w:lvlJc w:val="left"/>
      <w:pPr>
        <w:ind w:left="8324" w:hanging="720"/>
      </w:pPr>
      <w:rPr>
        <w:rFonts w:hint="default"/>
        <w:lang w:val="en-US" w:eastAsia="en-US" w:bidi="ar-SA"/>
      </w:rPr>
    </w:lvl>
  </w:abstractNum>
  <w:abstractNum w:abstractNumId="8">
    <w:multiLevelType w:val="hybridMultilevel"/>
    <w:lvl w:ilvl="0">
      <w:start w:val="3"/>
      <w:numFmt w:val="decimal"/>
      <w:lvlText w:val="%1"/>
      <w:lvlJc w:val="left"/>
      <w:pPr>
        <w:ind w:left="560" w:hanging="481"/>
        <w:jc w:val="left"/>
      </w:pPr>
      <w:rPr>
        <w:rFonts w:hint="default"/>
        <w:lang w:val="en-US" w:eastAsia="en-US" w:bidi="ar-SA"/>
      </w:rPr>
    </w:lvl>
    <w:lvl w:ilvl="1">
      <w:start w:val="9"/>
      <w:numFmt w:val="decimal"/>
      <w:lvlText w:val="%1.%2"/>
      <w:lvlJc w:val="left"/>
      <w:pPr>
        <w:ind w:left="560" w:hanging="481"/>
        <w:jc w:val="left"/>
      </w:pPr>
      <w:rPr>
        <w:rFonts w:hint="default"/>
        <w:lang w:val="en-US" w:eastAsia="en-US" w:bidi="ar-SA"/>
      </w:rPr>
    </w:lvl>
    <w:lvl w:ilvl="2">
      <w:start w:val="1"/>
      <w:numFmt w:val="decimal"/>
      <w:lvlText w:val="%1.%2.%3"/>
      <w:lvlJc w:val="left"/>
      <w:pPr>
        <w:ind w:left="560" w:hanging="481"/>
        <w:jc w:val="left"/>
      </w:pPr>
      <w:rPr>
        <w:rFonts w:hint="default" w:ascii="Times New Roman" w:hAnsi="Times New Roman" w:eastAsia="Times New Roman" w:cs="Times New Roman"/>
        <w:b/>
        <w:bCs/>
        <w:i w:val="0"/>
        <w:iCs w:val="0"/>
        <w:spacing w:val="0"/>
        <w:w w:val="100"/>
        <w:sz w:val="22"/>
        <w:szCs w:val="22"/>
        <w:lang w:val="en-US" w:eastAsia="en-US" w:bidi="ar-SA"/>
      </w:rPr>
    </w:lvl>
    <w:lvl w:ilvl="3">
      <w:start w:val="0"/>
      <w:numFmt w:val="bullet"/>
      <w:lvlText w:val="•"/>
      <w:lvlJc w:val="left"/>
      <w:pPr>
        <w:ind w:left="3508" w:hanging="481"/>
      </w:pPr>
      <w:rPr>
        <w:rFonts w:hint="default"/>
        <w:lang w:val="en-US" w:eastAsia="en-US" w:bidi="ar-SA"/>
      </w:rPr>
    </w:lvl>
    <w:lvl w:ilvl="4">
      <w:start w:val="0"/>
      <w:numFmt w:val="bullet"/>
      <w:lvlText w:val="•"/>
      <w:lvlJc w:val="left"/>
      <w:pPr>
        <w:ind w:left="4491" w:hanging="481"/>
      </w:pPr>
      <w:rPr>
        <w:rFonts w:hint="default"/>
        <w:lang w:val="en-US" w:eastAsia="en-US" w:bidi="ar-SA"/>
      </w:rPr>
    </w:lvl>
    <w:lvl w:ilvl="5">
      <w:start w:val="0"/>
      <w:numFmt w:val="bullet"/>
      <w:lvlText w:val="•"/>
      <w:lvlJc w:val="left"/>
      <w:pPr>
        <w:ind w:left="5474" w:hanging="481"/>
      </w:pPr>
      <w:rPr>
        <w:rFonts w:hint="default"/>
        <w:lang w:val="en-US" w:eastAsia="en-US" w:bidi="ar-SA"/>
      </w:rPr>
    </w:lvl>
    <w:lvl w:ilvl="6">
      <w:start w:val="0"/>
      <w:numFmt w:val="bullet"/>
      <w:lvlText w:val="•"/>
      <w:lvlJc w:val="left"/>
      <w:pPr>
        <w:ind w:left="6457" w:hanging="481"/>
      </w:pPr>
      <w:rPr>
        <w:rFonts w:hint="default"/>
        <w:lang w:val="en-US" w:eastAsia="en-US" w:bidi="ar-SA"/>
      </w:rPr>
    </w:lvl>
    <w:lvl w:ilvl="7">
      <w:start w:val="0"/>
      <w:numFmt w:val="bullet"/>
      <w:lvlText w:val="•"/>
      <w:lvlJc w:val="left"/>
      <w:pPr>
        <w:ind w:left="7440" w:hanging="481"/>
      </w:pPr>
      <w:rPr>
        <w:rFonts w:hint="default"/>
        <w:lang w:val="en-US" w:eastAsia="en-US" w:bidi="ar-SA"/>
      </w:rPr>
    </w:lvl>
    <w:lvl w:ilvl="8">
      <w:start w:val="0"/>
      <w:numFmt w:val="bullet"/>
      <w:lvlText w:val="•"/>
      <w:lvlJc w:val="left"/>
      <w:pPr>
        <w:ind w:left="8423" w:hanging="481"/>
      </w:pPr>
      <w:rPr>
        <w:rFonts w:hint="default"/>
        <w:lang w:val="en-US" w:eastAsia="en-US" w:bidi="ar-SA"/>
      </w:rPr>
    </w:lvl>
  </w:abstractNum>
  <w:abstractNum w:abstractNumId="7">
    <w:multiLevelType w:val="hybridMultilevel"/>
    <w:lvl w:ilvl="0">
      <w:start w:val="3"/>
      <w:numFmt w:val="decimal"/>
      <w:lvlText w:val="%1"/>
      <w:lvlJc w:val="left"/>
      <w:pPr>
        <w:ind w:left="1280" w:hanging="720"/>
        <w:jc w:val="left"/>
      </w:pPr>
      <w:rPr>
        <w:rFonts w:hint="default"/>
        <w:lang w:val="en-US" w:eastAsia="en-US" w:bidi="ar-SA"/>
      </w:rPr>
    </w:lvl>
    <w:lvl w:ilvl="1">
      <w:start w:val="1"/>
      <w:numFmt w:val="decimal"/>
      <w:lvlText w:val="%1.%2"/>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80" w:hanging="720"/>
        <w:jc w:val="left"/>
      </w:pPr>
      <w:rPr>
        <w:rFonts w:hint="default" w:ascii="Times New Roman" w:hAnsi="Times New Roman" w:eastAsia="Times New Roman" w:cs="Times New Roman"/>
        <w:b/>
        <w:bCs/>
        <w:i w:val="0"/>
        <w:iCs w:val="0"/>
        <w:spacing w:val="0"/>
        <w:w w:val="95"/>
        <w:sz w:val="24"/>
        <w:szCs w:val="24"/>
        <w:lang w:val="en-US" w:eastAsia="en-US" w:bidi="ar-SA"/>
      </w:rPr>
    </w:lvl>
    <w:lvl w:ilvl="3">
      <w:start w:val="0"/>
      <w:numFmt w:val="bullet"/>
      <w:lvlText w:val="•"/>
      <w:lvlJc w:val="left"/>
      <w:pPr>
        <w:ind w:left="3304" w:hanging="720"/>
      </w:pPr>
      <w:rPr>
        <w:rFonts w:hint="default"/>
        <w:lang w:val="en-US" w:eastAsia="en-US" w:bidi="ar-SA"/>
      </w:rPr>
    </w:lvl>
    <w:lvl w:ilvl="4">
      <w:start w:val="0"/>
      <w:numFmt w:val="bullet"/>
      <w:lvlText w:val="•"/>
      <w:lvlJc w:val="left"/>
      <w:pPr>
        <w:ind w:left="4316" w:hanging="720"/>
      </w:pPr>
      <w:rPr>
        <w:rFonts w:hint="default"/>
        <w:lang w:val="en-US" w:eastAsia="en-US" w:bidi="ar-SA"/>
      </w:rPr>
    </w:lvl>
    <w:lvl w:ilvl="5">
      <w:start w:val="0"/>
      <w:numFmt w:val="bullet"/>
      <w:lvlText w:val="•"/>
      <w:lvlJc w:val="left"/>
      <w:pPr>
        <w:ind w:left="5328" w:hanging="720"/>
      </w:pPr>
      <w:rPr>
        <w:rFonts w:hint="default"/>
        <w:lang w:val="en-US" w:eastAsia="en-US" w:bidi="ar-SA"/>
      </w:rPr>
    </w:lvl>
    <w:lvl w:ilvl="6">
      <w:start w:val="0"/>
      <w:numFmt w:val="bullet"/>
      <w:lvlText w:val="•"/>
      <w:lvlJc w:val="left"/>
      <w:pPr>
        <w:ind w:left="6340" w:hanging="720"/>
      </w:pPr>
      <w:rPr>
        <w:rFonts w:hint="default"/>
        <w:lang w:val="en-US" w:eastAsia="en-US" w:bidi="ar-SA"/>
      </w:rPr>
    </w:lvl>
    <w:lvl w:ilvl="7">
      <w:start w:val="0"/>
      <w:numFmt w:val="bullet"/>
      <w:lvlText w:val="•"/>
      <w:lvlJc w:val="left"/>
      <w:pPr>
        <w:ind w:left="7352" w:hanging="720"/>
      </w:pPr>
      <w:rPr>
        <w:rFonts w:hint="default"/>
        <w:lang w:val="en-US" w:eastAsia="en-US" w:bidi="ar-SA"/>
      </w:rPr>
    </w:lvl>
    <w:lvl w:ilvl="8">
      <w:start w:val="0"/>
      <w:numFmt w:val="bullet"/>
      <w:lvlText w:val="•"/>
      <w:lvlJc w:val="left"/>
      <w:pPr>
        <w:ind w:left="8364" w:hanging="720"/>
      </w:pPr>
      <w:rPr>
        <w:rFonts w:hint="default"/>
        <w:lang w:val="en-US" w:eastAsia="en-US" w:bidi="ar-SA"/>
      </w:rPr>
    </w:lvl>
  </w:abstractNum>
  <w:abstractNum w:abstractNumId="6">
    <w:multiLevelType w:val="hybridMultilevel"/>
    <w:lvl w:ilvl="0">
      <w:start w:val="2"/>
      <w:numFmt w:val="decimal"/>
      <w:lvlText w:val="%1"/>
      <w:lvlJc w:val="left"/>
      <w:pPr>
        <w:ind w:left="1280" w:hanging="720"/>
        <w:jc w:val="left"/>
      </w:pPr>
      <w:rPr>
        <w:rFonts w:hint="default"/>
        <w:lang w:val="en-US" w:eastAsia="en-US" w:bidi="ar-SA"/>
      </w:rPr>
    </w:lvl>
    <w:lvl w:ilvl="1">
      <w:start w:val="5"/>
      <w:numFmt w:val="decimal"/>
      <w:lvlText w:val="%1.%2"/>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80" w:hanging="720"/>
        <w:jc w:val="left"/>
      </w:pPr>
      <w:rPr>
        <w:rFonts w:hint="default" w:ascii="Times New Roman" w:hAnsi="Times New Roman" w:eastAsia="Times New Roman" w:cs="Times New Roman"/>
        <w:b/>
        <w:bCs/>
        <w:i w:val="0"/>
        <w:iCs w:val="0"/>
        <w:spacing w:val="0"/>
        <w:w w:val="95"/>
        <w:sz w:val="24"/>
        <w:szCs w:val="24"/>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5">
    <w:multiLevelType w:val="hybridMultilevel"/>
    <w:lvl w:ilvl="0">
      <w:start w:val="2"/>
      <w:numFmt w:val="decimal"/>
      <w:lvlText w:val="%1"/>
      <w:lvlJc w:val="left"/>
      <w:pPr>
        <w:ind w:left="1280" w:hanging="720"/>
        <w:jc w:val="left"/>
      </w:pPr>
      <w:rPr>
        <w:rFonts w:hint="default"/>
        <w:lang w:val="en-US" w:eastAsia="en-US" w:bidi="ar-SA"/>
      </w:rPr>
    </w:lvl>
    <w:lvl w:ilvl="1">
      <w:start w:val="2"/>
      <w:numFmt w:val="decimal"/>
      <w:lvlText w:val="%1.%2."/>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4">
    <w:multiLevelType w:val="hybridMultilevel"/>
    <w:lvl w:ilvl="0">
      <w:start w:val="2"/>
      <w:numFmt w:val="decimal"/>
      <w:lvlText w:val="%1"/>
      <w:lvlJc w:val="left"/>
      <w:pPr>
        <w:ind w:left="1280" w:hanging="720"/>
        <w:jc w:val="left"/>
      </w:pPr>
      <w:rPr>
        <w:rFonts w:hint="default"/>
        <w:lang w:val="en-US" w:eastAsia="en-US" w:bidi="ar-SA"/>
      </w:rPr>
    </w:lvl>
    <w:lvl w:ilvl="1">
      <w:start w:val="1"/>
      <w:numFmt w:val="decimal"/>
      <w:lvlText w:val="%1.%2"/>
      <w:lvlJc w:val="left"/>
      <w:pPr>
        <w:ind w:left="1280" w:hanging="720"/>
        <w:jc w:val="left"/>
      </w:pPr>
      <w:rPr>
        <w:rFonts w:hint="default"/>
        <w:lang w:val="en-US" w:eastAsia="en-US" w:bidi="ar-SA"/>
      </w:rPr>
    </w:lvl>
    <w:lvl w:ilvl="2">
      <w:start w:val="9"/>
      <w:numFmt w:val="decimal"/>
      <w:lvlText w:val="%1.%2.%3"/>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decimal"/>
      <w:lvlText w:val="%1.%2.%3.%4"/>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3">
    <w:multiLevelType w:val="hybridMultilevel"/>
    <w:lvl w:ilvl="0">
      <w:start w:val="2"/>
      <w:numFmt w:val="decimal"/>
      <w:lvlText w:val="%1"/>
      <w:lvlJc w:val="left"/>
      <w:pPr>
        <w:ind w:left="1280" w:hanging="720"/>
        <w:jc w:val="left"/>
      </w:pPr>
      <w:rPr>
        <w:rFonts w:hint="default"/>
        <w:lang w:val="en-US" w:eastAsia="en-US" w:bidi="ar-SA"/>
      </w:rPr>
    </w:lvl>
    <w:lvl w:ilvl="1">
      <w:start w:val="1"/>
      <w:numFmt w:val="decimal"/>
      <w:lvlText w:val="%1.%2"/>
      <w:lvlJc w:val="left"/>
      <w:pPr>
        <w:ind w:left="1280" w:hanging="720"/>
        <w:jc w:val="left"/>
      </w:pPr>
      <w:rPr>
        <w:rFonts w:hint="default"/>
        <w:lang w:val="en-US" w:eastAsia="en-US" w:bidi="ar-SA"/>
      </w:rPr>
    </w:lvl>
    <w:lvl w:ilvl="2">
      <w:start w:val="6"/>
      <w:numFmt w:val="decimal"/>
      <w:lvlText w:val="%1.%2.%3."/>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2">
    <w:multiLevelType w:val="hybridMultilevel"/>
    <w:lvl w:ilvl="0">
      <w:start w:val="2"/>
      <w:numFmt w:val="decimal"/>
      <w:lvlText w:val="%1"/>
      <w:lvlJc w:val="left"/>
      <w:pPr>
        <w:ind w:left="1280" w:hanging="720"/>
        <w:jc w:val="left"/>
      </w:pPr>
      <w:rPr>
        <w:rFonts w:hint="default"/>
        <w:lang w:val="en-US" w:eastAsia="en-US" w:bidi="ar-SA"/>
      </w:rPr>
    </w:lvl>
    <w:lvl w:ilvl="1">
      <w:start w:val="1"/>
      <w:numFmt w:val="decimal"/>
      <w:lvlText w:val="%1.%2"/>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1">
    <w:multiLevelType w:val="hybridMultilevel"/>
    <w:lvl w:ilvl="0">
      <w:start w:val="1"/>
      <w:numFmt w:val="decimal"/>
      <w:lvlText w:val="(%1)"/>
      <w:lvlJc w:val="left"/>
      <w:pPr>
        <w:ind w:left="128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190" w:hanging="720"/>
      </w:pPr>
      <w:rPr>
        <w:rFonts w:hint="default"/>
        <w:lang w:val="en-US" w:eastAsia="en-US" w:bidi="ar-SA"/>
      </w:rPr>
    </w:lvl>
    <w:lvl w:ilvl="2">
      <w:start w:val="0"/>
      <w:numFmt w:val="bullet"/>
      <w:lvlText w:val="•"/>
      <w:lvlJc w:val="left"/>
      <w:pPr>
        <w:ind w:left="3101" w:hanging="720"/>
      </w:pPr>
      <w:rPr>
        <w:rFonts w:hint="default"/>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abstractNum w:abstractNumId="0">
    <w:multiLevelType w:val="hybridMultilevel"/>
    <w:lvl w:ilvl="0">
      <w:start w:val="1"/>
      <w:numFmt w:val="decimal"/>
      <w:lvlText w:val="%1"/>
      <w:lvlJc w:val="left"/>
      <w:pPr>
        <w:ind w:left="1280" w:hanging="720"/>
        <w:jc w:val="left"/>
      </w:pPr>
      <w:rPr>
        <w:rFonts w:hint="default"/>
        <w:lang w:val="en-US" w:eastAsia="en-US" w:bidi="ar-SA"/>
      </w:rPr>
    </w:lvl>
    <w:lvl w:ilvl="1">
      <w:start w:val="1"/>
      <w:numFmt w:val="decimal"/>
      <w:lvlText w:val="%1.%2"/>
      <w:lvlJc w:val="left"/>
      <w:pPr>
        <w:ind w:left="128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101" w:hanging="720"/>
      </w:pPr>
      <w:rPr>
        <w:rFonts w:hint="default"/>
        <w:lang w:val="en-US" w:eastAsia="en-US" w:bidi="ar-SA"/>
      </w:rPr>
    </w:lvl>
    <w:lvl w:ilvl="3">
      <w:start w:val="0"/>
      <w:numFmt w:val="bullet"/>
      <w:lvlText w:val="•"/>
      <w:lvlJc w:val="left"/>
      <w:pPr>
        <w:ind w:left="4012" w:hanging="720"/>
      </w:pPr>
      <w:rPr>
        <w:rFonts w:hint="default"/>
        <w:lang w:val="en-US" w:eastAsia="en-US" w:bidi="ar-SA"/>
      </w:rPr>
    </w:lvl>
    <w:lvl w:ilvl="4">
      <w:start w:val="0"/>
      <w:numFmt w:val="bullet"/>
      <w:lvlText w:val="•"/>
      <w:lvlJc w:val="left"/>
      <w:pPr>
        <w:ind w:left="4923" w:hanging="720"/>
      </w:pPr>
      <w:rPr>
        <w:rFonts w:hint="default"/>
        <w:lang w:val="en-US" w:eastAsia="en-US" w:bidi="ar-SA"/>
      </w:rPr>
    </w:lvl>
    <w:lvl w:ilvl="5">
      <w:start w:val="0"/>
      <w:numFmt w:val="bullet"/>
      <w:lvlText w:val="•"/>
      <w:lvlJc w:val="left"/>
      <w:pPr>
        <w:ind w:left="5834" w:hanging="720"/>
      </w:pPr>
      <w:rPr>
        <w:rFonts w:hint="default"/>
        <w:lang w:val="en-US" w:eastAsia="en-US" w:bidi="ar-SA"/>
      </w:rPr>
    </w:lvl>
    <w:lvl w:ilvl="6">
      <w:start w:val="0"/>
      <w:numFmt w:val="bullet"/>
      <w:lvlText w:val="•"/>
      <w:lvlJc w:val="left"/>
      <w:pPr>
        <w:ind w:left="6745" w:hanging="720"/>
      </w:pPr>
      <w:rPr>
        <w:rFonts w:hint="default"/>
        <w:lang w:val="en-US" w:eastAsia="en-US" w:bidi="ar-SA"/>
      </w:rPr>
    </w:lvl>
    <w:lvl w:ilvl="7">
      <w:start w:val="0"/>
      <w:numFmt w:val="bullet"/>
      <w:lvlText w:val="•"/>
      <w:lvlJc w:val="left"/>
      <w:pPr>
        <w:ind w:left="7656" w:hanging="720"/>
      </w:pPr>
      <w:rPr>
        <w:rFonts w:hint="default"/>
        <w:lang w:val="en-US" w:eastAsia="en-US" w:bidi="ar-SA"/>
      </w:rPr>
    </w:lvl>
    <w:lvl w:ilvl="8">
      <w:start w:val="0"/>
      <w:numFmt w:val="bullet"/>
      <w:lvlText w:val="•"/>
      <w:lvlJc w:val="left"/>
      <w:pPr>
        <w:ind w:left="8567" w:hanging="720"/>
      </w:pPr>
      <w:rPr>
        <w:rFonts w:hint="default"/>
        <w:lang w:val="en-US"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48"/>
      <w:ind w:left="2406"/>
      <w:outlineLvl w:val="1"/>
    </w:pPr>
    <w:rPr>
      <w:rFonts w:ascii="Microsoft Sans Serif" w:hAnsi="Microsoft Sans Serif" w:eastAsia="Microsoft Sans Serif" w:cs="Microsoft Sans Serif"/>
      <w:sz w:val="28"/>
      <w:szCs w:val="28"/>
      <w:lang w:val="en-US" w:eastAsia="en-US" w:bidi="ar-SA"/>
    </w:rPr>
  </w:style>
  <w:style w:styleId="Heading2" w:type="paragraph">
    <w:name w:val="Heading 2"/>
    <w:basedOn w:val="Normal"/>
    <w:uiPriority w:val="1"/>
    <w:qFormat/>
    <w:pPr>
      <w:ind w:left="56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560"/>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28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www.nature.com/nrmicro/journal/v4/n9_supp/fig_tab/nrmicro1525_F2.html"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hyperlink" Target="https://ensur.invmed.com/ensur/broker/ensurbroker.aspx?code=CLSI285&amp;cs=26704579" TargetMode="External"/><Relationship Id="rId21" Type="http://schemas.openxmlformats.org/officeDocument/2006/relationships/hyperlink" Target="http://www.alere.com/us/en/product-details/determine-1-2-ag-ab-combo-us.html" TargetMode="External"/><Relationship Id="rId22" Type="http://schemas.openxmlformats.org/officeDocument/2006/relationships/hyperlink" Target="http://www/" TargetMode="External"/><Relationship Id="rId23" Type="http://schemas.openxmlformats.org/officeDocument/2006/relationships/hyperlink" Target="http://www.ncbi.nlm.nih.gov/pubmed/6812987" TargetMode="External"/><Relationship Id="rId24" Type="http://schemas.openxmlformats.org/officeDocument/2006/relationships/hyperlink" Target="http://www.memorias.ioc.fiocrus.br/" TargetMode="Externa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TOPIC:</dc:title>
  <dcterms:created xsi:type="dcterms:W3CDTF">2023-11-14T18:01:55Z</dcterms:created>
  <dcterms:modified xsi:type="dcterms:W3CDTF">2023-11-14T18:01:55Z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2021-05-17T00:00:00Z</vt:filetime>
  </property>
  <property fmtid="{D5CDD505-2E9C-101B-9397-08002B2CF9AE}" pid="3" name="Creator">
    <vt:lpwstr>Microsoft® Office Word 2007</vt:lpwstr>
  </property>
  <property fmtid="{D5CDD505-2E9C-101B-9397-08002B2CF9AE}" pid="4" name="LastSaved">
    <vt:filetime>2023-11-14T00:00:00Z</vt:filetime>
  </property>
  <property fmtid="{D5CDD505-2E9C-101B-9397-08002B2CF9AE}" pid="5" name="Producer">
    <vt:lpwstr>Microsoft® Office Word 2007</vt:lpwstr>
  </property>
</Properties>
</file>